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FE832">
      <w:pPr>
        <w:wordWrap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  <w:t>金寨县人民政府2024年政府信息公开年度报告</w:t>
      </w:r>
    </w:p>
    <w:p w14:paraId="651EAF86">
      <w:pPr>
        <w:wordWrap w:val="0"/>
        <w:ind w:left="0" w:leftChars="0" w:firstLine="0" w:firstLineChars="0"/>
        <w:rPr>
          <w:rFonts w:ascii="方正仿宋_GBK" w:hAnsi="方正仿宋_GBK" w:eastAsia="方正仿宋_GBK" w:cs="方正仿宋_GBK"/>
          <w:color w:val="000000"/>
          <w:szCs w:val="32"/>
          <w:shd w:val="clear" w:color="auto" w:fill="FFFFFF"/>
        </w:rPr>
      </w:pPr>
    </w:p>
    <w:p w14:paraId="0189B885">
      <w:pPr>
        <w:wordWrap w:val="0"/>
        <w:ind w:firstLine="640"/>
        <w:rPr>
          <w:rFonts w:hint="eastAsia" w:ascii="方正黑体_GBK" w:hAnsi="方正黑体_GBK" w:eastAsia="方正黑体_GBK" w:cs="方正黑体_GBK"/>
          <w:snapToGrid w:val="0"/>
          <w:color w:val="000000"/>
          <w:spacing w:val="-3"/>
          <w:kern w:val="0"/>
          <w:szCs w:val="32"/>
        </w:rPr>
      </w:pPr>
      <w:r>
        <w:rPr>
          <w:rFonts w:ascii="方正仿宋_GBK" w:hAnsi="方正仿宋_GBK" w:eastAsia="方正仿宋_GBK" w:cs="方正仿宋_GBK"/>
          <w:color w:val="000000"/>
          <w:szCs w:val="32"/>
          <w:shd w:val="clear" w:color="auto" w:fill="FFFFFF"/>
        </w:rPr>
        <w:t>本报告依据《中华人民共和国政府信息公开条例》（国务院令第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711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号）和《国务院办公厅政府信息与政务公开办公室关于印发〈中华人民共和国政府信息公开工作年度报告格式〉的通知》（国办公开办函〔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2021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〕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30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号）要求，结合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  <w:lang w:val="en-US" w:eastAsia="zh-CN"/>
        </w:rPr>
        <w:t>金寨县人民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政府信息公开工作有关统计数据撰写。本报告中使用数据统计期限为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Cs w:val="32"/>
          <w:shd w:val="clear" w:color="auto" w:fill="FFFFFF"/>
        </w:rPr>
        <w:t>4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年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月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日至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12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月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31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日。如对本报告有任何疑问，请与金寨县人民政府办公室政务公开办联系（地址：金寨县行政中心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828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室，电话：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0564--7356132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，邮编：</w:t>
      </w:r>
      <w:r>
        <w:rPr>
          <w:rFonts w:ascii="Times New Roman" w:hAnsi="Times New Roman" w:eastAsia="方正仿宋_GBK" w:cs="Times New Roman"/>
          <w:color w:val="000000"/>
          <w:szCs w:val="32"/>
          <w:shd w:val="clear" w:color="auto" w:fill="FFFFFF"/>
        </w:rPr>
        <w:t>237300</w:t>
      </w:r>
      <w:r>
        <w:rPr>
          <w:rFonts w:hint="eastAsia" w:ascii="方正仿宋_GBK" w:hAnsi="方正仿宋_GBK" w:eastAsia="方正仿宋_GBK" w:cs="方正仿宋_GBK"/>
          <w:color w:val="000000"/>
          <w:szCs w:val="32"/>
          <w:shd w:val="clear" w:color="auto" w:fill="FFFFFF"/>
        </w:rPr>
        <w:t>）。</w:t>
      </w:r>
    </w:p>
    <w:p w14:paraId="52B24773">
      <w:pPr>
        <w:ind w:left="640" w:leftChars="200" w:firstLine="0" w:firstLineChars="0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一、总体情况</w:t>
      </w:r>
    </w:p>
    <w:p w14:paraId="7C69DA5C">
      <w:pPr>
        <w:bidi w:val="0"/>
        <w:rPr>
          <w:rFonts w:hint="eastAsia" w:ascii="方正楷体_GBK" w:hAnsi="方正楷体_GBK" w:eastAsia="方正楷体_GBK" w:cs="方正楷体_GBK"/>
        </w:rPr>
      </w:pPr>
      <w:r>
        <w:rPr>
          <w:rFonts w:hint="eastAsia" w:ascii="方正楷体_GBK" w:hAnsi="方正楷体_GBK" w:eastAsia="方正楷体_GBK" w:cs="方正楷体_GBK"/>
        </w:rPr>
        <w:t>1.主动公开情况。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2024年，金寨县常态化做好政府信息公开，全年发布信息6.1万余条，有效推动政务公开提质增效。一是深化主动公开。细致梳理县本级、乡镇、县直单位等栏目设置，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公开指标，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围绕优化营商环境、促进经济民生，发布惠企便民信息1.3万余条。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二是强化重点领域信息发布。</w:t>
      </w:r>
      <w:r>
        <w:rPr>
          <w:rFonts w:hint="default" w:ascii="Times New Roman" w:hAnsi="Times New Roman" w:eastAsia="方正仿宋_GBK" w:cs="Times New Roman"/>
          <w:b w:val="0"/>
          <w:i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印发《金寨县2024年政务公开专项行动任务清单》《金寨县2024年政务公开重点工作清单》，细化提升内容</w:t>
      </w:r>
      <w:r>
        <w:rPr>
          <w:rFonts w:hint="eastAsia" w:ascii="Times New Roman" w:hAnsi="Times New Roman" w:eastAsia="方正仿宋_GBK" w:cs="Times New Roman"/>
          <w:b w:val="0"/>
          <w:i w:val="0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，明确工作任务</w:t>
      </w:r>
      <w:r>
        <w:rPr>
          <w:rFonts w:hint="default" w:ascii="Times New Roman" w:hAnsi="Times New Roman" w:eastAsia="方正仿宋_GBK" w:cs="Times New Roman"/>
          <w:b w:val="0"/>
          <w:i w:val="0"/>
          <w:color w:val="000000" w:themeColor="text1"/>
          <w:sz w:val="32"/>
          <w:szCs w:val="32"/>
          <w:u w:val="none" w:color="auto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权责清单版本更新，对照最新权责清单，做好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金寨县行政权力集中展示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专题维护，及时公开各行政权力目录、办理流程、权力运行结果800余条。三是巩固基层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两化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工作成果。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加强基层政务公开“标准化、规范化”公开力度，进一步提升县级34个领域和乡镇16个领域信息发布质量，全年发布信息2.1万条。</w:t>
      </w:r>
    </w:p>
    <w:p w14:paraId="72CA2C41">
      <w:pPr>
        <w:widowControl/>
        <w:kinsoku w:val="0"/>
        <w:autoSpaceDE w:val="0"/>
        <w:autoSpaceDN w:val="0"/>
        <w:adjustRightInd w:val="0"/>
        <w:snapToGrid w:val="0"/>
        <w:spacing w:before="32"/>
        <w:ind w:firstLine="628"/>
        <w:jc w:val="left"/>
        <w:textAlignment w:val="baseline"/>
        <w:outlineLvl w:val="0"/>
        <w:rPr>
          <w:rFonts w:hint="eastAsia" w:ascii="方正楷体_GBK" w:hAnsi="方正楷体_GBK" w:eastAsia="方正楷体_GBK" w:cs="方正楷体_GBK"/>
        </w:rPr>
      </w:pPr>
      <w:r>
        <w:rPr>
          <w:rFonts w:ascii="方正楷体_GBK" w:hAnsi="方正楷体_GBK" w:eastAsia="方正楷体_GBK" w:cs="方正楷体_GBK"/>
        </w:rPr>
        <w:t>2.依申请公开情况。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依申请公开办理指导服务，强化部门协作，确保依申请公开高效答复。全年收到政府信息公开申请125件，其中政府信息公开受理排名较前的单位是：县自然资源局、县公安局、县住建局、县市场监管局、县发改委等，主要涉及土地征迁、市场监管、房屋建设等各类，全年因依申请公开被行政复议4件，行政诉讼1件。</w:t>
      </w:r>
    </w:p>
    <w:p w14:paraId="0503F0D5">
      <w:pPr>
        <w:widowControl/>
        <w:kinsoku w:val="0"/>
        <w:autoSpaceDE w:val="0"/>
        <w:autoSpaceDN w:val="0"/>
        <w:adjustRightInd w:val="0"/>
        <w:snapToGrid w:val="0"/>
        <w:spacing w:before="32"/>
        <w:ind w:firstLine="628"/>
        <w:jc w:val="left"/>
        <w:textAlignment w:val="baseline"/>
        <w:outlineLvl w:val="0"/>
        <w:rPr>
          <w:rFonts w:hint="default" w:ascii="方正楷体_GBK" w:hAnsi="方正楷体_GBK" w:eastAsia="方正楷体_GBK" w:cs="方正楷体_GBK"/>
          <w:lang w:val="en-US"/>
        </w:rPr>
      </w:pPr>
      <w:r>
        <w:rPr>
          <w:rFonts w:ascii="方正楷体_GBK" w:hAnsi="方正楷体_GBK" w:eastAsia="方正楷体_GBK" w:cs="方正楷体_GBK"/>
        </w:rPr>
        <w:t>3.政府信息管理。</w:t>
      </w:r>
      <w:r>
        <w:rPr>
          <w:rFonts w:hint="eastAsia" w:ascii="方正仿宋_GBK" w:hAnsi="方正仿宋_GBK" w:eastAsia="方正仿宋_GBK" w:cs="方正仿宋_GBK"/>
          <w:lang w:val="en-US" w:eastAsia="zh-CN"/>
        </w:rPr>
        <w:t>加强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性文件发布格式源头把控，严格落实规范性文件网页及下载版本格式要求，定期开展规范性文件专项梳理，确保格式规范、内容准确。不断完善政务公开工作制度，制定《金寨县人民政府信息公开统计制度》《金寨县政务舆情收集研判和回应制度》等8项公开制度，进一步完善政府信息公开体系建设。</w:t>
      </w:r>
    </w:p>
    <w:p w14:paraId="6D812833">
      <w:pPr>
        <w:widowControl/>
        <w:kinsoku w:val="0"/>
        <w:autoSpaceDE w:val="0"/>
        <w:autoSpaceDN w:val="0"/>
        <w:adjustRightInd w:val="0"/>
        <w:snapToGrid w:val="0"/>
        <w:spacing w:before="32"/>
        <w:ind w:firstLine="628"/>
        <w:jc w:val="left"/>
        <w:textAlignment w:val="baseline"/>
        <w:outlineLvl w:val="0"/>
        <w:rPr>
          <w:rFonts w:ascii="方正楷体_GBK" w:hAnsi="方正楷体_GBK" w:eastAsia="方正楷体_GBK" w:cs="方正楷体_GBK"/>
        </w:rPr>
      </w:pPr>
      <w:r>
        <w:rPr>
          <w:rFonts w:ascii="方正楷体_GBK" w:hAnsi="方正楷体_GBK" w:eastAsia="方正楷体_GBK" w:cs="方正楷体_GBK"/>
        </w:rPr>
        <w:t>4.政府信息平台建设情况。</w:t>
      </w:r>
      <w:r>
        <w:rPr>
          <w:rFonts w:hint="eastAsia" w:ascii="方正仿宋_GBK" w:hAnsi="方正仿宋_GBK" w:eastAsia="方正仿宋_GBK" w:cs="方正仿宋_GBK"/>
          <w:lang w:val="en-US" w:eastAsia="zh-CN"/>
        </w:rPr>
        <w:t>加强政务网站建设，在</w:t>
      </w:r>
      <w:r>
        <w:rPr>
          <w:rFonts w:hint="eastAsia" w:ascii="方正仿宋_GBK" w:hAnsi="方正仿宋_GBK" w:eastAsia="方正仿宋_GBK" w:cs="方正仿宋_GBK"/>
        </w:rPr>
        <w:t>“</w:t>
      </w:r>
      <w:r>
        <w:rPr>
          <w:rFonts w:hint="default" w:ascii="Times New Roman" w:hAnsi="Times New Roman" w:eastAsia="方正仿宋_GBK" w:cs="Times New Roman"/>
        </w:rPr>
        <w:t>金寨要闻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部门信息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乡镇动态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社会动态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媒体金寨</w:t>
      </w:r>
      <w:r>
        <w:rPr>
          <w:rFonts w:hint="eastAsia" w:ascii="方正仿宋_GBK" w:hAnsi="方正仿宋_GBK" w:eastAsia="方正仿宋_GBK" w:cs="方正仿宋_GBK"/>
        </w:rPr>
        <w:t>”</w:t>
      </w:r>
      <w:r>
        <w:rPr>
          <w:rFonts w:hint="default" w:ascii="Times New Roman" w:hAnsi="Times New Roman" w:eastAsia="方正仿宋_GBK" w:cs="Times New Roman"/>
        </w:rPr>
        <w:t>等</w:t>
      </w:r>
      <w:r>
        <w:rPr>
          <w:rFonts w:hint="eastAsia" w:ascii="Times New Roman" w:hAnsi="Times New Roman" w:eastAsia="方正仿宋_GBK" w:cs="Times New Roman"/>
          <w:lang w:val="en-US" w:eastAsia="zh-CN"/>
        </w:rPr>
        <w:t>栏目</w:t>
      </w:r>
      <w:r>
        <w:rPr>
          <w:rFonts w:hint="default" w:ascii="Times New Roman" w:hAnsi="Times New Roman" w:eastAsia="方正仿宋_GBK" w:cs="Times New Roman"/>
        </w:rPr>
        <w:t>发布政务资讯4567条</w:t>
      </w:r>
      <w:r>
        <w:rPr>
          <w:rFonts w:hint="eastAsia" w:ascii="Times New Roman" w:hAnsi="Times New Roman" w:eastAsia="方正仿宋_GBK" w:cs="Times New Roman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lang w:val="en-US" w:eastAsia="zh-CN"/>
        </w:rPr>
        <w:t>健全</w:t>
      </w:r>
      <w:r>
        <w:rPr>
          <w:rFonts w:hint="eastAsia" w:ascii="方正仿宋_GBK" w:hAnsi="方正仿宋_GBK" w:eastAsia="方正仿宋_GBK" w:cs="方正仿宋_GBK"/>
        </w:rPr>
        <w:t>“</w:t>
      </w:r>
      <w:r>
        <w:rPr>
          <w:rFonts w:hint="default" w:ascii="Times New Roman" w:hAnsi="Times New Roman" w:eastAsia="方正仿宋_GBK" w:cs="Times New Roman"/>
        </w:rPr>
        <w:t>书记信箱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县长信箱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在线访谈</w:t>
      </w:r>
      <w:r>
        <w:rPr>
          <w:rFonts w:hint="eastAsia" w:ascii="方正仿宋_GBK" w:hAnsi="方正仿宋_GBK" w:eastAsia="方正仿宋_GBK" w:cs="方正仿宋_GBK"/>
        </w:rPr>
        <w:t>”“</w:t>
      </w:r>
      <w:r>
        <w:rPr>
          <w:rFonts w:hint="default" w:ascii="Times New Roman" w:hAnsi="Times New Roman" w:eastAsia="方正仿宋_GBK" w:cs="Times New Roman"/>
        </w:rPr>
        <w:t>在线调查</w:t>
      </w:r>
      <w:r>
        <w:rPr>
          <w:rFonts w:hint="eastAsia" w:ascii="方正仿宋_GBK" w:hAnsi="方正仿宋_GBK" w:eastAsia="方正仿宋_GBK" w:cs="方正仿宋_GBK"/>
        </w:rPr>
        <w:t>”</w:t>
      </w:r>
      <w:r>
        <w:rPr>
          <w:rFonts w:hint="default" w:ascii="Times New Roman" w:hAnsi="Times New Roman" w:eastAsia="方正仿宋_GBK" w:cs="Times New Roman"/>
        </w:rPr>
        <w:t>等</w:t>
      </w:r>
      <w:r>
        <w:rPr>
          <w:rFonts w:hint="eastAsia" w:ascii="Times New Roman" w:hAnsi="Times New Roman" w:eastAsia="方正仿宋_GBK" w:cs="Times New Roman"/>
          <w:lang w:val="en-US" w:eastAsia="zh-CN"/>
        </w:rPr>
        <w:t>政民互动渠道，收到</w:t>
      </w:r>
      <w:r>
        <w:rPr>
          <w:rFonts w:hint="default" w:ascii="Times New Roman" w:hAnsi="Times New Roman" w:eastAsia="方正仿宋_GBK" w:cs="Times New Roman"/>
        </w:rPr>
        <w:t>网民来信2858件</w:t>
      </w:r>
      <w:r>
        <w:rPr>
          <w:rFonts w:hint="eastAsia" w:ascii="Times New Roman" w:hAnsi="Times New Roman" w:eastAsia="方正仿宋_GBK" w:cs="Times New Roman"/>
          <w:lang w:eastAsia="zh-CN"/>
        </w:rPr>
        <w:t>，</w:t>
      </w:r>
      <w:r>
        <w:rPr>
          <w:rFonts w:hint="default" w:ascii="Times New Roman" w:hAnsi="Times New Roman" w:eastAsia="方正仿宋_GBK" w:cs="Times New Roman"/>
        </w:rPr>
        <w:t>办结2858件，开展在线访谈6期、在线调查6期。</w:t>
      </w:r>
      <w:r>
        <w:rPr>
          <w:rFonts w:hint="eastAsia" w:ascii="Times New Roman" w:hAnsi="Times New Roman" w:eastAsia="方正仿宋_GBK" w:cs="Times New Roman"/>
          <w:lang w:val="en-US" w:eastAsia="zh-CN"/>
        </w:rPr>
        <w:t>用好</w:t>
      </w:r>
      <w:r>
        <w:rPr>
          <w:rFonts w:hint="default" w:ascii="Times New Roman" w:hAnsi="Times New Roman" w:eastAsia="方正仿宋_GBK" w:cs="Times New Roman"/>
        </w:rPr>
        <w:t>金寨县人民政府发布微博、微信</w:t>
      </w:r>
      <w:r>
        <w:rPr>
          <w:rFonts w:hint="eastAsia" w:ascii="Times New Roman" w:hAnsi="Times New Roman" w:eastAsia="方正仿宋_GBK" w:cs="Times New Roman"/>
          <w:lang w:val="en-US" w:eastAsia="zh-CN"/>
        </w:rPr>
        <w:t>等政务媒体平台，全年</w:t>
      </w:r>
      <w:r>
        <w:rPr>
          <w:rFonts w:hint="default" w:ascii="Times New Roman" w:hAnsi="Times New Roman" w:eastAsia="方正仿宋_GBK" w:cs="Times New Roman"/>
        </w:rPr>
        <w:t>发布信息</w:t>
      </w:r>
      <w:r>
        <w:rPr>
          <w:rFonts w:hint="eastAsia" w:ascii="Times New Roman" w:hAnsi="Times New Roman" w:eastAsia="方正仿宋_GBK" w:cs="Times New Roman"/>
          <w:lang w:val="en-US" w:eastAsia="zh-CN"/>
        </w:rPr>
        <w:t>1092</w:t>
      </w:r>
      <w:r>
        <w:rPr>
          <w:rFonts w:hint="default" w:ascii="Times New Roman" w:hAnsi="Times New Roman" w:eastAsia="方正仿宋_GBK" w:cs="Times New Roman"/>
        </w:rPr>
        <w:t>条</w:t>
      </w:r>
      <w:r>
        <w:rPr>
          <w:rFonts w:hint="eastAsia" w:ascii="Times New Roman" w:hAnsi="Times New Roman" w:eastAsia="方正仿宋_GBK" w:cs="Times New Roman"/>
          <w:lang w:eastAsia="zh-CN"/>
        </w:rPr>
        <w:t>。</w:t>
      </w:r>
    </w:p>
    <w:p w14:paraId="4EAEA86F">
      <w:pPr>
        <w:ind w:firstLine="640"/>
        <w:rPr>
          <w:rFonts w:hint="default" w:ascii="方正楷体_GBK" w:hAnsi="方正楷体_GBK" w:eastAsia="方正楷体_GBK" w:cs="方正楷体_GBK"/>
          <w:lang w:val="en-US"/>
        </w:rPr>
      </w:pPr>
      <w:r>
        <w:rPr>
          <w:rFonts w:ascii="方正楷体_GBK" w:hAnsi="方正楷体_GBK" w:eastAsia="方正楷体_GBK" w:cs="方正楷体_GBK"/>
        </w:rPr>
        <w:t>5.监督保障。</w:t>
      </w:r>
      <w:r>
        <w:rPr>
          <w:rFonts w:hint="default" w:ascii="Times New Roman" w:hAnsi="Times New Roman" w:eastAsia="方正仿宋_GBK" w:cs="Times New Roman"/>
        </w:rPr>
        <w:t>加强政务公开工作调度，</w:t>
      </w:r>
      <w:r>
        <w:rPr>
          <w:rFonts w:hint="eastAsia" w:ascii="Times New Roman" w:hAnsi="Times New Roman" w:eastAsia="方正仿宋_GBK" w:cs="Times New Roman"/>
          <w:lang w:val="en-US" w:eastAsia="zh-CN"/>
        </w:rPr>
        <w:t>季度召开</w:t>
      </w:r>
      <w:r>
        <w:rPr>
          <w:rFonts w:hint="default" w:ascii="Times New Roman" w:hAnsi="Times New Roman" w:eastAsia="方正仿宋_GBK" w:cs="Times New Roman"/>
        </w:rPr>
        <w:t>政务公开工作推进会</w:t>
      </w:r>
      <w:r>
        <w:rPr>
          <w:rFonts w:hint="eastAsia" w:ascii="Times New Roman" w:hAnsi="Times New Roman" w:eastAsia="方正仿宋_GBK" w:cs="Times New Roman"/>
          <w:lang w:val="en-US" w:eastAsia="zh-CN"/>
        </w:rPr>
        <w:t>和业务培训会，全年召开各项会议9次</w:t>
      </w:r>
      <w:r>
        <w:rPr>
          <w:rFonts w:hint="default" w:ascii="Times New Roman" w:hAnsi="Times New Roman" w:eastAsia="方正仿宋_GBK" w:cs="Times New Roman"/>
        </w:rPr>
        <w:t>，</w:t>
      </w:r>
      <w:r>
        <w:rPr>
          <w:rFonts w:hint="eastAsia" w:ascii="Times New Roman" w:hAnsi="Times New Roman" w:eastAsia="方正仿宋_GBK" w:cs="Times New Roman"/>
          <w:lang w:val="en-US" w:eastAsia="zh-CN"/>
        </w:rPr>
        <w:t>通过以训带教，增强业务水平。优化政务公开考核机制，将政务公开考核纳入2024年度乡镇和县直单位目标管理考核内容，且占比不少于4%。</w:t>
      </w:r>
      <w:r>
        <w:rPr>
          <w:rFonts w:ascii="Times New Roman" w:hAnsi="Times New Roman" w:eastAsia="方正仿宋_GBK" w:cs="Times New Roman"/>
          <w:szCs w:val="32"/>
          <w:shd w:val="clear" w:color="auto" w:fill="FFFFFF"/>
        </w:rPr>
        <w:t>落实政府信息公开社会评议和责任追究制度，本年度未发生责任追究事件。</w:t>
      </w:r>
    </w:p>
    <w:p w14:paraId="6B0F2E92">
      <w:pPr>
        <w:widowControl/>
        <w:kinsoku w:val="0"/>
        <w:autoSpaceDE w:val="0"/>
        <w:autoSpaceDN w:val="0"/>
        <w:adjustRightInd w:val="0"/>
        <w:snapToGrid w:val="0"/>
        <w:spacing w:before="32"/>
        <w:ind w:firstLine="628"/>
        <w:jc w:val="left"/>
        <w:textAlignment w:val="baseline"/>
        <w:outlineLvl w:val="0"/>
        <w:rPr>
          <w:rFonts w:ascii="方正黑体_GBK" w:hAnsi="方正黑体_GBK" w:eastAsia="方正黑体_GBK" w:cs="方正黑体_GBK"/>
          <w:snapToGrid w:val="0"/>
          <w:color w:val="000000"/>
          <w:kern w:val="0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3"/>
          <w:kern w:val="0"/>
          <w:szCs w:val="32"/>
        </w:rPr>
        <w:t>二、主动公开政府信息情况</w:t>
      </w:r>
    </w:p>
    <w:tbl>
      <w:tblPr>
        <w:tblStyle w:val="5"/>
        <w:tblpPr w:leftFromText="180" w:rightFromText="180" w:vertAnchor="text" w:horzAnchor="page" w:tblpX="1085" w:tblpY="430"/>
        <w:tblOverlap w:val="never"/>
        <w:tblW w:w="976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4"/>
        <w:gridCol w:w="2434"/>
        <w:gridCol w:w="2434"/>
        <w:gridCol w:w="2448"/>
      </w:tblGrid>
      <w:tr w14:paraId="4A296F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760" w:type="dxa"/>
            <w:gridSpan w:val="4"/>
            <w:shd w:val="clear" w:color="auto" w:fill="C6D9F1"/>
            <w:vAlign w:val="center"/>
          </w:tcPr>
          <w:p w14:paraId="5F59C1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228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9"/>
                <w:kern w:val="0"/>
                <w:sz w:val="24"/>
                <w:lang w:eastAsia="en-US"/>
              </w:rPr>
              <w:t>第二十条第（一）项</w:t>
            </w:r>
          </w:p>
        </w:tc>
      </w:tr>
      <w:tr w14:paraId="30DB55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444" w:type="dxa"/>
            <w:vAlign w:val="center"/>
          </w:tcPr>
          <w:p w14:paraId="3E2833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8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信息内容</w:t>
            </w:r>
          </w:p>
        </w:tc>
        <w:tc>
          <w:tcPr>
            <w:tcW w:w="2434" w:type="dxa"/>
            <w:vAlign w:val="center"/>
          </w:tcPr>
          <w:p w14:paraId="50D415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7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8"/>
                <w:kern w:val="0"/>
                <w:sz w:val="24"/>
                <w:lang w:eastAsia="en-US"/>
              </w:rPr>
              <w:t>本年制发件数</w:t>
            </w:r>
          </w:p>
        </w:tc>
        <w:tc>
          <w:tcPr>
            <w:tcW w:w="2434" w:type="dxa"/>
            <w:vAlign w:val="center"/>
          </w:tcPr>
          <w:p w14:paraId="034E45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7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8"/>
                <w:kern w:val="0"/>
                <w:sz w:val="24"/>
                <w:lang w:eastAsia="en-US"/>
              </w:rPr>
              <w:t>本年废止件数</w:t>
            </w:r>
          </w:p>
        </w:tc>
        <w:tc>
          <w:tcPr>
            <w:tcW w:w="2448" w:type="dxa"/>
            <w:vAlign w:val="center"/>
          </w:tcPr>
          <w:p w14:paraId="342D46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8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8"/>
                <w:kern w:val="0"/>
                <w:sz w:val="24"/>
                <w:lang w:eastAsia="en-US"/>
              </w:rPr>
              <w:t>现行有效件数</w:t>
            </w:r>
          </w:p>
        </w:tc>
      </w:tr>
      <w:tr w14:paraId="5F1F85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2444" w:type="dxa"/>
            <w:vAlign w:val="center"/>
          </w:tcPr>
          <w:p w14:paraId="622410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227" w:lineRule="auto"/>
              <w:ind w:left="60"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4"/>
                <w:kern w:val="0"/>
                <w:sz w:val="24"/>
                <w:lang w:eastAsia="en-US"/>
              </w:rPr>
              <w:t>规章</w:t>
            </w:r>
          </w:p>
        </w:tc>
        <w:tc>
          <w:tcPr>
            <w:tcW w:w="2434" w:type="dxa"/>
            <w:vAlign w:val="center"/>
          </w:tcPr>
          <w:p w14:paraId="164BD4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  <w:t>0</w:t>
            </w:r>
          </w:p>
        </w:tc>
        <w:tc>
          <w:tcPr>
            <w:tcW w:w="2434" w:type="dxa"/>
            <w:vAlign w:val="center"/>
          </w:tcPr>
          <w:p w14:paraId="613476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  <w:t>0</w:t>
            </w:r>
          </w:p>
        </w:tc>
        <w:tc>
          <w:tcPr>
            <w:tcW w:w="2448" w:type="dxa"/>
            <w:vAlign w:val="center"/>
          </w:tcPr>
          <w:p w14:paraId="13511D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  <w:t>0</w:t>
            </w:r>
          </w:p>
        </w:tc>
      </w:tr>
      <w:tr w14:paraId="1646E6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444" w:type="dxa"/>
            <w:vAlign w:val="center"/>
          </w:tcPr>
          <w:p w14:paraId="086E94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8" w:lineRule="auto"/>
              <w:ind w:left="63"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8"/>
                <w:kern w:val="0"/>
                <w:sz w:val="24"/>
                <w:lang w:eastAsia="en-US"/>
              </w:rPr>
              <w:t>行政规范性文件</w:t>
            </w:r>
          </w:p>
        </w:tc>
        <w:tc>
          <w:tcPr>
            <w:tcW w:w="2434" w:type="dxa"/>
            <w:vAlign w:val="center"/>
          </w:tcPr>
          <w:p w14:paraId="36640F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434" w:type="dxa"/>
            <w:vAlign w:val="center"/>
          </w:tcPr>
          <w:p w14:paraId="5C0532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lang w:val="en-US" w:eastAsia="zh-CN"/>
              </w:rPr>
              <w:t>62</w:t>
            </w:r>
          </w:p>
        </w:tc>
        <w:tc>
          <w:tcPr>
            <w:tcW w:w="2448" w:type="dxa"/>
            <w:vAlign w:val="center"/>
          </w:tcPr>
          <w:p w14:paraId="01E9D6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lang w:val="en-US" w:eastAsia="zh-CN"/>
              </w:rPr>
              <w:t>74</w:t>
            </w:r>
          </w:p>
        </w:tc>
      </w:tr>
      <w:tr w14:paraId="718C72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760" w:type="dxa"/>
            <w:gridSpan w:val="4"/>
            <w:shd w:val="clear" w:color="auto" w:fill="C6D9F1"/>
            <w:vAlign w:val="center"/>
          </w:tcPr>
          <w:p w14:paraId="0B0B75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8" w:lineRule="auto"/>
              <w:ind w:left="3971" w:firstLine="0" w:firstLineChars="0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pacing w:val="9"/>
                <w:kern w:val="0"/>
                <w:sz w:val="24"/>
                <w:lang w:eastAsia="en-US"/>
              </w:rPr>
              <w:t>第二十条第（五）项</w:t>
            </w:r>
          </w:p>
        </w:tc>
      </w:tr>
      <w:tr w14:paraId="5A3A6B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444" w:type="dxa"/>
            <w:vAlign w:val="center"/>
          </w:tcPr>
          <w:p w14:paraId="4C16BE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8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信息内容</w:t>
            </w:r>
          </w:p>
        </w:tc>
        <w:tc>
          <w:tcPr>
            <w:tcW w:w="7316" w:type="dxa"/>
            <w:gridSpan w:val="3"/>
            <w:vAlign w:val="center"/>
          </w:tcPr>
          <w:p w14:paraId="192E87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7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pacing w:val="8"/>
                <w:kern w:val="0"/>
                <w:sz w:val="24"/>
                <w:lang w:eastAsia="en-US"/>
              </w:rPr>
              <w:t>本年处理决定数量</w:t>
            </w:r>
          </w:p>
        </w:tc>
      </w:tr>
      <w:tr w14:paraId="0E5840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444" w:type="dxa"/>
            <w:vAlign w:val="center"/>
          </w:tcPr>
          <w:p w14:paraId="045664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9" w:lineRule="auto"/>
              <w:ind w:left="63"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行政许可</w:t>
            </w:r>
          </w:p>
        </w:tc>
        <w:tc>
          <w:tcPr>
            <w:tcW w:w="7316" w:type="dxa"/>
            <w:gridSpan w:val="3"/>
            <w:vAlign w:val="center"/>
          </w:tcPr>
          <w:p w14:paraId="6E648F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  <w:t>95594</w:t>
            </w:r>
          </w:p>
        </w:tc>
      </w:tr>
      <w:tr w14:paraId="42BD70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60" w:type="dxa"/>
            <w:gridSpan w:val="4"/>
            <w:shd w:val="clear" w:color="auto" w:fill="C6D9F1"/>
            <w:vAlign w:val="center"/>
          </w:tcPr>
          <w:p w14:paraId="36BC4C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28" w:lineRule="auto"/>
              <w:ind w:left="3971" w:firstLine="0" w:firstLineChars="0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pacing w:val="9"/>
                <w:kern w:val="0"/>
                <w:sz w:val="24"/>
                <w:lang w:eastAsia="en-US"/>
              </w:rPr>
              <w:t>第二十条第（六）项</w:t>
            </w:r>
          </w:p>
        </w:tc>
      </w:tr>
      <w:tr w14:paraId="44B896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444" w:type="dxa"/>
            <w:vAlign w:val="center"/>
          </w:tcPr>
          <w:p w14:paraId="0E9F80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28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信息内容</w:t>
            </w:r>
          </w:p>
        </w:tc>
        <w:tc>
          <w:tcPr>
            <w:tcW w:w="7316" w:type="dxa"/>
            <w:gridSpan w:val="3"/>
            <w:vAlign w:val="center"/>
          </w:tcPr>
          <w:p w14:paraId="474966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27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pacing w:val="8"/>
                <w:kern w:val="0"/>
                <w:sz w:val="24"/>
                <w:lang w:eastAsia="en-US"/>
              </w:rPr>
              <w:t>本年处理决定数量</w:t>
            </w:r>
          </w:p>
        </w:tc>
      </w:tr>
      <w:tr w14:paraId="0BCCAB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444" w:type="dxa"/>
            <w:vAlign w:val="center"/>
          </w:tcPr>
          <w:p w14:paraId="4E496B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229" w:lineRule="auto"/>
              <w:ind w:left="63"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行政处罚</w:t>
            </w:r>
          </w:p>
        </w:tc>
        <w:tc>
          <w:tcPr>
            <w:tcW w:w="7316" w:type="dxa"/>
            <w:gridSpan w:val="3"/>
            <w:vAlign w:val="center"/>
          </w:tcPr>
          <w:p w14:paraId="5B7245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  <w:t>239583</w:t>
            </w:r>
          </w:p>
        </w:tc>
      </w:tr>
      <w:tr w14:paraId="0189F9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444" w:type="dxa"/>
            <w:vAlign w:val="center"/>
          </w:tcPr>
          <w:p w14:paraId="363043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6" w:line="229" w:lineRule="auto"/>
              <w:ind w:left="63"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行政强制</w:t>
            </w:r>
          </w:p>
        </w:tc>
        <w:tc>
          <w:tcPr>
            <w:tcW w:w="7316" w:type="dxa"/>
            <w:gridSpan w:val="3"/>
            <w:vAlign w:val="center"/>
          </w:tcPr>
          <w:p w14:paraId="4AA933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  <w:t>936</w:t>
            </w:r>
          </w:p>
        </w:tc>
      </w:tr>
      <w:tr w14:paraId="38F693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760" w:type="dxa"/>
            <w:gridSpan w:val="4"/>
            <w:shd w:val="clear" w:color="auto" w:fill="C6D9F1"/>
            <w:vAlign w:val="center"/>
          </w:tcPr>
          <w:p w14:paraId="324C18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8" w:lineRule="auto"/>
              <w:ind w:left="3971" w:firstLine="0" w:firstLineChars="0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pacing w:val="9"/>
                <w:kern w:val="0"/>
                <w:sz w:val="24"/>
                <w:lang w:eastAsia="en-US"/>
              </w:rPr>
              <w:t>第二十条第（八）项</w:t>
            </w:r>
          </w:p>
        </w:tc>
      </w:tr>
      <w:tr w14:paraId="402CE9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444" w:type="dxa"/>
            <w:vAlign w:val="center"/>
          </w:tcPr>
          <w:p w14:paraId="736869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28" w:lineRule="auto"/>
              <w:ind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7"/>
                <w:kern w:val="0"/>
                <w:sz w:val="24"/>
                <w:lang w:eastAsia="en-US"/>
              </w:rPr>
              <w:t>信息内容</w:t>
            </w:r>
          </w:p>
        </w:tc>
        <w:tc>
          <w:tcPr>
            <w:tcW w:w="7316" w:type="dxa"/>
            <w:gridSpan w:val="3"/>
            <w:vAlign w:val="center"/>
          </w:tcPr>
          <w:p w14:paraId="0710F9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27" w:lineRule="auto"/>
              <w:ind w:firstLine="0" w:firstLineChars="0"/>
              <w:jc w:val="center"/>
              <w:textAlignment w:val="baseline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pacing w:val="8"/>
                <w:kern w:val="0"/>
                <w:sz w:val="24"/>
              </w:rPr>
              <w:t>本年收费金额（单位：万元）</w:t>
            </w:r>
          </w:p>
        </w:tc>
      </w:tr>
      <w:tr w14:paraId="670BFC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444" w:type="dxa"/>
            <w:vAlign w:val="center"/>
          </w:tcPr>
          <w:p w14:paraId="2DAE15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28" w:lineRule="auto"/>
              <w:ind w:left="63" w:firstLine="0" w:firstLineChars="0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kern w:val="0"/>
                <w:sz w:val="24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pacing w:val="8"/>
                <w:kern w:val="0"/>
                <w:sz w:val="24"/>
                <w:lang w:eastAsia="en-US"/>
              </w:rPr>
              <w:t>行政事业性收费</w:t>
            </w:r>
          </w:p>
        </w:tc>
        <w:tc>
          <w:tcPr>
            <w:tcW w:w="7316" w:type="dxa"/>
            <w:gridSpan w:val="3"/>
            <w:vAlign w:val="center"/>
          </w:tcPr>
          <w:p w14:paraId="415C41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lang w:val="en-US" w:eastAsia="zh-CN"/>
              </w:rPr>
              <w:t>7563.57</w:t>
            </w:r>
          </w:p>
        </w:tc>
      </w:tr>
    </w:tbl>
    <w:p w14:paraId="1B87987B">
      <w:pPr>
        <w:ind w:firstLine="0" w:firstLineChars="0"/>
      </w:pPr>
      <w:bookmarkStart w:id="0" w:name="_GoBack"/>
      <w:bookmarkEnd w:id="0"/>
    </w:p>
    <w:p w14:paraId="1AE562F8">
      <w:pPr>
        <w:ind w:left="640" w:leftChars="200" w:firstLine="0" w:firstLineChars="0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三、收到和处理政府信息公开申请情况</w:t>
      </w:r>
    </w:p>
    <w:p w14:paraId="0CB45946">
      <w:pPr>
        <w:ind w:left="640" w:leftChars="200" w:firstLine="0" w:firstLineChars="0"/>
        <w:rPr>
          <w:rFonts w:ascii="方正黑体_GBK" w:hAnsi="方正黑体_GBK" w:eastAsia="方正黑体_GBK" w:cs="方正黑体_GBK"/>
        </w:rPr>
      </w:pPr>
    </w:p>
    <w:tbl>
      <w:tblPr>
        <w:tblStyle w:val="3"/>
        <w:tblW w:w="1075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4"/>
        <w:gridCol w:w="1087"/>
        <w:gridCol w:w="2720"/>
        <w:gridCol w:w="900"/>
        <w:gridCol w:w="900"/>
        <w:gridCol w:w="788"/>
        <w:gridCol w:w="843"/>
        <w:gridCol w:w="919"/>
        <w:gridCol w:w="769"/>
        <w:gridCol w:w="885"/>
      </w:tblGrid>
      <w:tr w14:paraId="05A533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475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DFC0C">
            <w:pPr>
              <w:pStyle w:val="2"/>
              <w:widowControl/>
              <w:spacing w:beforeAutospacing="0" w:afterAutospacing="0" w:line="360" w:lineRule="exact"/>
              <w:ind w:firstLine="48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600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98029">
            <w:pPr>
              <w:pStyle w:val="2"/>
              <w:widowControl/>
              <w:spacing w:beforeAutospacing="0" w:afterAutospacing="0" w:line="360" w:lineRule="exact"/>
              <w:ind w:firstLine="48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75A0D7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475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8B42F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4FFD8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4219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AB50">
            <w:pPr>
              <w:pStyle w:val="2"/>
              <w:widowControl/>
              <w:spacing w:beforeAutospacing="0" w:afterAutospacing="0" w:line="360" w:lineRule="exact"/>
              <w:ind w:firstLine="48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885" w:type="dxa"/>
            <w:vMerge w:val="restart"/>
            <w:tcBorders>
              <w:top w:val="single" w:color="auto" w:sz="6" w:space="0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FDA3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2E848B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6" w:hRule="atLeast"/>
          <w:jc w:val="center"/>
        </w:trPr>
        <w:tc>
          <w:tcPr>
            <w:tcW w:w="475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3EC59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E805BC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BB9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 w14:paraId="459D44C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C10D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 w14:paraId="36E5277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337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9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299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7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7D1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85" w:type="dxa"/>
            <w:vMerge w:val="continue"/>
            <w:tcBorders>
              <w:top w:val="single" w:color="auto" w:sz="6" w:space="0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36B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D83F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475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54B5B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auto"/>
              </w:rPr>
            </w:pPr>
            <w:r>
              <w:rPr>
                <w:rFonts w:ascii="Times New Roman" w:hAnsi="Times New Roman" w:eastAsia="方正仿宋_GBK"/>
                <w:color w:val="auto"/>
              </w:rPr>
              <w:t>一、本年新收政府信息公开申请数量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CA18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lang w:val="en-US" w:eastAsia="zh-CN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E9963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auto"/>
              </w:rPr>
            </w:pPr>
            <w:r>
              <w:rPr>
                <w:rFonts w:ascii="Times New Roman" w:hAnsi="Times New Roman" w:eastAsia="方正仿宋_GBK"/>
                <w:color w:val="auto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2437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auto"/>
              </w:rPr>
            </w:pPr>
            <w:r>
              <w:rPr>
                <w:rFonts w:ascii="Times New Roman" w:hAnsi="Times New Roman" w:eastAsia="方正仿宋_GBK"/>
                <w:color w:val="auto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AA7D9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auto"/>
              </w:rPr>
            </w:pPr>
            <w:r>
              <w:rPr>
                <w:rFonts w:ascii="Times New Roman" w:hAnsi="Times New Roman" w:eastAsia="方正仿宋_GBK"/>
                <w:color w:val="auto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D1C16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auto"/>
              </w:rPr>
            </w:pPr>
            <w:r>
              <w:rPr>
                <w:rFonts w:ascii="Times New Roman" w:hAnsi="Times New Roman" w:eastAsia="方正仿宋_GBK"/>
                <w:color w:val="auto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A6C0F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auto"/>
              </w:rPr>
            </w:pPr>
            <w:r>
              <w:rPr>
                <w:rFonts w:ascii="Times New Roman" w:hAnsi="Times New Roman" w:eastAsia="方正仿宋_GBK"/>
                <w:color w:val="auto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A857F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lang w:val="en-US" w:eastAsia="zh-CN"/>
              </w:rPr>
              <w:t>125</w:t>
            </w:r>
          </w:p>
        </w:tc>
      </w:tr>
      <w:tr w14:paraId="1EF79A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75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21FDD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F0BF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6BD3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595EA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949A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99CEF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E85CA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72848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 w14:paraId="20C16E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  <w:jc w:val="center"/>
        </w:trPr>
        <w:tc>
          <w:tcPr>
            <w:tcW w:w="944" w:type="dxa"/>
            <w:vMerge w:val="restart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D6BF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BD34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EA51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C718D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D84FE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2C55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5545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9666C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45522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</w:tr>
      <w:tr w14:paraId="33012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9D810F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C2A6A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F3A9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D5727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FB09A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0779F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4BE63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9E3D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6403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 w14:paraId="3ED72E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DBD4D6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5C657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0838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78AC1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81D11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3CC5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A98C7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FF97C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BFD0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F2DC1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F680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D569B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E928B2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617BA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2E56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CC3C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1A6C2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EC2A6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ED40C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4D741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72DA5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C9C6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54278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59996D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87895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BDAF8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48780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A08C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4A22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EB73F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4B196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8350C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83117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A3D679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C95667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7ED19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DD41E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E1DE6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BAF0E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BAC9E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506BB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15FE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0FCC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309D7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998207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52C58E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2C36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D90E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C8A5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08A7E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118AF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32650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C1688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C9E72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030A7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78AB1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699ED8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F77A8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6A2F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D3E5E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3A223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685FE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EF5A1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B093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C97EA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2DCB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85452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5F7210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83034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C2FCF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eastAsia" w:ascii="Times New Roman" w:hAnsi="Times New Roman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70419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425A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52C8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2070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1523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3216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eastAsia" w:ascii="Times New Roman" w:hAnsi="Times New Roman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EA2A5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3A91E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E0298A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373B4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C9E9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eastAsia" w:ascii="Times New Roman" w:hAnsi="Times New Roman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70BAC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324E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140A5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10D2E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7CB7B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9EAE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eastAsia" w:ascii="Times New Roman" w:hAnsi="Times New Roman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BFDEE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C86561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C4D4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5F22E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0CC9C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282AB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EBCB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03509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F8BD7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8EF19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1FA1C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</w:tr>
      <w:tr w14:paraId="0ECB64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8AB737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9EF7F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96E06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F0284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9071D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1EE38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4722B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6A962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0418D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9F9E6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DFB6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8958D9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17DFD9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E3B8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8EF02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2C132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A0FD9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897C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483E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4AF14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75310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81E72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7ED26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1D350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060FB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75BE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BAEA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CA79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6E11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3055E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76FF1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C1338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60F8D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E5B1CD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2024C6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7CD6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14F5D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386D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ED9F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1521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54FC1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D17D8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FBD8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AA117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8A82E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CFC2F5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C5075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87892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F5B5A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C8CE8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F22B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CBC83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B11A2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1B3F6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69314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11CADA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05D5EC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A315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446632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F92E8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D12DE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F75EF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D8A4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2BEFF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16334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E126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7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4875A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C297F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411E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90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97EB7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94291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0AA1F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3E3AB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1CCC1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A3736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E190D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7D44A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700759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C51A3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D4EF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930559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18681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3F328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DE58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3C51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E99E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E72B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E05D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4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3330E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0029B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E775A8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0B638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419FC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D8AAB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BFF57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12558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EEE3E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96B4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B03B3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A6C56F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A8C840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A0B07E">
            <w:pPr>
              <w:pStyle w:val="2"/>
              <w:widowControl/>
              <w:spacing w:beforeAutospacing="0" w:afterAutospacing="0" w:line="360" w:lineRule="exact"/>
              <w:ind w:firstLine="48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D7CE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F3D1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A42A9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C579B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E630CE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1AAC35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2B4C9C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1C0774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94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602A6A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B51728">
            <w:pPr>
              <w:pStyle w:val="2"/>
              <w:widowControl/>
              <w:spacing w:beforeAutospacing="0" w:afterAutospacing="0" w:line="360" w:lineRule="exact"/>
              <w:ind w:firstLine="48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5856A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7EBFB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03714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E2E61D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AA123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CC1AF3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2279AB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default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</w:tr>
      <w:tr w14:paraId="2D6DE5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475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A4AF7">
            <w:pPr>
              <w:pStyle w:val="2"/>
              <w:widowControl/>
              <w:spacing w:beforeAutospacing="0" w:afterAutospacing="0" w:line="360" w:lineRule="exact"/>
              <w:ind w:firstLine="48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116450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eastAsia" w:ascii="Times New Roman" w:hAnsi="Times New Roman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4AFCF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1C126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AA4351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D4106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F5B87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EBBFF4">
            <w:pPr>
              <w:pStyle w:val="2"/>
              <w:widowControl/>
              <w:spacing w:beforeAutospacing="0" w:afterAutospacing="0" w:line="360" w:lineRule="exact"/>
              <w:ind w:firstLine="0" w:firstLineChars="0"/>
              <w:jc w:val="center"/>
              <w:rPr>
                <w:rFonts w:hint="eastAsia" w:ascii="Times New Roman" w:hAnsi="Times New Roman" w:eastAsia="方正仿宋_GBK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5F726E54">
      <w:pPr>
        <w:ind w:firstLine="0" w:firstLineChars="0"/>
        <w:rPr>
          <w:rFonts w:ascii="方正黑体_GBK" w:hAnsi="方正黑体_GBK" w:eastAsia="方正黑体_GBK" w:cs="方正黑体_GBK"/>
        </w:rPr>
      </w:pPr>
    </w:p>
    <w:p w14:paraId="47CF3ECE">
      <w:pPr>
        <w:ind w:left="640" w:leftChars="200" w:firstLine="0" w:firstLineChars="0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四、政府信息公开行政复议、行政诉讼情况</w:t>
      </w:r>
    </w:p>
    <w:tbl>
      <w:tblPr>
        <w:tblStyle w:val="3"/>
        <w:tblpPr w:leftFromText="180" w:rightFromText="180" w:vertAnchor="text" w:horzAnchor="page" w:tblpXSpec="center" w:tblpY="1150"/>
        <w:tblOverlap w:val="never"/>
        <w:tblW w:w="1010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6"/>
        <w:gridCol w:w="732"/>
        <w:gridCol w:w="675"/>
        <w:gridCol w:w="637"/>
        <w:gridCol w:w="695"/>
        <w:gridCol w:w="656"/>
        <w:gridCol w:w="637"/>
        <w:gridCol w:w="675"/>
        <w:gridCol w:w="657"/>
        <w:gridCol w:w="637"/>
        <w:gridCol w:w="638"/>
        <w:gridCol w:w="656"/>
        <w:gridCol w:w="712"/>
        <w:gridCol w:w="750"/>
        <w:gridCol w:w="666"/>
      </w:tblGrid>
      <w:tr w14:paraId="37CB56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  <w:jc w:val="center"/>
        </w:trPr>
        <w:tc>
          <w:tcPr>
            <w:tcW w:w="34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B60FF">
            <w:pPr>
              <w:widowControl/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68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D9662">
            <w:pPr>
              <w:widowControl/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489FD1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98FEE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A3F43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5B21B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C4D9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9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6C99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262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8B18">
            <w:pPr>
              <w:widowControl/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422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D0E">
            <w:pPr>
              <w:widowControl/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082CED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2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CC78">
            <w:pPr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04FA">
            <w:pPr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008A">
            <w:pPr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C493">
            <w:pPr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6F7E">
            <w:pPr>
              <w:spacing w:line="360" w:lineRule="exact"/>
              <w:ind w:firstLine="420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E835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CF38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D17E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7699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08EA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6BB2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7461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7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1F82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5244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37AA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23519C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6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1387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383D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AA50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A254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42E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A4FC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8B18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D74CF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487F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FADB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CCB4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E12BE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9823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BA1D">
            <w:pPr>
              <w:widowControl/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43EA"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66F210FB"/>
    <w:p w14:paraId="64C768F0">
      <w:pPr>
        <w:bidi w:val="0"/>
        <w:rPr>
          <w:rFonts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</w:pPr>
    </w:p>
    <w:p w14:paraId="5DEB7C9D">
      <w:pPr>
        <w:ind w:firstLine="640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五、存在的主要问题及改进情况</w:t>
      </w:r>
    </w:p>
    <w:p w14:paraId="36B6CE91">
      <w:pPr>
        <w:ind w:firstLine="640"/>
        <w:rPr>
          <w:rFonts w:hint="default" w:ascii="方正楷体_GBK" w:hAnsi="方正楷体_GBK" w:eastAsia="方正仿宋_GBK" w:cs="方正楷体_GBK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Cs w:val="32"/>
        </w:rPr>
        <w:t>上年度问题整改情况：</w:t>
      </w:r>
      <w:r>
        <w:rPr>
          <w:rFonts w:ascii="Times New Roman" w:hAnsi="Times New Roman" w:eastAsia="方正仿宋_GBK" w:cs="Times New Roman"/>
          <w:color w:val="auto"/>
          <w:szCs w:val="32"/>
          <w:highlight w:val="none"/>
        </w:rPr>
        <w:t>一是</w:t>
      </w:r>
      <w:r>
        <w:rPr>
          <w:rFonts w:hint="eastAsia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严格落实各级政务公开经办人员配置，做好专人经办，分管审核，2024年全县23各乡镇均配置专门人员经办政务公开工作，公开队伍建设不断完善。</w:t>
      </w:r>
      <w:r>
        <w:rPr>
          <w:rFonts w:ascii="Times New Roman" w:hAnsi="Times New Roman" w:eastAsia="方正仿宋_GBK" w:cs="Times New Roman"/>
          <w:color w:val="auto"/>
          <w:szCs w:val="32"/>
          <w:highlight w:val="none"/>
        </w:rPr>
        <w:t>二是</w:t>
      </w:r>
      <w:r>
        <w:rPr>
          <w:rFonts w:hint="eastAsia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加强在线访谈、金寨县人民政府发布公众号等政务新媒体渠道建设，加强平台联动，统筹平台管理，针对群众关心关切，及时发布相关信息1000余条。</w:t>
      </w:r>
    </w:p>
    <w:p w14:paraId="128BA3AF">
      <w:pPr>
        <w:ind w:firstLine="640"/>
        <w:rPr>
          <w:rFonts w:ascii="方正楷体_GBK" w:hAnsi="方正楷体_GBK" w:eastAsia="方正楷体_GBK" w:cs="方正楷体_GBK"/>
          <w:color w:val="auto"/>
          <w:szCs w:val="32"/>
        </w:rPr>
      </w:pPr>
      <w:r>
        <w:rPr>
          <w:rFonts w:hint="eastAsia" w:ascii="方正楷体_GBK" w:hAnsi="方正楷体_GBK" w:eastAsia="方正楷体_GBK" w:cs="方正楷体_GBK"/>
          <w:szCs w:val="32"/>
        </w:rPr>
        <w:t>本年度存在问题：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省、市政务公开重点工作任务落实存在差距，比如本年度政务公开重点工作中要求围绕数字转型抓好功能升级、围绕监督管理抓好权责公开等方面，未能完全按照工作要求落到实处，工作实效有待进一步提升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。</w:t>
      </w:r>
    </w:p>
    <w:p w14:paraId="27B42173">
      <w:pPr>
        <w:ind w:firstLine="640"/>
        <w:rPr>
          <w:rFonts w:hint="eastAsia" w:ascii="方正仿宋_GBK" w:hAnsi="方正仿宋_GBK" w:eastAsia="方正仿宋_GBK" w:cs="方正仿宋_GBK"/>
          <w:color w:val="auto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Cs w:val="32"/>
        </w:rPr>
        <w:t>下一步改进措施：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一是坚持创新驱动，积极探索数字化在政务公开领域的运用，不断完善政策文件库、政府公布等专题功能，提高政府信息公开的准度和效度。二是强化政务公开工作调度，加强部门协作，做好机构设置、行政权力运行、财政资金等栏目的更新完善，确保各项工作开展阳光透明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。</w:t>
      </w:r>
    </w:p>
    <w:p w14:paraId="48F1B126">
      <w:pPr>
        <w:ind w:firstLine="640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六、其他需要报告的事项</w:t>
      </w:r>
    </w:p>
    <w:p w14:paraId="37A98F52">
      <w:pPr>
        <w:ind w:firstLine="64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上线“金寨医保码上懂”服务，针对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医保报销、慢特病申报等高频咨询办理事项，将政策解读、办理流程等关键信息凝练为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分钟左右短视频，实现医保政策全方位、多角度解读发布，方便群众对医保政策的了解与兑现。今年来，上线解读视频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件，有效提高医保政策知晓度。</w:t>
      </w:r>
    </w:p>
    <w:p w14:paraId="35A4AF9F">
      <w:pPr>
        <w:ind w:firstLine="640"/>
        <w:rPr>
          <w:rFonts w:ascii="Times New Roman" w:hAnsi="Times New Roman" w:eastAsia="方正仿宋_GBK" w:cs="Times New Roman"/>
        </w:rPr>
      </w:pPr>
      <w:r>
        <w:rPr>
          <w:rFonts w:ascii="Times New Roman" w:hAnsi="Times New Roman" w:eastAsia="方正仿宋_GBK" w:cs="Times New Roman"/>
          <w:szCs w:val="32"/>
        </w:rPr>
        <w:t>按照《国务院办公厅关于印发〈政府信息公开信息处理费管理办法〉的通知》（国办函〔2020〕109号）规定的按件、按量收费标准，本年度没有产生信息公开处理</w:t>
      </w:r>
      <w:r>
        <w:rPr>
          <w:rFonts w:hint="eastAsia" w:ascii="Times New Roman" w:hAnsi="Times New Roman" w:eastAsia="方正仿宋_GBK" w:cs="Times New Roman"/>
          <w:szCs w:val="32"/>
        </w:rPr>
        <w:t>。</w:t>
      </w:r>
    </w:p>
    <w:p w14:paraId="77206A30">
      <w:pPr>
        <w:tabs>
          <w:tab w:val="left" w:pos="1297"/>
        </w:tabs>
        <w:bidi w:val="0"/>
        <w:ind w:left="0" w:leftChars="0" w:firstLine="0" w:firstLineChars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636C7"/>
    <w:rsid w:val="1173012A"/>
    <w:rsid w:val="135D2E40"/>
    <w:rsid w:val="14D07641"/>
    <w:rsid w:val="1A5C1A9C"/>
    <w:rsid w:val="1D5B4E77"/>
    <w:rsid w:val="210636C7"/>
    <w:rsid w:val="222A65E3"/>
    <w:rsid w:val="2711092A"/>
    <w:rsid w:val="290A0FDB"/>
    <w:rsid w:val="2EA527C7"/>
    <w:rsid w:val="2EF93181"/>
    <w:rsid w:val="331035D3"/>
    <w:rsid w:val="48FF5633"/>
    <w:rsid w:val="4C0767A3"/>
    <w:rsid w:val="551B1857"/>
    <w:rsid w:val="5FEE3219"/>
    <w:rsid w:val="64FB3A1F"/>
    <w:rsid w:val="6F683873"/>
    <w:rsid w:val="77B9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88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Autospacing="1" w:afterAutospacing="1" w:line="590" w:lineRule="exact"/>
      <w:ind w:firstLine="880" w:firstLineChars="200"/>
      <w:jc w:val="left"/>
    </w:pPr>
    <w:rPr>
      <w:rFonts w:eastAsia="仿宋_GB2312" w:cs="Times New Roman" w:asciiTheme="minorHAnsi" w:hAnsiTheme="minorHAnsi"/>
      <w:kern w:val="0"/>
      <w:sz w:val="24"/>
      <w:szCs w:val="24"/>
      <w:lang w:val="en-US" w:eastAsia="zh-CN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2626</Words>
  <Characters>2770</Characters>
  <Lines>0</Lines>
  <Paragraphs>0</Paragraphs>
  <TotalTime>5</TotalTime>
  <ScaleCrop>false</ScaleCrop>
  <LinksUpToDate>false</LinksUpToDate>
  <CharactersWithSpaces>2770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2025-02-05T07:04:00Z</dcterms:created>
  <dc:creator>北辰</dc:creator>
  <cp:lastModifiedBy>北辰</cp:lastModifiedBy>
  <dcterms:modified xsi:type="dcterms:W3CDTF">2026-01-26T07:44:20Z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657BF6D18C70473DAC9B6E0E33F7E659_11</vt:lpwstr>
  </property>
  <property fmtid="{D5CDD505-2E9C-101B-9397-08002B2CF9AE}" pid="4" name="KSOTemplateDocerSaveRecord">
    <vt:lpwstr>eyJoZGlkIjoiNzljOGUzOGY0YzZiZmIwNTZkNzI5NDgwYjQ0OGRkYjkiLCJ1c2VySWQiOiIyNjYzMzE2ODcifQ==</vt:lpwstr>
  </property>
</Properties>
</file>