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120" w:line="360" w:lineRule="auto"/>
        <w:ind w:left="0" w:leftChars="0" w:firstLine="0" w:firstLineChars="0"/>
        <w:jc w:val="left"/>
        <w:rPr>
          <w:rFonts w:hint="eastAsia" w:ascii="Times New Roman" w:hAnsi="Times New Roman" w:eastAsia="宋体" w:cs="Times New Roman"/>
          <w:kern w:val="0"/>
          <w:sz w:val="24"/>
          <w:szCs w:val="20"/>
          <w:lang w:val="en-US" w:eastAsia="zh-CN" w:bidi="ar-SA"/>
        </w:rPr>
      </w:pPr>
    </w:p>
    <w:p>
      <w:pPr>
        <w:spacing w:line="360" w:lineRule="auto"/>
        <w:jc w:val="left"/>
        <w:rPr>
          <w:rFonts w:hint="eastAsia" w:eastAsia="宋体"/>
          <w:sz w:val="24"/>
          <w:lang w:val="en-US" w:eastAsia="zh-CN"/>
        </w:rPr>
      </w:pPr>
    </w:p>
    <w:p>
      <w:pPr>
        <w:spacing w:line="360" w:lineRule="auto"/>
        <w:jc w:val="left"/>
        <w:rPr>
          <w:rFonts w:hint="eastAsia" w:eastAsia="宋体"/>
          <w:sz w:val="24"/>
          <w:lang w:val="en-US" w:eastAsia="zh-CN"/>
        </w:rPr>
      </w:pPr>
    </w:p>
    <w:p>
      <w:pPr>
        <w:spacing w:line="360" w:lineRule="auto"/>
        <w:jc w:val="left"/>
        <w:rPr>
          <w:rFonts w:hint="eastAsia" w:eastAsia="宋体"/>
          <w:sz w:val="24"/>
          <w:lang w:val="en-US" w:eastAsia="zh-CN"/>
        </w:rPr>
      </w:pPr>
    </w:p>
    <w:p>
      <w:pPr>
        <w:spacing w:line="360" w:lineRule="auto"/>
        <w:jc w:val="left"/>
        <w:rPr>
          <w:rFonts w:hint="eastAsia" w:eastAsia="宋体"/>
          <w:sz w:val="24"/>
          <w:lang w:val="en-US" w:eastAsia="zh-CN"/>
        </w:rPr>
      </w:pPr>
    </w:p>
    <w:p>
      <w:pPr>
        <w:spacing w:line="360" w:lineRule="auto"/>
        <w:jc w:val="left"/>
        <w:rPr>
          <w:rFonts w:hint="default" w:eastAsia="宋体"/>
          <w:sz w:val="24"/>
          <w:lang w:val="en-US" w:eastAsia="zh-CN"/>
        </w:rPr>
      </w:pPr>
    </w:p>
    <w:p>
      <w:pPr>
        <w:widowControl w:val="0"/>
        <w:spacing w:after="120" w:line="360" w:lineRule="auto"/>
        <w:ind w:left="0" w:leftChars="0" w:firstLine="0" w:firstLineChars="0"/>
        <w:jc w:val="left"/>
        <w:rPr>
          <w:rFonts w:ascii="Times New Roman" w:hAnsi="Times New Roman" w:eastAsia="宋体" w:cs="Times New Roman"/>
          <w:kern w:val="0"/>
          <w:sz w:val="24"/>
          <w:szCs w:val="20"/>
          <w:lang w:val="en-US" w:eastAsia="zh-CN" w:bidi="ar-SA"/>
        </w:rPr>
      </w:pPr>
    </w:p>
    <w:p>
      <w:pPr>
        <w:adjustRightInd w:val="0"/>
        <w:snapToGrid w:val="0"/>
        <w:spacing w:line="360" w:lineRule="auto"/>
        <w:jc w:val="center"/>
        <w:rPr>
          <w:rFonts w:eastAsia="宋体"/>
          <w:bCs/>
          <w:sz w:val="72"/>
          <w:szCs w:val="72"/>
        </w:rPr>
      </w:pPr>
      <w:r>
        <w:rPr>
          <w:rFonts w:hAnsi="宋体" w:eastAsia="宋体"/>
          <w:bCs/>
          <w:sz w:val="72"/>
          <w:szCs w:val="72"/>
        </w:rPr>
        <w:t>建设项目环境影响报告表</w:t>
      </w:r>
    </w:p>
    <w:p>
      <w:pPr>
        <w:adjustRightInd w:val="0"/>
        <w:snapToGrid w:val="0"/>
        <w:spacing w:before="192" w:beforeLines="80" w:line="360" w:lineRule="auto"/>
        <w:jc w:val="center"/>
        <w:rPr>
          <w:rFonts w:hint="eastAsia"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rPr>
          <w:rFonts w:hint="eastAsia" w:eastAsia="宋体"/>
          <w:color w:val="000000"/>
          <w:kern w:val="44"/>
          <w:sz w:val="44"/>
          <w:szCs w:val="44"/>
          <w:lang w:val="en-US" w:eastAsia="zh-CN"/>
        </w:rPr>
      </w:pPr>
    </w:p>
    <w:p>
      <w:pPr>
        <w:spacing w:line="360" w:lineRule="auto"/>
        <w:jc w:val="center"/>
        <w:rPr>
          <w:rFonts w:eastAsia="宋体"/>
          <w:sz w:val="52"/>
          <w:szCs w:val="52"/>
        </w:rPr>
      </w:pPr>
    </w:p>
    <w:p>
      <w:pPr>
        <w:spacing w:line="360" w:lineRule="auto"/>
        <w:ind w:firstLine="1040"/>
        <w:jc w:val="left"/>
        <w:rPr>
          <w:rFonts w:eastAsia="宋体"/>
          <w:sz w:val="44"/>
          <w:szCs w:val="44"/>
        </w:rPr>
      </w:pPr>
    </w:p>
    <w:p>
      <w:pPr>
        <w:widowControl w:val="0"/>
        <w:autoSpaceDE w:val="0"/>
        <w:autoSpaceDN w:val="0"/>
        <w:adjustRightInd w:val="0"/>
        <w:spacing w:line="360" w:lineRule="auto"/>
        <w:ind w:firstLine="0" w:firstLineChars="0"/>
        <w:jc w:val="left"/>
        <w:rPr>
          <w:rFonts w:ascii="宋体" w:hAnsi="Times New Roman" w:eastAsia="宋体" w:cs="宋体"/>
          <w:b/>
          <w:color w:val="000000"/>
          <w:kern w:val="2"/>
          <w:sz w:val="44"/>
          <w:szCs w:val="44"/>
          <w:lang w:val="en-US" w:eastAsia="zh-CN" w:bidi="ar-SA"/>
        </w:rPr>
      </w:pPr>
    </w:p>
    <w:p>
      <w:pPr>
        <w:widowControl w:val="0"/>
        <w:adjustRightInd w:val="0"/>
        <w:spacing w:line="312" w:lineRule="auto"/>
        <w:ind w:firstLine="567"/>
        <w:jc w:val="left"/>
        <w:rPr>
          <w:rFonts w:ascii="宋体" w:hAnsi="Times New Roman" w:eastAsia="宋体" w:cs="Times New Roman"/>
          <w:kern w:val="0"/>
          <w:sz w:val="28"/>
          <w:szCs w:val="24"/>
          <w:lang w:val="en-US" w:eastAsia="zh-CN" w:bidi="ar-SA"/>
        </w:rPr>
      </w:pPr>
    </w:p>
    <w:p>
      <w:pPr>
        <w:widowControl w:val="0"/>
        <w:adjustRightInd w:val="0"/>
        <w:spacing w:line="312" w:lineRule="auto"/>
        <w:ind w:firstLine="567"/>
        <w:jc w:val="left"/>
        <w:rPr>
          <w:rFonts w:ascii="宋体" w:hAnsi="Times New Roman" w:eastAsia="宋体" w:cs="Times New Roman"/>
          <w:kern w:val="0"/>
          <w:sz w:val="28"/>
          <w:szCs w:val="24"/>
          <w:lang w:val="en-US" w:eastAsia="zh-CN" w:bidi="ar-SA"/>
        </w:rPr>
      </w:pPr>
    </w:p>
    <w:p>
      <w:pPr>
        <w:adjustRightInd w:val="0"/>
        <w:snapToGrid w:val="0"/>
        <w:spacing w:line="288" w:lineRule="auto"/>
        <w:jc w:val="left"/>
        <w:rPr>
          <w:rFonts w:hint="default" w:ascii="宋体" w:hAnsi="宋体" w:eastAsia="宋体" w:cs="宋体"/>
          <w:b w:val="0"/>
          <w:bCs w:val="0"/>
          <w:sz w:val="32"/>
          <w:szCs w:val="32"/>
          <w:u w:val="single"/>
          <w:lang w:val="en-US" w:eastAsia="zh-CN"/>
        </w:rPr>
      </w:pPr>
      <w:r>
        <w:rPr>
          <w:rFonts w:hint="eastAsia" w:ascii="宋体" w:hAnsi="宋体" w:eastAsia="宋体" w:cs="宋体"/>
          <w:b w:val="0"/>
          <w:bCs w:val="0"/>
          <w:sz w:val="32"/>
          <w:szCs w:val="32"/>
        </w:rPr>
        <w:t>项目名称：</w:t>
      </w:r>
      <w:r>
        <w:rPr>
          <w:rFonts w:hint="default" w:ascii="Times New Roman" w:hAnsi="Times New Roman" w:eastAsia="宋体" w:cs="Times New Roman"/>
          <w:b w:val="0"/>
          <w:bCs w:val="0"/>
          <w:sz w:val="32"/>
          <w:szCs w:val="32"/>
          <w:u w:val="single" w:color="auto"/>
          <w:lang w:val="en-US" w:eastAsia="zh-CN"/>
        </w:rPr>
        <w:t xml:space="preserve"> </w:t>
      </w:r>
      <w:r>
        <w:rPr>
          <w:rFonts w:hint="eastAsia" w:ascii="Times New Roman" w:hAnsi="Times New Roman" w:eastAsia="宋体" w:cs="Times New Roman"/>
          <w:b w:val="0"/>
          <w:bCs w:val="0"/>
          <w:sz w:val="32"/>
          <w:szCs w:val="32"/>
          <w:u w:val="single" w:color="auto"/>
          <w:lang w:val="en-US" w:eastAsia="zh-CN"/>
        </w:rPr>
        <w:t xml:space="preserve">        </w:t>
      </w:r>
      <w:r>
        <w:rPr>
          <w:rFonts w:hint="eastAsia" w:eastAsia="宋体" w:cs="Times New Roman"/>
          <w:color w:val="auto"/>
          <w:sz w:val="32"/>
          <w:szCs w:val="32"/>
          <w:u w:val="single" w:color="auto"/>
          <w:lang w:val="en-US" w:eastAsia="zh-CN"/>
        </w:rPr>
        <w:t>5000吨废塑料再生利用项目</w:t>
      </w:r>
      <w:r>
        <w:rPr>
          <w:rFonts w:hint="eastAsia" w:ascii="Times New Roman" w:hAnsi="Times New Roman" w:eastAsia="宋体" w:cs="Times New Roman"/>
          <w:color w:val="auto"/>
          <w:sz w:val="32"/>
          <w:szCs w:val="32"/>
          <w:u w:val="single" w:color="auto"/>
          <w:lang w:val="en-US" w:eastAsia="zh-CN"/>
        </w:rPr>
        <w:t xml:space="preserve">        </w:t>
      </w:r>
      <w:r>
        <w:rPr>
          <w:rFonts w:hint="default" w:ascii="Times New Roman" w:hAnsi="Times New Roman" w:eastAsia="宋体" w:cs="Times New Roman"/>
          <w:b w:val="0"/>
          <w:bCs w:val="0"/>
          <w:sz w:val="32"/>
          <w:szCs w:val="32"/>
          <w:u w:val="single" w:color="auto"/>
          <w:lang w:val="en-US" w:eastAsia="zh-CN"/>
        </w:rPr>
        <w:t xml:space="preserve"> </w:t>
      </w:r>
    </w:p>
    <w:p>
      <w:pPr>
        <w:adjustRightInd w:val="0"/>
        <w:snapToGrid w:val="0"/>
        <w:spacing w:line="288" w:lineRule="auto"/>
        <w:jc w:val="left"/>
        <w:rPr>
          <w:rFonts w:hint="default" w:ascii="宋体" w:hAnsi="宋体" w:eastAsia="宋体" w:cs="宋体"/>
          <w:b w:val="0"/>
          <w:bCs w:val="0"/>
          <w:sz w:val="32"/>
          <w:szCs w:val="32"/>
          <w:u w:val="single"/>
          <w:lang w:val="en-US" w:eastAsia="zh-CN"/>
        </w:rPr>
      </w:pPr>
      <w:r>
        <w:rPr>
          <w:rFonts w:hint="eastAsia" w:ascii="宋体" w:hAnsi="宋体" w:eastAsia="宋体" w:cs="宋体"/>
          <w:b w:val="0"/>
          <w:bCs w:val="0"/>
          <w:sz w:val="32"/>
          <w:szCs w:val="32"/>
        </w:rPr>
        <w:t>建设单位：</w:t>
      </w:r>
      <w:r>
        <w:rPr>
          <w:rFonts w:hint="eastAsia" w:ascii="宋体" w:hAnsi="宋体" w:eastAsia="宋体" w:cs="宋体"/>
          <w:b w:val="0"/>
          <w:bCs w:val="0"/>
          <w:sz w:val="32"/>
          <w:szCs w:val="32"/>
          <w:u w:val="single"/>
        </w:rPr>
        <w:t xml:space="preserve"> </w:t>
      </w:r>
      <w:r>
        <w:rPr>
          <w:rFonts w:hint="eastAsia" w:ascii="宋体" w:hAnsi="宋体" w:eastAsia="宋体" w:cs="宋体"/>
          <w:b w:val="0"/>
          <w:bCs w:val="0"/>
          <w:sz w:val="32"/>
          <w:szCs w:val="32"/>
          <w:u w:val="single"/>
          <w:lang w:val="en-US" w:eastAsia="zh-CN"/>
        </w:rPr>
        <w:t xml:space="preserve">       </w:t>
      </w:r>
      <w:r>
        <w:rPr>
          <w:rFonts w:hint="default" w:ascii="Times New Roman" w:hAnsi="Times New Roman" w:eastAsia="宋体" w:cs="Times New Roman"/>
          <w:color w:val="auto"/>
          <w:sz w:val="32"/>
          <w:szCs w:val="32"/>
          <w:u w:val="single"/>
          <w:lang w:val="en-US" w:eastAsia="zh-CN"/>
        </w:rPr>
        <w:t>六安喜达再生资源有限公司</w:t>
      </w:r>
      <w:r>
        <w:rPr>
          <w:rFonts w:hint="eastAsia" w:ascii="仿宋" w:hAnsi="仿宋" w:eastAsia="仿宋" w:cs="仿宋"/>
          <w:spacing w:val="12"/>
          <w:sz w:val="35"/>
          <w:szCs w:val="35"/>
          <w:u w:val="single" w:color="auto"/>
          <w:lang w:val="en-US" w:eastAsia="zh-CN"/>
        </w:rPr>
        <w:t xml:space="preserve">        </w:t>
      </w:r>
    </w:p>
    <w:p>
      <w:pPr>
        <w:adjustRightInd w:val="0"/>
        <w:snapToGrid w:val="0"/>
        <w:spacing w:line="288" w:lineRule="auto"/>
        <w:jc w:val="left"/>
        <w:rPr>
          <w:rFonts w:hint="default" w:eastAsia="宋体"/>
          <w:sz w:val="36"/>
          <w:szCs w:val="36"/>
          <w:lang w:val="en-US" w:eastAsia="zh-CN"/>
        </w:rPr>
      </w:pPr>
      <w:r>
        <w:rPr>
          <w:rFonts w:hint="eastAsia" w:ascii="宋体" w:hAnsi="宋体" w:eastAsia="宋体" w:cs="宋体"/>
          <w:b w:val="0"/>
          <w:bCs w:val="0"/>
          <w:sz w:val="32"/>
          <w:szCs w:val="32"/>
        </w:rPr>
        <w:t>编制日期：</w:t>
      </w:r>
      <w:r>
        <w:rPr>
          <w:rFonts w:hint="eastAsia" w:ascii="宋体" w:hAnsi="宋体" w:eastAsia="宋体" w:cs="宋体"/>
          <w:b w:val="0"/>
          <w:bCs w:val="0"/>
          <w:sz w:val="32"/>
          <w:szCs w:val="32"/>
          <w:u w:val="single"/>
        </w:rPr>
        <w:t xml:space="preserve">  </w:t>
      </w:r>
      <w:r>
        <w:rPr>
          <w:rFonts w:hint="eastAsia" w:ascii="宋体" w:hAnsi="宋体" w:eastAsia="宋体" w:cs="宋体"/>
          <w:b w:val="0"/>
          <w:bCs w:val="0"/>
          <w:sz w:val="32"/>
          <w:szCs w:val="32"/>
          <w:u w:val="single"/>
          <w:lang w:val="en-US" w:eastAsia="zh-CN"/>
        </w:rPr>
        <w:t xml:space="preserve"> </w:t>
      </w:r>
      <w:r>
        <w:rPr>
          <w:rFonts w:hint="eastAsia" w:ascii="宋体" w:hAnsi="宋体" w:eastAsia="宋体" w:cs="宋体"/>
          <w:b w:val="0"/>
          <w:bCs w:val="0"/>
          <w:sz w:val="32"/>
          <w:szCs w:val="32"/>
          <w:u w:val="single"/>
        </w:rPr>
        <w:t xml:space="preserve">        </w:t>
      </w:r>
      <w:r>
        <w:rPr>
          <w:rFonts w:hint="eastAsia" w:ascii="宋体" w:hAnsi="宋体" w:eastAsia="宋体" w:cs="宋体"/>
          <w:b w:val="0"/>
          <w:bCs w:val="0"/>
          <w:sz w:val="32"/>
          <w:szCs w:val="32"/>
          <w:u w:val="single"/>
          <w:lang w:val="en-US" w:eastAsia="zh-CN"/>
        </w:rPr>
        <w:t xml:space="preserve"> </w:t>
      </w:r>
      <w:r>
        <w:rPr>
          <w:rFonts w:hint="eastAsia" w:ascii="宋体" w:hAnsi="宋体" w:eastAsia="宋体" w:cs="宋体"/>
          <w:b w:val="0"/>
          <w:bCs w:val="0"/>
          <w:sz w:val="32"/>
          <w:szCs w:val="32"/>
          <w:u w:val="single"/>
        </w:rPr>
        <w:t xml:space="preserve"> </w:t>
      </w:r>
      <w:r>
        <w:rPr>
          <w:rFonts w:hint="eastAsia" w:ascii="宋体" w:hAnsi="宋体" w:eastAsia="宋体" w:cs="宋体"/>
          <w:b w:val="0"/>
          <w:bCs w:val="0"/>
          <w:sz w:val="32"/>
          <w:szCs w:val="32"/>
          <w:u w:val="single"/>
          <w:lang w:val="en-US" w:eastAsia="zh-CN"/>
        </w:rPr>
        <w:t xml:space="preserve">  </w:t>
      </w:r>
      <w:r>
        <w:rPr>
          <w:rFonts w:hint="default" w:ascii="Times New Roman" w:hAnsi="Times New Roman" w:eastAsia="宋体" w:cs="Times New Roman"/>
          <w:b w:val="0"/>
          <w:bCs w:val="0"/>
          <w:sz w:val="32"/>
          <w:szCs w:val="32"/>
          <w:u w:val="single"/>
        </w:rPr>
        <w:t xml:space="preserve"> 202</w:t>
      </w:r>
      <w:r>
        <w:rPr>
          <w:rFonts w:hint="eastAsia" w:eastAsia="宋体" w:cs="Times New Roman"/>
          <w:b w:val="0"/>
          <w:bCs w:val="0"/>
          <w:sz w:val="32"/>
          <w:szCs w:val="32"/>
          <w:u w:val="single"/>
          <w:lang w:val="en-US" w:eastAsia="zh-CN"/>
        </w:rPr>
        <w:t>5</w:t>
      </w:r>
      <w:r>
        <w:rPr>
          <w:rFonts w:hint="default" w:ascii="Times New Roman" w:hAnsi="Times New Roman" w:eastAsia="宋体" w:cs="Times New Roman"/>
          <w:b w:val="0"/>
          <w:bCs w:val="0"/>
          <w:sz w:val="32"/>
          <w:szCs w:val="32"/>
          <w:u w:val="single"/>
        </w:rPr>
        <w:t>年</w:t>
      </w:r>
      <w:r>
        <w:rPr>
          <w:rFonts w:hint="default" w:eastAsia="宋体" w:cs="Times New Roman"/>
          <w:b w:val="0"/>
          <w:bCs w:val="0"/>
          <w:sz w:val="32"/>
          <w:szCs w:val="32"/>
          <w:u w:val="single"/>
          <w:lang w:eastAsia="zh-CN"/>
        </w:rPr>
        <w:t>12</w:t>
      </w:r>
      <w:r>
        <w:rPr>
          <w:rFonts w:hint="eastAsia" w:ascii="宋体" w:hAnsi="宋体" w:eastAsia="宋体" w:cs="宋体"/>
          <w:b w:val="0"/>
          <w:bCs w:val="0"/>
          <w:sz w:val="32"/>
          <w:szCs w:val="32"/>
          <w:u w:val="single"/>
        </w:rPr>
        <w:t xml:space="preserve">月 </w:t>
      </w:r>
      <w:r>
        <w:rPr>
          <w:rFonts w:hint="eastAsia" w:ascii="宋体" w:hAnsi="宋体" w:eastAsia="宋体" w:cs="宋体"/>
          <w:b w:val="0"/>
          <w:bCs w:val="0"/>
          <w:sz w:val="32"/>
          <w:szCs w:val="32"/>
          <w:u w:val="single"/>
          <w:lang w:val="en-US" w:eastAsia="zh-CN"/>
        </w:rPr>
        <w:t xml:space="preserve">     </w:t>
      </w:r>
      <w:r>
        <w:rPr>
          <w:rFonts w:hint="eastAsia" w:ascii="宋体" w:hAnsi="宋体" w:eastAsia="宋体" w:cs="宋体"/>
          <w:b w:val="0"/>
          <w:bCs w:val="0"/>
          <w:sz w:val="32"/>
          <w:szCs w:val="32"/>
          <w:u w:val="single"/>
        </w:rPr>
        <w:t xml:space="preserve"> </w:t>
      </w:r>
      <w:bookmarkStart w:id="0" w:name="_Hlk57884087"/>
      <w:r>
        <w:rPr>
          <w:rFonts w:hint="eastAsia" w:ascii="宋体" w:hAnsi="宋体" w:eastAsia="宋体" w:cs="宋体"/>
          <w:b w:val="0"/>
          <w:bCs w:val="0"/>
          <w:sz w:val="32"/>
          <w:szCs w:val="32"/>
          <w:u w:val="single"/>
          <w:lang w:val="en-US" w:eastAsia="zh-CN"/>
        </w:rPr>
        <w:t xml:space="preserve">         </w:t>
      </w:r>
    </w:p>
    <w:bookmarkEnd w:id="0"/>
    <w:p>
      <w:pPr>
        <w:widowControl/>
        <w:spacing w:before="0" w:beforeAutospacing="0" w:after="0" w:afterAutospacing="0" w:line="360" w:lineRule="auto"/>
        <w:jc w:val="center"/>
        <w:outlineLvl w:val="0"/>
        <w:rPr>
          <w:rFonts w:hint="eastAsia" w:ascii="黑体" w:hAnsi="黑体" w:eastAsia="黑体" w:cs="黑体"/>
          <w:snapToGrid w:val="0"/>
          <w:kern w:val="0"/>
          <w:sz w:val="30"/>
          <w:szCs w:val="30"/>
          <w:lang w:val="en-US" w:eastAsia="zh-CN" w:bidi="ar-SA"/>
        </w:rPr>
      </w:pPr>
    </w:p>
    <w:p>
      <w:pPr>
        <w:pStyle w:val="32"/>
        <w:spacing w:before="72" w:beforeLines="30" w:beforeAutospacing="0" w:after="72" w:afterLines="30" w:afterAutospacing="0" w:line="240" w:lineRule="auto"/>
        <w:ind w:firstLine="0" w:firstLineChars="0"/>
        <w:jc w:val="both"/>
        <w:outlineLvl w:val="0"/>
        <w:rPr>
          <w:rFonts w:hint="default" w:ascii="Times New Roman" w:hAnsi="Times New Roman" w:eastAsia="黑体" w:cs="Times New Roman"/>
          <w:snapToGrid w:val="0"/>
          <w:color w:val="auto"/>
          <w:sz w:val="30"/>
          <w:szCs w:val="30"/>
        </w:rPr>
      </w:pPr>
    </w:p>
    <w:p>
      <w:pPr>
        <w:pStyle w:val="32"/>
        <w:spacing w:before="72" w:beforeLines="30" w:beforeAutospacing="0" w:after="72" w:afterLines="30" w:afterAutospacing="0" w:line="240" w:lineRule="auto"/>
        <w:ind w:firstLine="0" w:firstLineChars="0"/>
        <w:jc w:val="both"/>
        <w:outlineLvl w:val="0"/>
        <w:rPr>
          <w:rFonts w:hint="default" w:ascii="Times New Roman" w:hAnsi="Times New Roman" w:eastAsia="黑体" w:cs="Times New Roman"/>
          <w:snapToGrid w:val="0"/>
          <w:color w:val="auto"/>
          <w:sz w:val="30"/>
          <w:szCs w:val="30"/>
        </w:rPr>
      </w:pPr>
    </w:p>
    <w:p>
      <w:pPr>
        <w:pStyle w:val="32"/>
        <w:spacing w:before="72" w:beforeLines="30" w:beforeAutospacing="0" w:after="72" w:afterLines="30" w:afterAutospacing="0" w:line="240" w:lineRule="auto"/>
        <w:ind w:firstLine="0" w:firstLineChars="0"/>
        <w:jc w:val="center"/>
        <w:outlineLvl w:val="0"/>
        <w:rPr>
          <w:rFonts w:hint="default" w:ascii="Times New Roman" w:hAnsi="Times New Roman" w:eastAsia="黑体" w:cs="Times New Roman"/>
          <w:snapToGrid w:val="0"/>
          <w:color w:val="auto"/>
          <w:sz w:val="30"/>
          <w:szCs w:val="30"/>
        </w:rPr>
      </w:pPr>
      <w:r>
        <w:rPr>
          <w:rFonts w:hint="eastAsia" w:ascii="楷体_GB2312" w:eastAsia="楷体_GB2312"/>
          <w:sz w:val="36"/>
          <w:szCs w:val="36"/>
        </w:rPr>
        <w:t>中华人民共和国生态环境部制</w:t>
      </w:r>
    </w:p>
    <w:p>
      <w:pPr>
        <w:pStyle w:val="32"/>
        <w:spacing w:before="72" w:beforeLines="30" w:beforeAutospacing="0" w:after="72" w:afterLines="30" w:afterAutospacing="0" w:line="240" w:lineRule="auto"/>
        <w:ind w:firstLine="0" w:firstLineChars="0"/>
        <w:jc w:val="both"/>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84"/>
        <w:gridCol w:w="682"/>
        <w:gridCol w:w="1676"/>
        <w:gridCol w:w="1744"/>
        <w:gridCol w:w="31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1766" w:type="dxa"/>
            <w:gridSpan w:val="2"/>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6566" w:type="dxa"/>
            <w:gridSpan w:val="3"/>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5000吨废塑料综合利用项目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766" w:type="dxa"/>
            <w:gridSpan w:val="2"/>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6566" w:type="dxa"/>
            <w:gridSpan w:val="3"/>
            <w:vAlign w:val="center"/>
          </w:tcPr>
          <w:p>
            <w:pPr>
              <w:keepNext w:val="0"/>
              <w:keepLines w:val="0"/>
              <w:widowControl/>
              <w:suppressLineNumbers w:val="0"/>
              <w:jc w:val="center"/>
              <w:rPr>
                <w:rFonts w:hint="default" w:ascii="Times New Roman" w:hAnsi="Times New Roman" w:eastAsia="宋体" w:cs="Times New Roman"/>
                <w:color w:val="auto"/>
                <w:sz w:val="24"/>
                <w:szCs w:val="24"/>
                <w:lang w:eastAsia="zh-CN"/>
              </w:rPr>
            </w:pPr>
            <w:r>
              <w:rPr>
                <w:rFonts w:hint="default" w:ascii="Times New Roman" w:hAnsi="Times New Roman" w:eastAsia="新宋体" w:cs="Times New Roman"/>
                <w:color w:val="000000"/>
                <w:kern w:val="0"/>
                <w:sz w:val="24"/>
                <w:szCs w:val="24"/>
                <w:lang w:val="en-US" w:eastAsia="zh-CN" w:bidi="ar"/>
              </w:rPr>
              <w:t>2507-341524-04-05-719937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766" w:type="dxa"/>
            <w:gridSpan w:val="2"/>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 w:val="24"/>
                <w:szCs w:val="24"/>
              </w:rPr>
            </w:pPr>
            <w:bookmarkStart w:id="1" w:name="OLE_LINK144" w:colFirst="1" w:colLast="3"/>
            <w:r>
              <w:rPr>
                <w:rFonts w:hint="default" w:ascii="Times New Roman" w:hAnsi="Times New Roman" w:cs="Times New Roman"/>
                <w:color w:val="auto"/>
                <w:sz w:val="24"/>
                <w:szCs w:val="24"/>
              </w:rPr>
              <w:t>建设单位联系人</w:t>
            </w:r>
          </w:p>
        </w:tc>
        <w:tc>
          <w:tcPr>
            <w:tcW w:w="1676"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李</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家</w:t>
            </w:r>
          </w:p>
        </w:tc>
        <w:tc>
          <w:tcPr>
            <w:tcW w:w="1744" w:type="dxa"/>
            <w:vAlign w:val="center"/>
          </w:tcPr>
          <w:p>
            <w:pPr>
              <w:adjustRightInd w:val="0"/>
              <w:snapToGrid w:val="0"/>
              <w:spacing w:line="24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联系方式</w:t>
            </w:r>
          </w:p>
        </w:tc>
        <w:tc>
          <w:tcPr>
            <w:tcW w:w="3146"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151</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9718</w:t>
            </w:r>
          </w:p>
        </w:tc>
      </w:tr>
      <w:bookmarkEnd w:id="1"/>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41" w:hRule="atLeast"/>
          <w:jc w:val="center"/>
        </w:trPr>
        <w:tc>
          <w:tcPr>
            <w:tcW w:w="1766" w:type="dxa"/>
            <w:gridSpan w:val="2"/>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6566" w:type="dxa"/>
            <w:gridSpan w:val="3"/>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szCs w:val="24"/>
                <w:lang w:eastAsia="zh-CN"/>
              </w:rPr>
            </w:pPr>
            <w:r>
              <w:rPr>
                <w:rFonts w:hint="eastAsia" w:cs="Times New Roman"/>
                <w:sz w:val="24"/>
                <w:szCs w:val="24"/>
                <w:lang w:eastAsia="zh-CN"/>
              </w:rPr>
              <w:t>安徽省六安市金寨经济开发区</w:t>
            </w:r>
            <w:r>
              <w:rPr>
                <w:rFonts w:hint="default" w:ascii="Times New Roman" w:hAnsi="Times New Roman" w:eastAsia="宋体" w:cs="Times New Roman"/>
                <w:sz w:val="24"/>
                <w:szCs w:val="24"/>
              </w:rPr>
              <w:t>清水路与新四路交叉口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3" w:hRule="atLeast"/>
          <w:jc w:val="center"/>
        </w:trPr>
        <w:tc>
          <w:tcPr>
            <w:tcW w:w="1766" w:type="dxa"/>
            <w:gridSpan w:val="2"/>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6566" w:type="dxa"/>
            <w:gridSpan w:val="3"/>
            <w:vAlign w:val="center"/>
          </w:tcPr>
          <w:p>
            <w:pPr>
              <w:spacing w:line="240" w:lineRule="auto"/>
              <w:ind w:firstLine="0" w:firstLineChars="0"/>
              <w:jc w:val="center"/>
              <w:rPr>
                <w:rFonts w:hint="default" w:ascii="Times New Roman" w:hAnsi="Times New Roman" w:cs="Times New Roman"/>
                <w:color w:val="auto"/>
                <w:sz w:val="24"/>
                <w:szCs w:val="24"/>
                <w:lang w:val="en-US"/>
              </w:rPr>
            </w:pPr>
            <w:r>
              <w:rPr>
                <w:rFonts w:hint="default" w:ascii="Times New Roman" w:hAnsi="Times New Roman" w:eastAsia="Helvetica" w:cs="Times New Roman"/>
                <w:i w:val="0"/>
                <w:iCs w:val="0"/>
                <w:caps w:val="0"/>
                <w:color w:val="000000"/>
                <w:spacing w:val="0"/>
                <w:sz w:val="24"/>
                <w:szCs w:val="24"/>
                <w:shd w:val="clear" w:fill="FFFFFF"/>
              </w:rPr>
              <w:t>115</w:t>
            </w:r>
            <w:r>
              <w:rPr>
                <w:rFonts w:hint="eastAsia" w:eastAsia="宋体" w:cs="Times New Roman"/>
                <w:i w:val="0"/>
                <w:iCs w:val="0"/>
                <w:caps w:val="0"/>
                <w:color w:val="000000"/>
                <w:spacing w:val="0"/>
                <w:sz w:val="24"/>
                <w:szCs w:val="24"/>
                <w:shd w:val="clear" w:fill="FFFFFF"/>
                <w:lang w:val="en-US" w:eastAsia="zh-CN"/>
              </w:rPr>
              <w:t>度</w:t>
            </w:r>
            <w:r>
              <w:rPr>
                <w:rFonts w:hint="default" w:ascii="Times New Roman" w:hAnsi="Times New Roman" w:eastAsia="Helvetica" w:cs="Times New Roman"/>
                <w:i w:val="0"/>
                <w:iCs w:val="0"/>
                <w:caps w:val="0"/>
                <w:color w:val="000000"/>
                <w:spacing w:val="0"/>
                <w:sz w:val="24"/>
                <w:szCs w:val="24"/>
                <w:shd w:val="clear" w:fill="FFFFFF"/>
              </w:rPr>
              <w:t>59</w:t>
            </w:r>
            <w:r>
              <w:rPr>
                <w:rFonts w:hint="eastAsia" w:eastAsia="宋体" w:cs="Times New Roman"/>
                <w:i w:val="0"/>
                <w:iCs w:val="0"/>
                <w:caps w:val="0"/>
                <w:color w:val="000000"/>
                <w:spacing w:val="0"/>
                <w:sz w:val="24"/>
                <w:szCs w:val="24"/>
                <w:shd w:val="clear" w:fill="FFFFFF"/>
                <w:lang w:val="en-US" w:eastAsia="zh-CN"/>
              </w:rPr>
              <w:t>分</w:t>
            </w:r>
            <w:r>
              <w:rPr>
                <w:rFonts w:hint="default" w:ascii="Times New Roman" w:hAnsi="Times New Roman" w:eastAsia="Helvetica" w:cs="Times New Roman"/>
                <w:i w:val="0"/>
                <w:iCs w:val="0"/>
                <w:caps w:val="0"/>
                <w:color w:val="000000"/>
                <w:spacing w:val="0"/>
                <w:sz w:val="24"/>
                <w:szCs w:val="24"/>
                <w:shd w:val="clear" w:fill="FFFFFF"/>
              </w:rPr>
              <w:t>47.995</w:t>
            </w:r>
            <w:r>
              <w:rPr>
                <w:rFonts w:hint="eastAsia" w:eastAsia="宋体" w:cs="Times New Roman"/>
                <w:i w:val="0"/>
                <w:iCs w:val="0"/>
                <w:caps w:val="0"/>
                <w:color w:val="000000"/>
                <w:spacing w:val="0"/>
                <w:sz w:val="24"/>
                <w:szCs w:val="24"/>
                <w:shd w:val="clear" w:fill="FFFFFF"/>
                <w:lang w:val="en-US" w:eastAsia="zh-CN"/>
              </w:rPr>
              <w:t>秒</w:t>
            </w:r>
            <w:r>
              <w:rPr>
                <w:rFonts w:hint="default" w:ascii="Times New Roman" w:hAnsi="Times New Roman" w:eastAsia="Helvetica" w:cs="Times New Roman"/>
                <w:i w:val="0"/>
                <w:iCs w:val="0"/>
                <w:caps w:val="0"/>
                <w:color w:val="000000"/>
                <w:spacing w:val="0"/>
                <w:sz w:val="24"/>
                <w:szCs w:val="24"/>
                <w:shd w:val="clear" w:fill="FFFFFF"/>
              </w:rPr>
              <w:t>,31</w:t>
            </w:r>
            <w:r>
              <w:rPr>
                <w:rFonts w:hint="eastAsia" w:eastAsia="宋体" w:cs="Times New Roman"/>
                <w:i w:val="0"/>
                <w:iCs w:val="0"/>
                <w:caps w:val="0"/>
                <w:color w:val="000000"/>
                <w:spacing w:val="0"/>
                <w:sz w:val="24"/>
                <w:szCs w:val="24"/>
                <w:shd w:val="clear" w:fill="FFFFFF"/>
                <w:lang w:val="en-US" w:eastAsia="zh-CN"/>
              </w:rPr>
              <w:t>度</w:t>
            </w:r>
            <w:r>
              <w:rPr>
                <w:rFonts w:hint="default" w:ascii="Times New Roman" w:hAnsi="Times New Roman" w:eastAsia="Helvetica" w:cs="Times New Roman"/>
                <w:i w:val="0"/>
                <w:iCs w:val="0"/>
                <w:caps w:val="0"/>
                <w:color w:val="000000"/>
                <w:spacing w:val="0"/>
                <w:sz w:val="24"/>
                <w:szCs w:val="24"/>
                <w:shd w:val="clear" w:fill="FFFFFF"/>
              </w:rPr>
              <w:t>45</w:t>
            </w:r>
            <w:r>
              <w:rPr>
                <w:rFonts w:hint="eastAsia" w:eastAsia="宋体" w:cs="Times New Roman"/>
                <w:i w:val="0"/>
                <w:iCs w:val="0"/>
                <w:caps w:val="0"/>
                <w:color w:val="000000"/>
                <w:spacing w:val="0"/>
                <w:sz w:val="24"/>
                <w:szCs w:val="24"/>
                <w:shd w:val="clear" w:fill="FFFFFF"/>
                <w:lang w:val="en-US" w:eastAsia="zh-CN"/>
              </w:rPr>
              <w:t>分</w:t>
            </w:r>
            <w:r>
              <w:rPr>
                <w:rFonts w:hint="default" w:ascii="Times New Roman" w:hAnsi="Times New Roman" w:eastAsia="Helvetica" w:cs="Times New Roman"/>
                <w:i w:val="0"/>
                <w:iCs w:val="0"/>
                <w:caps w:val="0"/>
                <w:color w:val="000000"/>
                <w:spacing w:val="0"/>
                <w:sz w:val="24"/>
                <w:szCs w:val="24"/>
                <w:shd w:val="clear" w:fill="FFFFFF"/>
              </w:rPr>
              <w:t>57</w:t>
            </w:r>
            <w:r>
              <w:rPr>
                <w:rFonts w:hint="default" w:ascii="Times New Roman" w:hAnsi="Times New Roman" w:eastAsia="宋体" w:cs="Times New Roman"/>
                <w:i w:val="0"/>
                <w:iCs w:val="0"/>
                <w:caps w:val="0"/>
                <w:color w:val="000000"/>
                <w:spacing w:val="0"/>
                <w:sz w:val="24"/>
                <w:szCs w:val="24"/>
                <w:shd w:val="clear" w:fill="FFFFFF"/>
                <w:lang w:val="en-US" w:eastAsia="zh-CN"/>
              </w:rPr>
              <w:t>.</w:t>
            </w:r>
            <w:r>
              <w:rPr>
                <w:rFonts w:hint="default" w:ascii="Times New Roman" w:hAnsi="Times New Roman" w:eastAsia="Helvetica" w:cs="Times New Roman"/>
                <w:i w:val="0"/>
                <w:iCs w:val="0"/>
                <w:caps w:val="0"/>
                <w:color w:val="000000"/>
                <w:spacing w:val="0"/>
                <w:sz w:val="24"/>
                <w:szCs w:val="24"/>
                <w:shd w:val="clear" w:fill="FFFFFF"/>
              </w:rPr>
              <w:t>58</w:t>
            </w:r>
            <w:r>
              <w:rPr>
                <w:rFonts w:hint="default" w:ascii="Times New Roman" w:hAnsi="Times New Roman" w:eastAsia="宋体" w:cs="Times New Roman"/>
                <w:i w:val="0"/>
                <w:iCs w:val="0"/>
                <w:caps w:val="0"/>
                <w:color w:val="000000"/>
                <w:spacing w:val="0"/>
                <w:sz w:val="24"/>
                <w:szCs w:val="24"/>
                <w:shd w:val="clear" w:fill="FFFFFF"/>
                <w:lang w:val="en-US" w:eastAsia="zh-CN"/>
              </w:rPr>
              <w:t>2</w:t>
            </w:r>
            <w:r>
              <w:rPr>
                <w:rFonts w:hint="eastAsia" w:cs="Times New Roman"/>
                <w:i w:val="0"/>
                <w:iCs w:val="0"/>
                <w:caps w:val="0"/>
                <w:color w:val="000000"/>
                <w:spacing w:val="0"/>
                <w:sz w:val="24"/>
                <w:szCs w:val="24"/>
                <w:shd w:val="clear" w:fill="FFFFFF"/>
                <w:lang w:val="en-US" w:eastAsia="zh-CN"/>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04" w:hRule="atLeast"/>
          <w:jc w:val="center"/>
        </w:trPr>
        <w:tc>
          <w:tcPr>
            <w:tcW w:w="1766" w:type="dxa"/>
            <w:gridSpan w:val="2"/>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国民经济</w:t>
            </w:r>
          </w:p>
          <w:p>
            <w:pPr>
              <w:adjustRightInd w:val="0"/>
              <w:snapToGrid w:val="0"/>
              <w:spacing w:line="24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1676" w:type="dxa"/>
            <w:vAlign w:val="center"/>
          </w:tcPr>
          <w:p>
            <w:pPr>
              <w:keepNext w:val="0"/>
              <w:keepLines w:val="0"/>
              <w:widowControl/>
              <w:suppressLineNumbers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C</w:t>
            </w:r>
            <w:r>
              <w:rPr>
                <w:rFonts w:hint="eastAsia" w:cs="Times New Roman"/>
                <w:color w:val="auto"/>
                <w:sz w:val="24"/>
                <w:szCs w:val="24"/>
                <w:lang w:val="en-US" w:eastAsia="zh-CN"/>
              </w:rPr>
              <w:t>4220</w:t>
            </w:r>
            <w:r>
              <w:rPr>
                <w:rFonts w:hint="eastAsia" w:ascii="宋体" w:hAnsi="宋体" w:eastAsia="宋体" w:cs="宋体"/>
                <w:color w:val="000000"/>
                <w:kern w:val="0"/>
                <w:sz w:val="24"/>
                <w:szCs w:val="24"/>
                <w:lang w:val="en-US" w:eastAsia="zh-CN" w:bidi="ar"/>
              </w:rPr>
              <w:t>非金属废料和碎屑加工处理</w:t>
            </w:r>
          </w:p>
        </w:tc>
        <w:tc>
          <w:tcPr>
            <w:tcW w:w="1744" w:type="dxa"/>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4"/>
                <w:szCs w:val="24"/>
              </w:rPr>
            </w:pPr>
            <w:bookmarkStart w:id="2" w:name="_Hlk49843745"/>
            <w:r>
              <w:rPr>
                <w:rFonts w:hint="default" w:ascii="Times New Roman" w:hAnsi="Times New Roman" w:eastAsia="宋体" w:cs="Times New Roman"/>
                <w:b w:val="0"/>
                <w:bCs w:val="0"/>
                <w:color w:val="auto"/>
                <w:sz w:val="24"/>
                <w:szCs w:val="24"/>
              </w:rPr>
              <w:t>建设项目</w:t>
            </w:r>
          </w:p>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行业类别</w:t>
            </w:r>
            <w:bookmarkEnd w:id="2"/>
          </w:p>
        </w:tc>
        <w:tc>
          <w:tcPr>
            <w:tcW w:w="3146" w:type="dxa"/>
            <w:vAlign w:val="center"/>
          </w:tcPr>
          <w:p>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三十九、废弃资源综合利用业42——85非金属废料和碎屑加工处理422（不含原料为危险废物的，均不含仅分拣、破碎的）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00" w:hRule="atLeast"/>
          <w:jc w:val="center"/>
        </w:trPr>
        <w:tc>
          <w:tcPr>
            <w:tcW w:w="1766" w:type="dxa"/>
            <w:gridSpan w:val="2"/>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1676" w:type="dxa"/>
            <w:vAlign w:val="center"/>
          </w:tcPr>
          <w:p>
            <w:pPr>
              <w:spacing w:line="240" w:lineRule="auto"/>
              <w:ind w:firstLine="0" w:firstLineChars="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w:char="00FE"/>
            </w:r>
            <w:r>
              <w:rPr>
                <w:rFonts w:hint="default" w:ascii="Times New Roman" w:hAnsi="Times New Roman" w:cs="Times New Roman"/>
                <w:color w:val="auto"/>
                <w:sz w:val="24"/>
                <w:szCs w:val="24"/>
              </w:rPr>
              <w:t>新建（迁建）</w:t>
            </w:r>
          </w:p>
          <w:p>
            <w:pPr>
              <w:spacing w:line="240" w:lineRule="auto"/>
              <w:ind w:firstLine="0" w:firstLineChars="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w:char="00A8"/>
            </w:r>
            <w:r>
              <w:rPr>
                <w:rFonts w:hint="default" w:ascii="Times New Roman" w:hAnsi="Times New Roman" w:cs="Times New Roman"/>
                <w:color w:val="auto"/>
                <w:sz w:val="24"/>
                <w:szCs w:val="24"/>
              </w:rPr>
              <w:t>改建</w:t>
            </w:r>
          </w:p>
          <w:p>
            <w:pPr>
              <w:spacing w:line="240" w:lineRule="auto"/>
              <w:ind w:firstLine="0" w:firstLineChars="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w:char="00A8"/>
            </w:r>
            <w:r>
              <w:rPr>
                <w:rFonts w:hint="default" w:ascii="Times New Roman" w:hAnsi="Times New Roman" w:cs="Times New Roman"/>
                <w:color w:val="auto"/>
                <w:sz w:val="24"/>
                <w:szCs w:val="24"/>
              </w:rPr>
              <w:t>扩建</w:t>
            </w:r>
          </w:p>
          <w:p>
            <w:pPr>
              <w:spacing w:line="240" w:lineRule="auto"/>
              <w:ind w:firstLine="0" w:firstLineChars="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w:char="00A8"/>
            </w:r>
            <w:r>
              <w:rPr>
                <w:rFonts w:hint="default" w:ascii="Times New Roman" w:hAnsi="Times New Roman" w:cs="Times New Roman"/>
                <w:color w:val="auto"/>
                <w:sz w:val="24"/>
                <w:szCs w:val="24"/>
              </w:rPr>
              <w:t>技术改造</w:t>
            </w:r>
          </w:p>
        </w:tc>
        <w:tc>
          <w:tcPr>
            <w:tcW w:w="1744" w:type="dxa"/>
            <w:vAlign w:val="center"/>
          </w:tcPr>
          <w:p>
            <w:pPr>
              <w:adjustRightInd w:val="0"/>
              <w:snapToGrid w:val="0"/>
              <w:spacing w:line="24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adjustRightInd w:val="0"/>
              <w:snapToGrid w:val="0"/>
              <w:spacing w:line="24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3146" w:type="dxa"/>
            <w:vAlign w:val="center"/>
          </w:tcPr>
          <w:p>
            <w:pPr>
              <w:spacing w:line="240" w:lineRule="auto"/>
              <w:ind w:firstLine="0" w:firstLineChars="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w:char="00FE"/>
            </w:r>
            <w:r>
              <w:rPr>
                <w:rFonts w:hint="default" w:ascii="Times New Roman" w:hAnsi="Times New Roman" w:cs="Times New Roman"/>
                <w:color w:val="auto"/>
                <w:sz w:val="24"/>
                <w:szCs w:val="24"/>
              </w:rPr>
              <w:t>首次申报项目</w:t>
            </w:r>
          </w:p>
          <w:p>
            <w:pPr>
              <w:spacing w:line="240" w:lineRule="auto"/>
              <w:ind w:firstLine="0" w:firstLineChars="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w:char="00A8"/>
            </w:r>
            <w:r>
              <w:rPr>
                <w:rFonts w:hint="default" w:ascii="Times New Roman" w:hAnsi="Times New Roman" w:cs="Times New Roman"/>
                <w:color w:val="auto"/>
                <w:sz w:val="24"/>
                <w:szCs w:val="24"/>
              </w:rPr>
              <w:t>不予批准后再次申报项目</w:t>
            </w:r>
          </w:p>
          <w:p>
            <w:pPr>
              <w:spacing w:line="240" w:lineRule="auto"/>
              <w:ind w:firstLine="0" w:firstLineChars="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w:char="00A8"/>
            </w:r>
            <w:r>
              <w:rPr>
                <w:rFonts w:hint="default" w:ascii="Times New Roman" w:hAnsi="Times New Roman" w:cs="Times New Roman"/>
                <w:color w:val="auto"/>
                <w:sz w:val="24"/>
                <w:szCs w:val="24"/>
              </w:rPr>
              <w:t>超五年重新审核项目</w:t>
            </w:r>
          </w:p>
          <w:p>
            <w:pPr>
              <w:spacing w:line="240" w:lineRule="auto"/>
              <w:ind w:firstLine="0" w:firstLineChars="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w:char="00A8"/>
            </w:r>
            <w:r>
              <w:rPr>
                <w:rFonts w:hint="default" w:ascii="Times New Roman" w:hAnsi="Times New Roman"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36" w:hRule="atLeast"/>
          <w:jc w:val="center"/>
        </w:trPr>
        <w:tc>
          <w:tcPr>
            <w:tcW w:w="1766" w:type="dxa"/>
            <w:gridSpan w:val="2"/>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项目审批（核准/备案）部门（选填）</w:t>
            </w:r>
          </w:p>
        </w:tc>
        <w:tc>
          <w:tcPr>
            <w:tcW w:w="1676" w:type="dxa"/>
            <w:vAlign w:val="center"/>
          </w:tcPr>
          <w:p>
            <w:pPr>
              <w:keepNext w:val="0"/>
              <w:keepLines w:val="0"/>
              <w:widowControl/>
              <w:suppressLineNumbers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新宋体" w:cs="Times New Roman"/>
                <w:color w:val="000000"/>
                <w:kern w:val="0"/>
                <w:sz w:val="24"/>
                <w:szCs w:val="24"/>
                <w:lang w:val="en-US" w:eastAsia="zh-CN" w:bidi="ar"/>
              </w:rPr>
              <w:t>金寨县发展改革委</w:t>
            </w:r>
          </w:p>
        </w:tc>
        <w:tc>
          <w:tcPr>
            <w:tcW w:w="1744" w:type="dxa"/>
            <w:vAlign w:val="center"/>
          </w:tcPr>
          <w:p>
            <w:pPr>
              <w:adjustRightInd w:val="0"/>
              <w:snapToGrid w:val="0"/>
              <w:spacing w:line="24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adjustRightInd w:val="0"/>
              <w:snapToGrid w:val="0"/>
              <w:spacing w:line="24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备案）文号（选填）</w:t>
            </w:r>
          </w:p>
        </w:tc>
        <w:tc>
          <w:tcPr>
            <w:tcW w:w="3146" w:type="dxa"/>
            <w:vAlign w:val="center"/>
          </w:tcPr>
          <w:p>
            <w:pPr>
              <w:keepNext w:val="0"/>
              <w:keepLines w:val="0"/>
              <w:widowControl/>
              <w:suppressLineNumbers w:val="0"/>
              <w:jc w:val="center"/>
              <w:rPr>
                <w:rFonts w:hint="default" w:ascii="Times New Roman" w:hAnsi="Times New Roman" w:cs="Times New Roman"/>
                <w:color w:val="auto"/>
                <w:sz w:val="24"/>
                <w:szCs w:val="24"/>
              </w:rPr>
            </w:pPr>
            <w:r>
              <w:rPr>
                <w:rFonts w:hint="default" w:ascii="Times New Roman" w:hAnsi="Times New Roman" w:eastAsia="新宋体" w:cs="Times New Roman"/>
                <w:color w:val="000000"/>
                <w:kern w:val="0"/>
                <w:sz w:val="24"/>
                <w:szCs w:val="24"/>
                <w:lang w:val="en-US" w:eastAsia="zh-CN" w:bidi="ar"/>
              </w:rPr>
              <w:t>金发改审批备[2025]289号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1766" w:type="dxa"/>
            <w:gridSpan w:val="2"/>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1676"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500</w:t>
            </w:r>
          </w:p>
        </w:tc>
        <w:tc>
          <w:tcPr>
            <w:tcW w:w="1744"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环保投资（万元）</w:t>
            </w:r>
          </w:p>
        </w:tc>
        <w:tc>
          <w:tcPr>
            <w:tcW w:w="3146"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66" w:type="dxa"/>
            <w:gridSpan w:val="2"/>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1676"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4</w:t>
            </w:r>
          </w:p>
        </w:tc>
        <w:tc>
          <w:tcPr>
            <w:tcW w:w="1744"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施工工期</w:t>
            </w:r>
          </w:p>
        </w:tc>
        <w:tc>
          <w:tcPr>
            <w:tcW w:w="3146"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sz w:val="24"/>
                <w:szCs w:val="32"/>
                <w:lang w:val="en-US" w:eastAsia="zh-CN"/>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6" w:hRule="atLeast"/>
          <w:jc w:val="center"/>
        </w:trPr>
        <w:tc>
          <w:tcPr>
            <w:tcW w:w="1766" w:type="dxa"/>
            <w:gridSpan w:val="2"/>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1676" w:type="dxa"/>
            <w:vAlign w:val="center"/>
          </w:tcPr>
          <w:p>
            <w:pPr>
              <w:adjustRightInd w:val="0"/>
              <w:snapToGrid w:val="0"/>
              <w:spacing w:line="240" w:lineRule="auto"/>
              <w:ind w:firstLine="0" w:firstLineChars="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w:char="00FE"/>
            </w:r>
            <w:r>
              <w:rPr>
                <w:rFonts w:hint="default" w:ascii="Times New Roman" w:hAnsi="Times New Roman" w:cs="Times New Roman"/>
                <w:color w:val="auto"/>
                <w:sz w:val="24"/>
                <w:szCs w:val="24"/>
              </w:rPr>
              <w:t>否</w:t>
            </w:r>
          </w:p>
          <w:p>
            <w:pPr>
              <w:adjustRightInd w:val="0"/>
              <w:snapToGrid w:val="0"/>
              <w:spacing w:line="240" w:lineRule="auto"/>
              <w:ind w:firstLine="0" w:firstLineChars="0"/>
              <w:jc w:val="left"/>
              <w:rPr>
                <w:rFonts w:hint="default" w:ascii="Times New Roman" w:hAnsi="Times New Roman" w:eastAsia="宋体" w:cs="Times New Roman"/>
                <w:strike/>
                <w:color w:val="auto"/>
                <w:sz w:val="24"/>
                <w:szCs w:val="24"/>
                <w:lang w:val="en-US" w:eastAsia="zh-CN"/>
              </w:rPr>
            </w:pPr>
            <w:r>
              <w:rPr>
                <w:rFonts w:hint="default" w:ascii="Times New Roman" w:hAnsi="Times New Roman" w:cs="Times New Roman"/>
                <w:color w:val="auto"/>
                <w:sz w:val="24"/>
                <w:szCs w:val="24"/>
              </w:rPr>
              <w:sym w:font="Wingdings" w:char="00A8"/>
            </w: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lang w:val="en-US" w:eastAsia="zh-CN"/>
              </w:rPr>
              <w:t>________</w:t>
            </w:r>
          </w:p>
        </w:tc>
        <w:tc>
          <w:tcPr>
            <w:tcW w:w="1744"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用地面积（</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pacing w:val="-6"/>
                <w:sz w:val="24"/>
                <w:szCs w:val="24"/>
              </w:rPr>
              <w:t>）</w:t>
            </w:r>
          </w:p>
        </w:tc>
        <w:tc>
          <w:tcPr>
            <w:tcW w:w="3146"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766" w:type="dxa"/>
            <w:gridSpan w:val="2"/>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6566" w:type="dxa"/>
            <w:gridSpan w:val="3"/>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766" w:type="dxa"/>
            <w:gridSpan w:val="2"/>
            <w:vAlign w:val="center"/>
          </w:tcPr>
          <w:p>
            <w:pPr>
              <w:autoSpaceDE w:val="0"/>
              <w:autoSpaceDN w:val="0"/>
              <w:adjustRightInd w:val="0"/>
              <w:snapToGrid w:val="0"/>
              <w:spacing w:line="240" w:lineRule="auto"/>
              <w:ind w:firstLine="0" w:firstLineChars="0"/>
              <w:jc w:val="left"/>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规划情况</w:t>
            </w:r>
          </w:p>
        </w:tc>
        <w:tc>
          <w:tcPr>
            <w:tcW w:w="6566" w:type="dxa"/>
            <w:gridSpan w:val="3"/>
            <w:vAlign w:val="center"/>
          </w:tcPr>
          <w:p>
            <w:pPr>
              <w:keepNext w:val="0"/>
              <w:keepLines w:val="0"/>
              <w:widowControl/>
              <w:suppressLineNumbers w:val="0"/>
              <w:spacing w:line="240" w:lineRule="auto"/>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文件名称：</w:t>
            </w:r>
            <w:r>
              <w:rPr>
                <w:rFonts w:hint="default" w:ascii="Times New Roman" w:hAnsi="Times New Roman" w:eastAsia="宋体" w:cs="Times New Roman"/>
                <w:color w:val="auto"/>
                <w:kern w:val="0"/>
                <w:sz w:val="24"/>
                <w:szCs w:val="24"/>
                <w:lang w:val="en-US" w:eastAsia="zh-CN" w:bidi="ar"/>
              </w:rPr>
              <w:t>《安徽金寨经济开发区总体发展规划（2023-2035年）》；</w:t>
            </w:r>
          </w:p>
          <w:p>
            <w:pPr>
              <w:keepNext w:val="0"/>
              <w:keepLines w:val="0"/>
              <w:widowControl/>
              <w:suppressLineNumbers w:val="0"/>
              <w:spacing w:line="240" w:lineRule="auto"/>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审批机关：</w:t>
            </w:r>
            <w:r>
              <w:rPr>
                <w:rFonts w:hint="default" w:ascii="Times New Roman" w:hAnsi="Times New Roman" w:eastAsia="宋体" w:cs="Times New Roman"/>
                <w:color w:val="auto"/>
                <w:kern w:val="0"/>
                <w:sz w:val="24"/>
                <w:szCs w:val="24"/>
                <w:lang w:val="en-US" w:eastAsia="zh-CN" w:bidi="ar"/>
              </w:rPr>
              <w:t>安徽省人民政府；</w:t>
            </w:r>
          </w:p>
          <w:p>
            <w:pPr>
              <w:keepNext w:val="0"/>
              <w:keepLines w:val="0"/>
              <w:widowControl/>
              <w:suppressLineNumbers w:val="0"/>
              <w:spacing w:line="240" w:lineRule="auto"/>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审批文件名称及文号：</w:t>
            </w:r>
            <w:r>
              <w:rPr>
                <w:rFonts w:hint="default" w:ascii="Times New Roman" w:hAnsi="Times New Roman" w:eastAsia="宋体" w:cs="Times New Roman"/>
                <w:color w:val="auto"/>
                <w:kern w:val="0"/>
                <w:sz w:val="24"/>
                <w:szCs w:val="24"/>
                <w:lang w:val="en-US" w:eastAsia="zh-CN" w:bidi="ar"/>
              </w:rPr>
              <w:t>/</w:t>
            </w:r>
          </w:p>
          <w:p>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480" w:firstLineChars="200"/>
              <w:jc w:val="left"/>
              <w:textAlignment w:val="auto"/>
              <w:rPr>
                <w:rFonts w:hint="default" w:ascii="Times New Roman" w:hAnsi="Times New Roman" w:cs="Times New Roman"/>
                <w:b w:val="0"/>
                <w:bCs/>
              </w:rPr>
            </w:pPr>
            <w:r>
              <w:rPr>
                <w:rFonts w:hint="default" w:ascii="Times New Roman" w:hAnsi="Times New Roman" w:cs="Times New Roman"/>
                <w:b w:val="0"/>
                <w:bCs/>
              </w:rPr>
              <w:t>安徽金寨经济开发区前身为金寨县工业开发区，2006年由安徽省人民政府以皖政秘[2006]22号文批准设立“安徽金寨经济开发区”为省级开发区。</w:t>
            </w:r>
          </w:p>
          <w:p>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480" w:firstLineChars="200"/>
              <w:jc w:val="left"/>
              <w:textAlignment w:val="auto"/>
              <w:rPr>
                <w:rFonts w:hint="default" w:ascii="Times New Roman" w:hAnsi="Times New Roman" w:cs="Times New Roman"/>
              </w:rPr>
            </w:pPr>
            <w:r>
              <w:rPr>
                <w:rFonts w:hint="default" w:ascii="Times New Roman" w:hAnsi="Times New Roman" w:cs="Times New Roman"/>
                <w:b w:val="0"/>
                <w:bCs/>
              </w:rPr>
              <w:t>2020年11月，依据《安徽省自然资源厅关于核定安徽金寨经济开发区四至范围和面积的函》（皖自然资用函[2020]140号），安徽金寨经济开发区按照省政府整合优化相关要求，将原金寨现代产业园（筹）整体并入。基于上述背景，安徽金寨经济开发区管委会组织编制了《安徽金寨经济开发区总体发展规划（2023-2035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6" w:type="dxa"/>
            <w:gridSpan w:val="2"/>
            <w:vAlign w:val="center"/>
          </w:tcPr>
          <w:p>
            <w:pPr>
              <w:adjustRightInd w:val="0"/>
              <w:snapToGrid w:val="0"/>
              <w:spacing w:line="240" w:lineRule="auto"/>
              <w:ind w:firstLine="0" w:firstLineChars="0"/>
              <w:jc w:val="left"/>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规划环境影响评价情况</w:t>
            </w:r>
          </w:p>
        </w:tc>
        <w:tc>
          <w:tcPr>
            <w:tcW w:w="6566" w:type="dxa"/>
            <w:gridSpan w:val="3"/>
            <w:vAlign w:val="center"/>
          </w:tcPr>
          <w:p>
            <w:pPr>
              <w:keepNext w:val="0"/>
              <w:keepLines w:val="0"/>
              <w:widowControl/>
              <w:suppressLineNumbers w:val="0"/>
              <w:jc w:val="left"/>
              <w:rPr>
                <w:rFonts w:hint="default" w:ascii="Times New Roman" w:hAnsi="Times New Roman" w:cs="Times New Roman"/>
                <w:color w:val="auto"/>
                <w:sz w:val="24"/>
                <w:szCs w:val="24"/>
                <w:lang w:val="en-US"/>
              </w:rPr>
            </w:pPr>
            <w:r>
              <w:rPr>
                <w:rFonts w:hint="default" w:ascii="Times New Roman" w:hAnsi="Times New Roman" w:eastAsia="宋体" w:cs="Times New Roman"/>
                <w:b/>
                <w:bCs/>
                <w:color w:val="auto"/>
                <w:kern w:val="0"/>
                <w:sz w:val="24"/>
                <w:szCs w:val="24"/>
                <w:lang w:val="en-US" w:eastAsia="zh-CN" w:bidi="ar"/>
              </w:rPr>
              <w:t>规划环评：</w:t>
            </w:r>
            <w:r>
              <w:rPr>
                <w:rFonts w:hint="default" w:ascii="Times New Roman" w:hAnsi="Times New Roman" w:eastAsia="宋体" w:cs="Times New Roman"/>
                <w:color w:val="auto"/>
                <w:kern w:val="0"/>
                <w:sz w:val="24"/>
                <w:szCs w:val="24"/>
                <w:lang w:val="en-US" w:eastAsia="zh-CN" w:bidi="ar"/>
              </w:rPr>
              <w:t>《安徽金寨经济开发区总体发展规划（2023-2035）环境影响报告书》</w:t>
            </w:r>
            <w:r>
              <w:rPr>
                <w:rFonts w:hint="default" w:ascii="Times New Roman" w:hAnsi="Times New Roman" w:cs="Times New Roman"/>
                <w:color w:val="auto"/>
                <w:kern w:val="0"/>
                <w:sz w:val="24"/>
                <w:szCs w:val="24"/>
                <w:lang w:val="en-US" w:eastAsia="zh-CN" w:bidi="ar"/>
              </w:rPr>
              <w:t>；</w:t>
            </w:r>
          </w:p>
          <w:p>
            <w:pPr>
              <w:keepNext w:val="0"/>
              <w:keepLines w:val="0"/>
              <w:widowControl/>
              <w:suppressLineNumbers w:val="0"/>
              <w:jc w:val="left"/>
              <w:rPr>
                <w:rFonts w:hint="default" w:ascii="Times New Roman" w:hAnsi="Times New Roman" w:cs="Times New Roman"/>
                <w:color w:val="auto"/>
                <w:sz w:val="24"/>
                <w:szCs w:val="24"/>
              </w:rPr>
            </w:pPr>
            <w:r>
              <w:rPr>
                <w:rFonts w:hint="default" w:ascii="Times New Roman" w:hAnsi="Times New Roman" w:eastAsia="宋体" w:cs="Times New Roman"/>
                <w:b/>
                <w:bCs/>
                <w:color w:val="auto"/>
                <w:kern w:val="0"/>
                <w:sz w:val="24"/>
                <w:szCs w:val="24"/>
                <w:lang w:val="en-US" w:eastAsia="zh-CN" w:bidi="ar"/>
              </w:rPr>
              <w:t>召集审查机关：</w:t>
            </w:r>
            <w:r>
              <w:rPr>
                <w:rFonts w:hint="default" w:ascii="Times New Roman" w:hAnsi="Times New Roman" w:eastAsia="宋体" w:cs="Times New Roman"/>
                <w:color w:val="auto"/>
                <w:kern w:val="0"/>
                <w:sz w:val="24"/>
                <w:szCs w:val="24"/>
                <w:lang w:val="en-US" w:eastAsia="zh-CN" w:bidi="ar"/>
              </w:rPr>
              <w:t>安徽省生态环境厅</w:t>
            </w:r>
            <w:r>
              <w:rPr>
                <w:rFonts w:hint="default" w:ascii="Times New Roman" w:hAnsi="Times New Roman" w:cs="Times New Roman"/>
                <w:color w:val="auto"/>
                <w:kern w:val="0"/>
                <w:sz w:val="24"/>
                <w:szCs w:val="24"/>
                <w:lang w:val="en-US" w:eastAsia="zh-CN" w:bidi="ar"/>
              </w:rPr>
              <w:t>；</w:t>
            </w:r>
          </w:p>
          <w:p>
            <w:pPr>
              <w:keepNext w:val="0"/>
              <w:keepLines w:val="0"/>
              <w:widowControl/>
              <w:suppressLineNumbers w:val="0"/>
              <w:jc w:val="left"/>
              <w:rPr>
                <w:rFonts w:hint="default" w:ascii="Times New Roman" w:hAnsi="Times New Roman" w:cs="Times New Roman"/>
                <w:color w:val="auto"/>
                <w:sz w:val="24"/>
                <w:szCs w:val="24"/>
              </w:rPr>
            </w:pPr>
            <w:r>
              <w:rPr>
                <w:rFonts w:hint="default" w:ascii="Times New Roman" w:hAnsi="Times New Roman" w:eastAsia="宋体" w:cs="Times New Roman"/>
                <w:b/>
                <w:bCs/>
                <w:color w:val="auto"/>
                <w:kern w:val="0"/>
                <w:sz w:val="24"/>
                <w:szCs w:val="24"/>
                <w:lang w:val="en-US" w:eastAsia="zh-CN" w:bidi="ar"/>
              </w:rPr>
              <w:t>审查文件名称及文号：</w:t>
            </w:r>
            <w:r>
              <w:rPr>
                <w:rFonts w:hint="default" w:ascii="Times New Roman" w:hAnsi="Times New Roman" w:eastAsia="宋体" w:cs="Times New Roman"/>
                <w:color w:val="auto"/>
                <w:kern w:val="0"/>
                <w:sz w:val="24"/>
                <w:szCs w:val="24"/>
                <w:lang w:val="en-US" w:eastAsia="zh-CN" w:bidi="ar"/>
              </w:rPr>
              <w:t>安徽省生态环境厅关于印送《安徽金寨经济开发区总体发展规划（2023-2035年）环境影响报告书审查意见》的函</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皖环函[2024]38号</w:t>
            </w:r>
            <w:r>
              <w:rPr>
                <w:rFonts w:hint="default" w:ascii="Times New Roman" w:hAnsi="Times New Roman" w:cs="Times New Roman"/>
                <w:color w:val="auto"/>
                <w:kern w:val="0"/>
                <w:sz w:val="24"/>
                <w:szCs w:val="24"/>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66" w:hRule="atLeast"/>
          <w:jc w:val="center"/>
        </w:trPr>
        <w:tc>
          <w:tcPr>
            <w:tcW w:w="1084" w:type="dxa"/>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0"/>
              </w:rPr>
            </w:pPr>
            <w:r>
              <w:rPr>
                <w:rFonts w:hint="default" w:ascii="Times New Roman" w:hAnsi="Times New Roman" w:cs="Times New Roman"/>
                <w:color w:val="auto"/>
                <w:kern w:val="0"/>
              </w:rPr>
              <w:t>规划及规划环境影响评价符合性分析</w:t>
            </w:r>
          </w:p>
        </w:tc>
        <w:tc>
          <w:tcPr>
            <w:tcW w:w="7248" w:type="dxa"/>
            <w:gridSpan w:val="4"/>
            <w:vAlign w:val="center"/>
          </w:tcPr>
          <w:p>
            <w:pPr>
              <w:keepNext w:val="0"/>
              <w:keepLines w:val="0"/>
              <w:widowControl/>
              <w:suppressLineNumbers w:val="0"/>
              <w:spacing w:line="360" w:lineRule="auto"/>
              <w:ind w:firstLine="481" w:firstLineChars="200"/>
              <w:jc w:val="left"/>
              <w:rPr>
                <w:rFonts w:hint="default" w:ascii="Times New Roman" w:hAnsi="Times New Roman" w:cs="Times New Roman"/>
                <w:b/>
                <w:bCs/>
                <w:color w:val="auto"/>
              </w:rPr>
            </w:pPr>
            <w:r>
              <w:rPr>
                <w:rFonts w:hint="default" w:ascii="Times New Roman" w:hAnsi="Times New Roman" w:eastAsia="宋体" w:cs="Times New Roman"/>
                <w:b/>
                <w:bCs/>
                <w:color w:val="auto"/>
                <w:kern w:val="0"/>
                <w:sz w:val="24"/>
                <w:szCs w:val="24"/>
                <w:lang w:val="en-US" w:eastAsia="zh-CN" w:bidi="ar"/>
              </w:rPr>
              <w:t>1、规划相符性分析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安徽省自然资源厅出具了《关于核定安徽金寨经济开发区四至范围和面积的函》（皖自然资用函〔2020〕140号），核定安徽金寨经济开发区（以下简称</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开发区</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面积1114.4055公顷，包含2个区块。其中，区块一面积142公顷，四至范围东至淠史杭灌渠路、南至北二路、西至史河大堤路、北至北六路；区块二面积972.4056公顷，四至范围西至梅山湖路，北至大别山路，东至响洪路，南至金刚台路。开发区主导产业定位：中医药大健康产业、电动助力车产业、</w:t>
            </w:r>
            <w:r>
              <w:rPr>
                <w:rFonts w:hint="default" w:ascii="Times New Roman" w:hAnsi="Times New Roman" w:cs="Times New Roman"/>
                <w:color w:val="auto"/>
                <w:sz w:val="24"/>
                <w:szCs w:val="24"/>
                <w:lang w:val="en-US" w:eastAsia="zh-CN"/>
              </w:rPr>
              <w:t>光伏设备及零部件产业。安徽金寨经济开发区环境准入行业类别规划详见下表</w:t>
            </w:r>
            <w:r>
              <w:rPr>
                <w:rFonts w:hint="default" w:ascii="Times New Roman" w:hAnsi="Times New Roman" w:eastAsia="宋体" w:cs="Times New Roman"/>
                <w:color w:val="auto"/>
                <w:kern w:val="0"/>
                <w:sz w:val="24"/>
                <w:szCs w:val="24"/>
                <w:lang w:val="en-US" w:eastAsia="zh-CN" w:bidi="ar"/>
              </w:rPr>
              <w:t>：</w:t>
            </w:r>
          </w:p>
          <w:p>
            <w:pPr>
              <w:pStyle w:val="55"/>
              <w:spacing w:after="0" w:line="240" w:lineRule="auto"/>
              <w:ind w:left="0" w:leftChars="0" w:firstLine="0" w:firstLineChars="0"/>
              <w:jc w:val="center"/>
              <w:rPr>
                <w:rFonts w:hint="default" w:ascii="Times New Roman" w:hAnsi="Times New Roman" w:cs="Times New Roman"/>
                <w:color w:val="auto"/>
              </w:rPr>
            </w:pPr>
            <w:r>
              <w:rPr>
                <w:rFonts w:hint="default" w:ascii="Times New Roman" w:hAnsi="Times New Roman" w:cs="Times New Roman"/>
                <w:b/>
                <w:bCs/>
                <w:color w:val="auto"/>
                <w:sz w:val="24"/>
                <w:szCs w:val="24"/>
              </w:rPr>
              <w:t>表1</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rPr>
              <w:t>1开发区环境准入行业类别规划一览表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5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795" w:type="pct"/>
                  <w:shd w:val="clear" w:color="auto" w:fill="auto"/>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4204" w:type="pct"/>
                  <w:shd w:val="clear" w:color="auto" w:fill="auto"/>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规划要求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trPr>
              <w:tc>
                <w:tcPr>
                  <w:tcW w:w="795" w:type="pct"/>
                  <w:shd w:val="clear" w:color="auto" w:fill="auto"/>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禁止类</w:t>
                  </w:r>
                </w:p>
              </w:tc>
              <w:tc>
                <w:tcPr>
                  <w:tcW w:w="4204" w:type="pct"/>
                  <w:shd w:val="clear" w:color="auto" w:fill="auto"/>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szCs w:val="21"/>
                    </w:rPr>
                    <w:t>（1）《国家产业结构调整指导目录》（20</w:t>
                  </w:r>
                  <w:r>
                    <w:rPr>
                      <w:rFonts w:hint="eastAsia" w:cs="Times New Roman"/>
                      <w:szCs w:val="21"/>
                      <w:lang w:val="en-US" w:eastAsia="zh-CN"/>
                    </w:rPr>
                    <w:t>24</w:t>
                  </w:r>
                  <w:r>
                    <w:rPr>
                      <w:rFonts w:hint="default" w:ascii="Times New Roman" w:hAnsi="Times New Roman" w:cs="Times New Roman"/>
                      <w:szCs w:val="21"/>
                    </w:rPr>
                    <w:t>年本）中淘汰类项目，《外商投资产业指导目录》禁止外商投资产业、《市场准入负面清单》中明令禁止的项目；（2）《安徽省国家重点生态功能区产业准入负面清单（试行）》规定的项目；（3）禁止新建高风险、高污染、落后产能项目；（4）禁止重污染、废水排放量大，不符合开发区水污染及大气污染总量控制原则，不符合产业政策要求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795" w:type="pct"/>
                  <w:shd w:val="clear" w:color="auto" w:fill="auto"/>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限制类</w:t>
                  </w:r>
                </w:p>
              </w:tc>
              <w:tc>
                <w:tcPr>
                  <w:tcW w:w="4204" w:type="pct"/>
                  <w:shd w:val="clear" w:color="auto" w:fill="auto"/>
                  <w:vAlign w:val="center"/>
                </w:tcPr>
                <w:p>
                  <w:pPr>
                    <w:keepNext w:val="0"/>
                    <w:keepLines w:val="0"/>
                    <w:widowControl/>
                    <w:suppressLineNumbers w:val="0"/>
                    <w:jc w:val="center"/>
                    <w:rPr>
                      <w:rFonts w:hint="default" w:ascii="Times New Roman" w:hAnsi="Times New Roman" w:cs="Times New Roman"/>
                      <w:color w:val="auto"/>
                    </w:rPr>
                  </w:pPr>
                  <w:r>
                    <w:rPr>
                      <w:rFonts w:hint="default" w:ascii="Times New Roman" w:hAnsi="Times New Roman" w:cs="Times New Roman"/>
                      <w:szCs w:val="21"/>
                    </w:rPr>
                    <w:t>（1）与主导产业和优先进入行业相配套，但资源消耗高，对环境影响较大的建设项目；（2）国家产业政策、产业结构调整目录、《安徽省重点生态功能区产业准入负面清单》《外商投资产业指导目录》《市场准入负面清单》中限制类项目；（3）与开发区主导产业密切相关或产业链条上必要的污染项目以及重型机械制造等三类工业项目；（4）与规划主导产业和允许、鼓励进入产业不相符合、低污染、低能耗、低耗水、对周边企业影响小、环境影响不大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95" w:type="pct"/>
                  <w:shd w:val="clear" w:color="auto" w:fill="auto"/>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允许类</w:t>
                  </w:r>
                </w:p>
              </w:tc>
              <w:tc>
                <w:tcPr>
                  <w:tcW w:w="4204" w:type="pct"/>
                  <w:shd w:val="clear" w:color="auto" w:fill="auto"/>
                  <w:vAlign w:val="center"/>
                </w:tcPr>
                <w:p>
                  <w:pPr>
                    <w:keepNext w:val="0"/>
                    <w:keepLines w:val="0"/>
                    <w:widowControl/>
                    <w:suppressLineNumbers w:val="0"/>
                    <w:jc w:val="center"/>
                    <w:rPr>
                      <w:rFonts w:hint="default" w:ascii="Times New Roman" w:hAnsi="Times New Roman" w:cs="Times New Roman"/>
                      <w:color w:val="auto"/>
                    </w:rPr>
                  </w:pPr>
                  <w:r>
                    <w:rPr>
                      <w:rFonts w:hint="default" w:ascii="Times New Roman" w:hAnsi="Times New Roman" w:cs="Times New Roman"/>
                      <w:bCs/>
                      <w:szCs w:val="21"/>
                      <w:lang w:bidi="ar"/>
                    </w:rPr>
                    <w:t>发展符合规划环评主导产业下的机械、农副产品加工和电子信息业。</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color w:val="auto"/>
                <w:sz w:val="24"/>
                <w:szCs w:val="24"/>
              </w:rPr>
            </w:pPr>
            <w:r>
              <w:rPr>
                <w:rFonts w:hint="default" w:ascii="Times New Roman" w:hAnsi="Times New Roman" w:eastAsia="宋体" w:cs="Times New Roman"/>
                <w:color w:val="auto"/>
                <w:sz w:val="24"/>
                <w:szCs w:val="24"/>
              </w:rPr>
              <w:t>本项目属于</w:t>
            </w:r>
            <w:r>
              <w:rPr>
                <w:rFonts w:hint="eastAsia" w:cs="Times New Roman"/>
                <w:color w:val="auto"/>
                <w:sz w:val="24"/>
                <w:szCs w:val="24"/>
                <w:lang w:val="en-US" w:eastAsia="zh-CN"/>
              </w:rPr>
              <w:t>C4220非金属废料和碎屑加工处理</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属于鼓励</w:t>
            </w:r>
            <w:r>
              <w:rPr>
                <w:rFonts w:hint="default" w:ascii="Times New Roman" w:hAnsi="Times New Roman" w:cs="Times New Roman"/>
                <w:color w:val="auto"/>
                <w:sz w:val="24"/>
                <w:szCs w:val="24"/>
                <w:lang w:val="en-US" w:eastAsia="zh-CN"/>
              </w:rPr>
              <w:t>类项目，且项目</w:t>
            </w:r>
            <w:r>
              <w:rPr>
                <w:rFonts w:hint="default" w:ascii="Times New Roman" w:hAnsi="Times New Roman" w:cs="Times New Roman"/>
                <w:color w:val="auto"/>
                <w:sz w:val="24"/>
                <w:szCs w:val="24"/>
              </w:rPr>
              <w:t>已完成备案（项目代码：</w:t>
            </w:r>
            <w:r>
              <w:rPr>
                <w:rFonts w:hint="default" w:ascii="Times New Roman" w:hAnsi="Times New Roman" w:eastAsia="新宋体" w:cs="Times New Roman"/>
                <w:color w:val="000000"/>
                <w:kern w:val="0"/>
                <w:sz w:val="24"/>
                <w:szCs w:val="24"/>
                <w:lang w:val="en-US" w:eastAsia="zh-CN" w:bidi="ar"/>
              </w:rPr>
              <w:t>2507-341524-04-05-719937</w:t>
            </w:r>
            <w:r>
              <w:rPr>
                <w:rFonts w:hint="eastAsia" w:eastAsia="新宋体" w:cs="Times New Roman"/>
                <w:color w:val="000000"/>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，符合《安徽金寨经济开发区总体规划》（2023-2035）</w:t>
            </w:r>
            <w:r>
              <w:rPr>
                <w:rFonts w:hint="default" w:ascii="Times New Roman" w:hAnsi="Times New Roman" w:cs="Times New Roman"/>
                <w:color w:val="auto"/>
                <w:kern w:val="0"/>
                <w:sz w:val="24"/>
                <w:szCs w:val="24"/>
                <w:lang w:val="en-US" w:eastAsia="zh-CN" w:bidi="ar"/>
              </w:rPr>
              <w:t>要求</w:t>
            </w:r>
            <w:r>
              <w:rPr>
                <w:rFonts w:hint="default" w:ascii="Times New Roman" w:hAnsi="Times New Roman" w:eastAsia="宋体" w:cs="Times New Roman"/>
                <w:color w:val="auto"/>
                <w:kern w:val="0"/>
                <w:sz w:val="24"/>
                <w:szCs w:val="24"/>
                <w:lang w:val="en-US" w:eastAsia="zh-CN" w:bidi="ar"/>
              </w:rPr>
              <w:t>。</w:t>
            </w:r>
          </w:p>
          <w:p>
            <w:pPr>
              <w:pStyle w:val="18"/>
              <w:spacing w:line="360" w:lineRule="auto"/>
              <w:ind w:left="0" w:leftChars="0" w:firstLine="0" w:firstLineChars="0"/>
              <w:jc w:val="left"/>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2、规划环评相符性分析</w:t>
            </w:r>
          </w:p>
          <w:p>
            <w:pPr>
              <w:pStyle w:val="1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（1）与</w:t>
            </w:r>
            <w:r>
              <w:rPr>
                <w:rFonts w:hint="default" w:ascii="Times New Roman" w:hAnsi="Times New Roman" w:cs="Times New Roman"/>
                <w:color w:val="auto"/>
                <w:sz w:val="24"/>
                <w:szCs w:val="24"/>
                <w:lang w:val="en-US" w:eastAsia="zh-CN"/>
              </w:rPr>
              <w:t>《安徽金寨经济开发区总体发展规划（2023-2035）环境影响报告书》（2023-2035）</w:t>
            </w:r>
            <w:r>
              <w:rPr>
                <w:rFonts w:hint="default" w:ascii="Times New Roman" w:hAnsi="Times New Roman" w:cs="Times New Roman"/>
                <w:color w:val="auto"/>
                <w:sz w:val="24"/>
                <w:szCs w:val="24"/>
              </w:rPr>
              <w:t>及其审查意见符合性分析</w:t>
            </w:r>
            <w:r>
              <w:rPr>
                <w:rFonts w:hint="default" w:ascii="Times New Roman" w:hAnsi="Times New Roman" w:cs="Times New Roman"/>
                <w:color w:val="auto"/>
                <w:sz w:val="24"/>
                <w:szCs w:val="24"/>
                <w:lang w:eastAsia="zh-CN"/>
              </w:rPr>
              <w:t>：</w:t>
            </w:r>
          </w:p>
          <w:p>
            <w:pPr>
              <w:pStyle w:val="55"/>
              <w:spacing w:after="0" w:line="240" w:lineRule="auto"/>
              <w:ind w:left="0" w:leftChars="0" w:firstLine="0" w:firstLineChars="0"/>
              <w:jc w:val="center"/>
              <w:rPr>
                <w:rFonts w:hint="default" w:ascii="Times New Roman" w:hAnsi="Times New Roman" w:cs="Times New Roman"/>
                <w:color w:val="auto"/>
              </w:rPr>
            </w:pPr>
            <w:r>
              <w:rPr>
                <w:rFonts w:hint="default" w:ascii="Times New Roman" w:hAnsi="Times New Roman" w:cs="Times New Roman"/>
                <w:b/>
                <w:bCs/>
                <w:color w:val="auto"/>
                <w:sz w:val="24"/>
                <w:szCs w:val="24"/>
              </w:rPr>
              <w:t>表1</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rPr>
              <w:t>2与规划环境影评价符合分析一览表</w:t>
            </w:r>
          </w:p>
          <w:tbl>
            <w:tblPr>
              <w:tblStyle w:val="33"/>
              <w:tblW w:w="7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4380"/>
              <w:gridCol w:w="1515"/>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9"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cs="Times New Roman"/>
                      <w:b/>
                      <w:bCs/>
                      <w:color w:val="auto"/>
                      <w:sz w:val="21"/>
                    </w:rPr>
                  </w:pPr>
                  <w:r>
                    <w:rPr>
                      <w:rFonts w:hint="default" w:ascii="Times New Roman" w:hAnsi="Times New Roman" w:cs="Times New Roman"/>
                      <w:b/>
                      <w:bCs/>
                      <w:color w:val="auto"/>
                      <w:sz w:val="21"/>
                    </w:rPr>
                    <w:t>序号</w:t>
                  </w:r>
                </w:p>
              </w:tc>
              <w:tc>
                <w:tcPr>
                  <w:tcW w:w="3057"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cs="Times New Roman"/>
                      <w:b/>
                      <w:bCs/>
                      <w:color w:val="auto"/>
                      <w:sz w:val="21"/>
                    </w:rPr>
                  </w:pPr>
                  <w:r>
                    <w:rPr>
                      <w:rFonts w:hint="default" w:ascii="Times New Roman" w:hAnsi="Times New Roman" w:cs="Times New Roman"/>
                      <w:b/>
                      <w:bCs/>
                      <w:color w:val="auto"/>
                      <w:sz w:val="21"/>
                    </w:rPr>
                    <w:t>规划环境影响评价要求</w:t>
                  </w:r>
                </w:p>
              </w:tc>
              <w:tc>
                <w:tcPr>
                  <w:tcW w:w="1057"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cs="Times New Roman"/>
                      <w:b/>
                      <w:bCs/>
                      <w:color w:val="auto"/>
                      <w:sz w:val="21"/>
                    </w:rPr>
                  </w:pPr>
                  <w:r>
                    <w:rPr>
                      <w:rFonts w:hint="default" w:ascii="Times New Roman" w:hAnsi="Times New Roman" w:cs="Times New Roman"/>
                      <w:b/>
                      <w:bCs/>
                      <w:color w:val="auto"/>
                      <w:sz w:val="21"/>
                    </w:rPr>
                    <w:t>本项目情况</w:t>
                  </w:r>
                </w:p>
              </w:tc>
              <w:tc>
                <w:tcPr>
                  <w:tcW w:w="474"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cs="Times New Roman"/>
                      <w:b/>
                      <w:bCs/>
                      <w:color w:val="auto"/>
                      <w:sz w:val="21"/>
                    </w:rPr>
                  </w:pPr>
                  <w:r>
                    <w:rPr>
                      <w:rFonts w:hint="default" w:ascii="Times New Roman" w:hAnsi="Times New Roman" w:cs="Times New Roman"/>
                      <w:b/>
                      <w:bCs/>
                      <w:color w:val="auto"/>
                      <w:sz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7" w:hRule="atLeast"/>
                <w:jc w:val="center"/>
              </w:trPr>
              <w:tc>
                <w:tcPr>
                  <w:tcW w:w="409"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1</w:t>
                  </w:r>
                </w:p>
              </w:tc>
              <w:tc>
                <w:tcPr>
                  <w:tcW w:w="30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加强《规划》引领，坚持绿色协调发展。《规划》应全面贯彻落实习近平生态文明思想，加强与《长江三角洲区域一体化发展规划纲要》、深入打好污染防治攻坚战等相关要求、区域生态环境分区管控要求、“三区三线”等的协调衔接，未纳入城镇开发边界的区域，建议按照自然资源部门管理要求进一步优化。统筹推进开发区整体发展和生态保护，基于区域资源、生态、环境等制约因素合理控制开发利用强度和开发区建设时序，进一步提高土地利用效率，协调好产业发展与区域环境保护的关系。统筹开发区减污降碳协同共治、资源节约集约及循环化利用、能源智慧高效利用、环境风险防控等重大事项，引导开发区高质量发展。结合区域生态环境承载力，完善开发区基础设施建设，着力推进开发区产业转型升级和结构优化，确保产业发展与区域生态环境保护、人居环境质量保障相协调。</w:t>
                  </w:r>
                </w:p>
              </w:tc>
              <w:tc>
                <w:tcPr>
                  <w:tcW w:w="1057"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cs="Times New Roman"/>
                      <w:color w:val="auto"/>
                      <w:sz w:val="21"/>
                    </w:rPr>
                  </w:pPr>
                  <w:r>
                    <w:rPr>
                      <w:rFonts w:hint="default" w:ascii="Times New Roman" w:hAnsi="Times New Roman" w:eastAsia="宋体" w:cs="Times New Roman"/>
                      <w:b w:val="0"/>
                      <w:bCs w:val="0"/>
                      <w:color w:val="auto"/>
                      <w:spacing w:val="0"/>
                      <w:sz w:val="21"/>
                      <w:szCs w:val="21"/>
                      <w:lang w:val="en-US" w:eastAsia="zh-CN"/>
                    </w:rPr>
                    <w:t>符合</w:t>
                  </w:r>
                  <w:r>
                    <w:rPr>
                      <w:rFonts w:hint="default" w:ascii="Times New Roman" w:hAnsi="Times New Roman" w:cs="Times New Roman"/>
                      <w:color w:val="auto"/>
                      <w:lang w:val="en-US" w:eastAsia="zh-CN"/>
                    </w:rPr>
                    <w:t>“</w:t>
                  </w:r>
                  <w:r>
                    <w:rPr>
                      <w:rFonts w:hint="default" w:ascii="Times New Roman" w:hAnsi="Times New Roman" w:eastAsia="宋体" w:cs="Times New Roman"/>
                      <w:b w:val="0"/>
                      <w:bCs w:val="0"/>
                      <w:color w:val="auto"/>
                      <w:spacing w:val="0"/>
                      <w:sz w:val="21"/>
                      <w:szCs w:val="21"/>
                      <w:lang w:val="en-US" w:eastAsia="zh-CN"/>
                    </w:rPr>
                    <w:t>三线一单</w:t>
                  </w:r>
                  <w:r>
                    <w:rPr>
                      <w:rFonts w:hint="default" w:ascii="Times New Roman" w:hAnsi="Times New Roman" w:cs="Times New Roman"/>
                      <w:b w:val="0"/>
                      <w:bCs w:val="0"/>
                      <w:color w:val="auto"/>
                      <w:spacing w:val="0"/>
                      <w:sz w:val="21"/>
                      <w:szCs w:val="21"/>
                      <w:lang w:val="en-US" w:eastAsia="zh-CN"/>
                    </w:rPr>
                    <w:t>”</w:t>
                  </w:r>
                  <w:r>
                    <w:rPr>
                      <w:rFonts w:hint="default" w:ascii="Times New Roman" w:hAnsi="Times New Roman" w:eastAsia="宋体" w:cs="Times New Roman"/>
                      <w:b w:val="0"/>
                      <w:bCs w:val="0"/>
                      <w:color w:val="auto"/>
                      <w:spacing w:val="0"/>
                      <w:sz w:val="21"/>
                      <w:szCs w:val="21"/>
                      <w:lang w:val="en-US" w:eastAsia="zh-CN"/>
                    </w:rPr>
                    <w:t>和区域规划用地、产业布局要求，采取的污染防治措施符合相关政策、技术要求，</w:t>
                  </w:r>
                  <w:r>
                    <w:rPr>
                      <w:rFonts w:hint="default" w:ascii="Times New Roman" w:hAnsi="Times New Roman" w:eastAsia="宋体" w:cs="Times New Roman"/>
                      <w:bCs/>
                      <w:color w:val="auto"/>
                      <w:kern w:val="0"/>
                      <w:sz w:val="21"/>
                      <w:szCs w:val="21"/>
                      <w:lang w:val="en-US" w:eastAsia="zh-CN"/>
                    </w:rPr>
                    <w:t>采用先进生产工艺、装备，自动化程度高，环保设施配套完善、布局合理</w:t>
                  </w:r>
                </w:p>
              </w:tc>
              <w:tc>
                <w:tcPr>
                  <w:tcW w:w="474"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409"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2</w:t>
                  </w:r>
                </w:p>
              </w:tc>
              <w:tc>
                <w:tcPr>
                  <w:tcW w:w="30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严守环境质量底线，落实区域环境质量管控。金寨县是全国重要的水土保持、水源涵养和生物多样性维护生态功能区，生态环境保护要求较高。开发区应坚持“生态优先、绿色发展”的战略定位，以生态环境质量改善、防范环境风险为核心，明确开发区发展存在的环境制约因素。根据国家和安徽省大气、水、土壤、环境风险防范和固体废物污染防治相关要求，妥善解决区域现存生态环境问题，确保开发区建设项目污染物长期稳定达标排放，区域生态环境质量持续改善。开发区应根据园区污水处理厂尾水受纳水体水环境质量状况，审慎考虑并严格控制涉氟化物和重金属产业发展规模及水污染物排放量，电镀中心不得突破已批复项目环评管理要求。</w:t>
                  </w:r>
                </w:p>
              </w:tc>
              <w:tc>
                <w:tcPr>
                  <w:tcW w:w="1057"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cs="Times New Roman"/>
                      <w:color w:val="auto"/>
                      <w:sz w:val="21"/>
                    </w:rPr>
                  </w:pPr>
                  <w:r>
                    <w:rPr>
                      <w:rFonts w:hint="default" w:ascii="Times New Roman" w:hAnsi="Times New Roman" w:eastAsia="宋体" w:cs="Times New Roman"/>
                      <w:bCs/>
                      <w:color w:val="auto"/>
                      <w:kern w:val="0"/>
                      <w:sz w:val="21"/>
                      <w:szCs w:val="21"/>
                      <w:highlight w:val="none"/>
                      <w:lang w:val="en-US" w:eastAsia="zh-CN"/>
                    </w:rPr>
                    <w:t>选址区域属</w:t>
                  </w:r>
                  <w:r>
                    <w:rPr>
                      <w:rFonts w:hint="eastAsia" w:ascii="Times New Roman" w:cs="Times New Roman"/>
                      <w:bCs/>
                      <w:color w:val="auto"/>
                      <w:kern w:val="0"/>
                      <w:sz w:val="21"/>
                      <w:szCs w:val="21"/>
                      <w:highlight w:val="none"/>
                      <w:lang w:val="en-US" w:eastAsia="zh-CN"/>
                    </w:rPr>
                    <w:t>金寨现代产业园污水处理厂</w:t>
                  </w:r>
                  <w:r>
                    <w:rPr>
                      <w:rFonts w:hint="default" w:ascii="Times New Roman" w:hAnsi="Times New Roman" w:eastAsia="宋体" w:cs="Times New Roman"/>
                      <w:bCs/>
                      <w:color w:val="auto"/>
                      <w:kern w:val="0"/>
                      <w:sz w:val="21"/>
                      <w:szCs w:val="21"/>
                      <w:highlight w:val="none"/>
                    </w:rPr>
                    <w:t>收水范围内，</w:t>
                  </w:r>
                  <w:r>
                    <w:rPr>
                      <w:rFonts w:hint="default" w:ascii="Times New Roman" w:hAnsi="Times New Roman" w:cs="Times New Roman"/>
                      <w:bCs/>
                      <w:color w:val="auto"/>
                      <w:kern w:val="0"/>
                      <w:sz w:val="21"/>
                      <w:szCs w:val="21"/>
                      <w:highlight w:val="none"/>
                      <w:lang w:val="en-US" w:eastAsia="zh-CN"/>
                    </w:rPr>
                    <w:t>废水</w:t>
                  </w:r>
                  <w:r>
                    <w:rPr>
                      <w:rFonts w:hint="default" w:ascii="Times New Roman" w:hAnsi="Times New Roman" w:eastAsia="宋体"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rPr>
                    <w:t>能够满足接管要求</w:t>
                  </w:r>
                  <w:r>
                    <w:rPr>
                      <w:rFonts w:hint="default" w:ascii="Times New Roman" w:hAnsi="Times New Roman" w:eastAsia="宋体" w:cs="Times New Roman"/>
                      <w:bCs/>
                      <w:color w:val="auto"/>
                      <w:kern w:val="0"/>
                      <w:sz w:val="21"/>
                      <w:szCs w:val="21"/>
                      <w:highlight w:val="none"/>
                      <w:lang w:eastAsia="zh-CN"/>
                    </w:rPr>
                    <w:t>；</w:t>
                  </w:r>
                  <w:r>
                    <w:rPr>
                      <w:rFonts w:hint="default" w:ascii="Times New Roman" w:hAnsi="Times New Roman" w:eastAsia="宋体" w:cs="Times New Roman"/>
                      <w:bCs/>
                      <w:color w:val="auto"/>
                      <w:kern w:val="0"/>
                      <w:sz w:val="21"/>
                      <w:szCs w:val="21"/>
                      <w:highlight w:val="none"/>
                      <w:lang w:val="en-US" w:eastAsia="zh-CN"/>
                    </w:rPr>
                    <w:t>在落实污染防治和风险防治措施后，能够确保各污染物稳定达标，环境风险可控</w:t>
                  </w:r>
                </w:p>
              </w:tc>
              <w:tc>
                <w:tcPr>
                  <w:tcW w:w="474"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09"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3</w:t>
                  </w:r>
                </w:p>
              </w:tc>
              <w:tc>
                <w:tcPr>
                  <w:tcW w:w="30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lang w:val="en-US" w:eastAsia="zh-CN"/>
                    </w:rPr>
                    <w:t>落实生态环境分</w:t>
                  </w:r>
                  <w:r>
                    <w:rPr>
                      <w:rFonts w:hint="default" w:ascii="Times New Roman" w:hAnsi="Times New Roman" w:cs="Times New Roman"/>
                      <w:color w:val="auto"/>
                    </w:rPr>
                    <w:t>区管控要求，结合国家和省长江经济带发展负面清单管控要求、区域资源优势和环境制约因素、开发区产业定位等，进一步完善产业发展规划，优化主导产业发展方向、功能分区和重大项目布局，严禁引入安徽省长江经济带发展负面清单中的项目，所有电镀工序须进入园区已批复的电镀中心。</w:t>
                  </w:r>
                </w:p>
              </w:tc>
              <w:tc>
                <w:tcPr>
                  <w:tcW w:w="1057"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本项目行业类别属于</w:t>
                  </w:r>
                  <w:r>
                    <w:rPr>
                      <w:rFonts w:hint="eastAsia" w:ascii="Times New Roman" w:cs="Times New Roman"/>
                      <w:color w:val="auto"/>
                      <w:sz w:val="21"/>
                      <w:szCs w:val="21"/>
                      <w:lang w:val="en-US" w:eastAsia="zh-CN"/>
                    </w:rPr>
                    <w:t>C4220非金属废料和碎屑加工处理</w:t>
                  </w:r>
                  <w:r>
                    <w:rPr>
                      <w:rFonts w:hint="default" w:ascii="Times New Roman" w:hAnsi="Times New Roman" w:cs="Times New Roman"/>
                      <w:color w:val="auto"/>
                      <w:sz w:val="21"/>
                    </w:rPr>
                    <w:t>，不属于国家产业政策、技术政策和环保法律法规政策明令禁止的项目</w:t>
                  </w:r>
                </w:p>
              </w:tc>
              <w:tc>
                <w:tcPr>
                  <w:tcW w:w="474"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9" w:hRule="atLeast"/>
                <w:jc w:val="center"/>
              </w:trPr>
              <w:tc>
                <w:tcPr>
                  <w:tcW w:w="409"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lang w:val="en-US" w:eastAsia="zh-CN"/>
                    </w:rPr>
                    <w:t>4</w:t>
                  </w:r>
                </w:p>
              </w:tc>
              <w:tc>
                <w:tcPr>
                  <w:tcW w:w="3057"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lang w:val="en-US" w:eastAsia="zh-CN"/>
                    </w:rPr>
                    <w:t>落实开发区雨污分流、清污分流，做好初期雨水</w:t>
                  </w:r>
                  <w:r>
                    <w:rPr>
                      <w:rFonts w:hint="default" w:ascii="Times New Roman" w:hAnsi="Times New Roman" w:cs="Times New Roman"/>
                      <w:color w:val="auto"/>
                      <w:sz w:val="21"/>
                    </w:rPr>
                    <w:t>截污、收集、处理；结合区域地表水环境质量现状、已批复的光伏产业规模等，加快推进开发区污水处理厂含氟废水预处理设施</w:t>
                  </w:r>
                  <w:r>
                    <w:rPr>
                      <w:rFonts w:hint="default" w:ascii="Times New Roman" w:hAnsi="Times New Roman" w:cs="Times New Roman"/>
                      <w:color w:val="auto"/>
                      <w:sz w:val="21"/>
                      <w:lang w:val="en-US" w:eastAsia="zh-CN"/>
                    </w:rPr>
                    <w:t>工程，电镀中心和光伏产业生产废水特征因子应分别进行预处理，</w:t>
                  </w:r>
                  <w:r>
                    <w:rPr>
                      <w:rFonts w:hint="default" w:ascii="Times New Roman" w:hAnsi="Times New Roman" w:cs="Times New Roman"/>
                      <w:color w:val="auto"/>
                      <w:sz w:val="21"/>
                    </w:rPr>
                    <w:t>确保园区污水处理厂尾水排放达到受纳水体水环境质量管理要求。预留污水处理厂尾水提标改造空间，根据受纳水体管控要求适时启动，保障开发区周边受纳水体的水环境功能、下游水环境保护目标及相关考核断面水质稳定达标。</w:t>
                  </w:r>
                </w:p>
              </w:tc>
              <w:tc>
                <w:tcPr>
                  <w:tcW w:w="1057"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highlight w:val="none"/>
                    </w:rPr>
                    <w:t>区域污水处理厂及配套管网已建设完善并投入运行，外排废水可满足污水处理厂接管标准限值，达标接管至市政污水管网</w:t>
                  </w:r>
                </w:p>
              </w:tc>
              <w:tc>
                <w:tcPr>
                  <w:tcW w:w="474"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jc w:val="center"/>
              </w:trPr>
              <w:tc>
                <w:tcPr>
                  <w:tcW w:w="409"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5</w:t>
                  </w:r>
                </w:p>
              </w:tc>
              <w:tc>
                <w:tcPr>
                  <w:tcW w:w="3057"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严格执行国家产业政策，坚决遏制高耗能、高排放项目盲目发展，限制与规划主导产业不相关且污染物排放量大的项目入区，严禁引入安徽省长江经济带发展负面清单中的项目和不符合长江流域生态环境保护要求的项目。规划入园产业需严格控制各项污染物排放，保障区域生态环境质量。引进项目的生产工艺、设备、自动化水平，及单位产品能耗、污染物排放、碳排放等均需达到国内同行业先进水平。</w:t>
                  </w:r>
                </w:p>
              </w:tc>
              <w:tc>
                <w:tcPr>
                  <w:tcW w:w="10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sz w:val="21"/>
                    </w:rPr>
                  </w:pPr>
                  <w:r>
                    <w:rPr>
                      <w:rFonts w:hint="default" w:ascii="Times New Roman" w:hAnsi="Times New Roman" w:eastAsia="宋体" w:cs="Times New Roman"/>
                      <w:color w:val="auto"/>
                      <w:kern w:val="0"/>
                      <w:sz w:val="21"/>
                      <w:szCs w:val="21"/>
                      <w:lang w:val="en-US" w:eastAsia="zh-CN" w:bidi="ar"/>
                    </w:rPr>
                    <w:t>不属于两高项目，属于开发区允许入驻类项目，生产工艺、设备自动化水平，及单位产品能耗、污染物排放、碳排放等均达到国内同行业先进水平</w:t>
                  </w:r>
                </w:p>
              </w:tc>
              <w:tc>
                <w:tcPr>
                  <w:tcW w:w="474"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409"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lang w:val="en-US" w:eastAsia="zh-CN"/>
                    </w:rPr>
                    <w:t>6</w:t>
                  </w:r>
                </w:p>
              </w:tc>
              <w:tc>
                <w:tcPr>
                  <w:tcW w:w="3057"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lang w:val="en-US" w:eastAsia="zh-CN"/>
                    </w:rPr>
                    <w:t>着力提</w:t>
                  </w:r>
                  <w:r>
                    <w:rPr>
                      <w:rFonts w:hint="default" w:ascii="Times New Roman" w:hAnsi="Times New Roman" w:cs="Times New Roman"/>
                      <w:color w:val="auto"/>
                      <w:sz w:val="21"/>
                    </w:rPr>
                    <w:t>升开发区环境管理水平，统筹考虑区域内污染物排放、大气环境保护、水环境保护、环境风险防范、环境管理等要求，健全区域风险防范体系和生态安全保障体系，完善环境风险防范应急措施，落实应急处理处置方案要求，光伏产业和电镀中心区域应实施三级风险防控。加强日常环境监管与监测，落实区域环境管理要求。做好开发区重大环境风险源的识别与管控，重点关注涉氟化物和重金属企业环境风险防控，确保事故废水与外环境有效隔离、及时处置。在规划实施过程中，适时开展规划环境影响的跟踪评价。结合规划环评和跟踪评价成果，同步更新</w:t>
                  </w:r>
                  <w:r>
                    <w:rPr>
                      <w:rFonts w:hint="default" w:ascii="Times New Roman" w:hAnsi="Times New Roman" w:cs="Times New Roman"/>
                      <w:color w:val="auto"/>
                      <w:lang w:val="en-US" w:eastAsia="zh-CN"/>
                    </w:rPr>
                    <w:t>“</w:t>
                  </w:r>
                  <w:r>
                    <w:rPr>
                      <w:rFonts w:hint="default" w:ascii="Times New Roman" w:hAnsi="Times New Roman" w:cs="Times New Roman"/>
                      <w:color w:val="auto"/>
                      <w:sz w:val="21"/>
                    </w:rPr>
                    <w:t>区域评估</w:t>
                  </w:r>
                  <w:r>
                    <w:rPr>
                      <w:rFonts w:hint="default" w:ascii="Times New Roman" w:hAnsi="Times New Roman" w:cs="Times New Roman"/>
                      <w:color w:val="auto"/>
                      <w:sz w:val="21"/>
                      <w:lang w:val="en-US" w:eastAsia="zh-CN"/>
                    </w:rPr>
                    <w:t>+</w:t>
                  </w:r>
                  <w:r>
                    <w:rPr>
                      <w:rFonts w:hint="default" w:ascii="Times New Roman" w:hAnsi="Times New Roman" w:cs="Times New Roman"/>
                      <w:color w:val="auto"/>
                      <w:sz w:val="21"/>
                    </w:rPr>
                    <w:t>环境标准</w:t>
                  </w:r>
                  <w:r>
                    <w:rPr>
                      <w:rFonts w:hint="default" w:ascii="Times New Roman" w:hAnsi="Times New Roman" w:cs="Times New Roman"/>
                      <w:color w:val="auto"/>
                      <w:sz w:val="21"/>
                      <w:lang w:eastAsia="zh-CN"/>
                    </w:rPr>
                    <w:t>”</w:t>
                  </w:r>
                  <w:r>
                    <w:rPr>
                      <w:rFonts w:hint="default" w:ascii="Times New Roman" w:hAnsi="Times New Roman" w:cs="Times New Roman"/>
                      <w:color w:val="auto"/>
                      <w:sz w:val="21"/>
                    </w:rPr>
                    <w:t>。</w:t>
                  </w:r>
                </w:p>
              </w:tc>
              <w:tc>
                <w:tcPr>
                  <w:tcW w:w="1057"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cs="Times New Roman"/>
                      <w:color w:val="auto"/>
                      <w:sz w:val="21"/>
                    </w:rPr>
                  </w:pPr>
                  <w:r>
                    <w:rPr>
                      <w:rFonts w:hint="default" w:ascii="Times New Roman" w:hAnsi="Times New Roman" w:eastAsia="宋体" w:cs="Times New Roman"/>
                      <w:bCs/>
                      <w:color w:val="auto"/>
                      <w:kern w:val="0"/>
                      <w:sz w:val="21"/>
                      <w:szCs w:val="21"/>
                      <w:highlight w:val="none"/>
                      <w:lang w:val="en-US" w:eastAsia="zh-CN"/>
                    </w:rPr>
                    <w:t>企业</w:t>
                  </w:r>
                  <w:r>
                    <w:rPr>
                      <w:rFonts w:hint="default" w:ascii="Times New Roman" w:hAnsi="Times New Roman" w:eastAsia="宋体" w:cs="Times New Roman"/>
                      <w:bCs/>
                      <w:color w:val="auto"/>
                      <w:kern w:val="0"/>
                      <w:sz w:val="21"/>
                      <w:szCs w:val="21"/>
                    </w:rPr>
                    <w:t>运营后按照排污许可</w:t>
                  </w:r>
                  <w:r>
                    <w:rPr>
                      <w:rFonts w:hint="default" w:ascii="Times New Roman" w:hAnsi="Times New Roman" w:eastAsia="宋体" w:cs="Times New Roman"/>
                      <w:bCs/>
                      <w:color w:val="auto"/>
                      <w:kern w:val="0"/>
                      <w:sz w:val="21"/>
                      <w:szCs w:val="21"/>
                      <w:lang w:val="en-US" w:eastAsia="zh-CN"/>
                    </w:rPr>
                    <w:t>相关管理要求和环评要求</w:t>
                  </w:r>
                  <w:r>
                    <w:rPr>
                      <w:rFonts w:hint="default" w:ascii="Times New Roman" w:hAnsi="Times New Roman" w:eastAsia="宋体" w:cs="Times New Roman"/>
                      <w:bCs/>
                      <w:color w:val="auto"/>
                      <w:kern w:val="0"/>
                      <w:sz w:val="21"/>
                      <w:szCs w:val="21"/>
                    </w:rPr>
                    <w:t>，做好</w:t>
                  </w:r>
                  <w:r>
                    <w:rPr>
                      <w:rFonts w:hint="default" w:ascii="Times New Roman" w:hAnsi="Times New Roman" w:eastAsia="宋体" w:cs="Times New Roman"/>
                      <w:bCs/>
                      <w:color w:val="auto"/>
                      <w:kern w:val="0"/>
                      <w:sz w:val="21"/>
                      <w:szCs w:val="21"/>
                      <w:lang w:val="en-US" w:eastAsia="zh-CN"/>
                    </w:rPr>
                    <w:t>自行监测和</w:t>
                  </w:r>
                  <w:r>
                    <w:rPr>
                      <w:rFonts w:hint="default" w:ascii="Times New Roman" w:hAnsi="Times New Roman" w:eastAsia="宋体" w:cs="Times New Roman"/>
                      <w:bCs/>
                      <w:color w:val="auto"/>
                      <w:kern w:val="0"/>
                      <w:sz w:val="21"/>
                      <w:szCs w:val="21"/>
                    </w:rPr>
                    <w:t>监测质量保证与质量控制</w:t>
                  </w:r>
                </w:p>
              </w:tc>
              <w:tc>
                <w:tcPr>
                  <w:tcW w:w="474" w:type="pct"/>
                  <w:shd w:val="clear" w:color="auto" w:fill="auto"/>
                  <w:vAlign w:val="center"/>
                </w:tcPr>
                <w:p>
                  <w:pPr>
                    <w:pStyle w:val="52"/>
                    <w:keepNext w:val="0"/>
                    <w:keepLines w:val="0"/>
                    <w:pageBreakBefore w:val="0"/>
                    <w:widowControl/>
                    <w:kinsoku/>
                    <w:wordWrap/>
                    <w:overflowPunct/>
                    <w:topLinePunct w:val="0"/>
                    <w:autoSpaceDE/>
                    <w:autoSpaceDN/>
                    <w:bidi w:val="0"/>
                    <w:adjustRightInd w:val="0"/>
                    <w:snapToGrid w:val="0"/>
                    <w:spacing w:before="0" w:after="0"/>
                    <w:ind w:left="0" w:leftChars="0" w:right="0" w:rightChars="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符合</w:t>
                  </w:r>
                </w:p>
              </w:tc>
            </w:tr>
          </w:tbl>
          <w:p>
            <w:pPr>
              <w:jc w:val="left"/>
              <w:rPr>
                <w:rFonts w:hint="default" w:ascii="Times New Roman" w:hAnsi="Times New Roman" w:eastAsia="宋体" w:cs="Times New Roman"/>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95" w:hRule="atLeast"/>
          <w:jc w:val="center"/>
        </w:trPr>
        <w:tc>
          <w:tcPr>
            <w:tcW w:w="1084" w:type="dxa"/>
            <w:vAlign w:val="center"/>
          </w:tcPr>
          <w:p>
            <w:pPr>
              <w:autoSpaceDE w:val="0"/>
              <w:autoSpaceDN w:val="0"/>
              <w:adjustRightInd w:val="0"/>
              <w:snapToGrid w:val="0"/>
              <w:spacing w:line="240" w:lineRule="auto"/>
              <w:ind w:firstLine="0" w:firstLineChars="0"/>
              <w:jc w:val="center"/>
              <w:rPr>
                <w:rFonts w:hint="default" w:ascii="Times New Roman" w:hAnsi="Times New Roman" w:cs="Times New Roman"/>
                <w:color w:val="auto"/>
                <w:kern w:val="0"/>
              </w:rPr>
            </w:pPr>
            <w:r>
              <w:rPr>
                <w:rFonts w:hint="default" w:ascii="Times New Roman" w:hAnsi="Times New Roman" w:cs="Times New Roman"/>
                <w:color w:val="auto"/>
                <w:kern w:val="0"/>
              </w:rPr>
              <w:t>其他符合性分析</w:t>
            </w:r>
          </w:p>
        </w:tc>
        <w:tc>
          <w:tcPr>
            <w:tcW w:w="7248" w:type="dxa"/>
            <w:gridSpan w:val="4"/>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1" w:firstLineChars="200"/>
              <w:jc w:val="left"/>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w:t>
            </w: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lang w:val="en-US" w:eastAsia="zh-CN"/>
              </w:rPr>
              <w:t>分区管控</w:t>
            </w: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rPr>
              <w:t>符合性分析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根据《长江经济带战略环境评价安徽省六安市“三线一单”文本》。本项目的“三线一单”符合性分析如下：</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①生态保护红线：根据安徽省生态保护红线（皖政秘</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2018</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120号）以及《</w:t>
            </w:r>
            <w:r>
              <w:rPr>
                <w:rFonts w:hint="default" w:ascii="Times New Roman" w:hAnsi="Times New Roman" w:eastAsia="宋体" w:cs="Times New Roman"/>
                <w:b w:val="0"/>
                <w:bCs/>
                <w:sz w:val="24"/>
                <w:szCs w:val="24"/>
              </w:rPr>
              <w:t>长江经济带战略环境评价安徽省六安市生态环境分区管控</w:t>
            </w:r>
            <w:r>
              <w:rPr>
                <w:rFonts w:hint="default" w:ascii="Times New Roman" w:hAnsi="Times New Roman" w:eastAsia="宋体" w:cs="Times New Roman"/>
                <w:b w:val="0"/>
                <w:bCs/>
                <w:sz w:val="24"/>
                <w:szCs w:val="24"/>
                <w:lang w:val="en-US" w:eastAsia="zh-CN"/>
              </w:rPr>
              <w:t>文本</w:t>
            </w:r>
            <w:r>
              <w:rPr>
                <w:rFonts w:hint="default" w:ascii="Times New Roman" w:hAnsi="Times New Roman" w:eastAsia="宋体" w:cs="Times New Roman"/>
                <w:color w:val="auto"/>
                <w:kern w:val="0"/>
                <w:sz w:val="24"/>
                <w:szCs w:val="24"/>
                <w:lang w:val="en-US" w:eastAsia="zh-CN" w:bidi="ar"/>
              </w:rPr>
              <w:t>》中六安市生态保护红线分布图，厂址位于安徽金寨经济开发区规划建设用地内，评价范围内无自然保护区、风景名胜区、世界文化和自然遗产地、饮用水水源保护区以及森林公园、地质公园、重要湿地等敏感区存在，不涉及生态保护红线。</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②环境质量底线：</w:t>
            </w:r>
            <w:r>
              <w:rPr>
                <w:rFonts w:hint="default" w:ascii="Times New Roman" w:hAnsi="Times New Roman" w:eastAsia="宋体" w:cs="Times New Roman"/>
                <w:b w:val="0"/>
                <w:bCs w:val="0"/>
                <w:color w:val="auto"/>
                <w:sz w:val="24"/>
                <w:szCs w:val="24"/>
              </w:rPr>
              <w:t>根据项目所在区域现有环境质量现状数据调查分析可知，区域环境空气、地表水环境、声环境、地下水环境、土壤环境等均符合相应的标准要求，符合环境质量底线要求。本项目废水、废气、噪声经治理后均可达标排放，对区域环境影响可接受，不会触及环境质量底线。</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③资源利用上线：项目不属于高耗能项目；另根据《</w:t>
            </w:r>
            <w:r>
              <w:rPr>
                <w:rFonts w:hint="default" w:ascii="Times New Roman" w:hAnsi="Times New Roman" w:eastAsia="宋体" w:cs="Times New Roman"/>
                <w:b w:val="0"/>
                <w:bCs/>
                <w:sz w:val="24"/>
                <w:szCs w:val="24"/>
                <w:lang w:bidi="en-US"/>
              </w:rPr>
              <w:t>六安市</w:t>
            </w:r>
            <w:bookmarkStart w:id="3" w:name="_Hlk132354827"/>
            <w:r>
              <w:rPr>
                <w:rFonts w:hint="default" w:ascii="Times New Roman" w:hAnsi="Times New Roman" w:eastAsia="宋体" w:cs="Times New Roman"/>
                <w:b w:val="0"/>
                <w:bCs/>
                <w:sz w:val="24"/>
                <w:szCs w:val="24"/>
                <w:lang w:bidi="en-US"/>
              </w:rPr>
              <w:t>生态环境分区管控</w:t>
            </w:r>
            <w:bookmarkEnd w:id="3"/>
            <w:r>
              <w:rPr>
                <w:rFonts w:hint="default" w:ascii="Times New Roman" w:hAnsi="Times New Roman" w:eastAsia="宋体" w:cs="Times New Roman"/>
                <w:b w:val="0"/>
                <w:bCs/>
                <w:sz w:val="24"/>
                <w:szCs w:val="24"/>
                <w:lang w:bidi="en-US"/>
              </w:rPr>
              <w:t>成果动态更新情况说明文本</w:t>
            </w:r>
            <w:r>
              <w:rPr>
                <w:rFonts w:hint="default" w:ascii="Times New Roman" w:hAnsi="Times New Roman" w:eastAsia="宋体" w:cs="Times New Roman"/>
                <w:color w:val="auto"/>
                <w:kern w:val="0"/>
                <w:sz w:val="24"/>
                <w:szCs w:val="24"/>
                <w:lang w:val="en-US" w:eastAsia="zh-CN" w:bidi="ar"/>
              </w:rPr>
              <w:t>》，属于一般资源管控区。综上，本项目的建设符合资源利用上线的要求。</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color w:val="auto"/>
                <w:kern w:val="0"/>
                <w:sz w:val="24"/>
                <w:szCs w:val="24"/>
                <w:lang w:val="en-US" w:eastAsia="zh-CN" w:bidi="ar"/>
              </w:rPr>
              <w:t>④生态环境准入清单：</w:t>
            </w:r>
            <w:r>
              <w:rPr>
                <w:rFonts w:hint="default" w:ascii="Times New Roman" w:hAnsi="Times New Roman" w:eastAsia="宋体" w:cs="Times New Roman"/>
                <w:b w:val="0"/>
                <w:bCs w:val="0"/>
                <w:color w:val="auto"/>
                <w:sz w:val="24"/>
                <w:szCs w:val="24"/>
              </w:rPr>
              <w:t>根据《长江经济带战略环境评价安徽省六安市“三线一单”文本》，</w:t>
            </w:r>
            <w:r>
              <w:rPr>
                <w:rFonts w:hint="default" w:ascii="Times New Roman" w:hAnsi="Times New Roman" w:eastAsia="宋体" w:cs="Times New Roman"/>
                <w:sz w:val="24"/>
                <w:szCs w:val="24"/>
              </w:rPr>
              <w:t>六安市共划定生态环境管控单元61个，其中优先保护单元40个；重点管控单元14个；一般管控单元7个</w:t>
            </w:r>
            <w:r>
              <w:rPr>
                <w:rFonts w:hint="default" w:ascii="Times New Roman" w:hAnsi="Times New Roman" w:eastAsia="宋体" w:cs="Times New Roman"/>
                <w:b w:val="0"/>
                <w:bCs w:val="0"/>
                <w:color w:val="auto"/>
                <w:sz w:val="24"/>
                <w:szCs w:val="24"/>
              </w:rPr>
              <w:t>共三类，实施分类管控。</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对照六安市生态环境管控单元分区图，项目所在</w:t>
            </w:r>
            <w:r>
              <w:rPr>
                <w:rFonts w:hint="default" w:ascii="Times New Roman" w:hAnsi="Times New Roman" w:cs="Times New Roman"/>
                <w:b w:val="0"/>
                <w:bCs w:val="0"/>
                <w:color w:val="auto"/>
                <w:sz w:val="24"/>
                <w:szCs w:val="24"/>
                <w:lang w:val="en-US" w:eastAsia="zh-CN"/>
              </w:rPr>
              <w:t>项目</w:t>
            </w:r>
            <w:r>
              <w:rPr>
                <w:rFonts w:hint="default" w:ascii="Times New Roman" w:hAnsi="Times New Roman" w:cs="Times New Roman"/>
                <w:b w:val="0"/>
                <w:bCs w:val="0"/>
                <w:color w:val="auto"/>
                <w:sz w:val="24"/>
                <w:szCs w:val="24"/>
                <w:lang w:eastAsia="zh-CN"/>
              </w:rPr>
              <w:t>区</w:t>
            </w:r>
            <w:r>
              <w:rPr>
                <w:rFonts w:hint="default" w:ascii="Times New Roman" w:hAnsi="Times New Roman" w:eastAsia="宋体" w:cs="Times New Roman"/>
                <w:b w:val="0"/>
                <w:bCs w:val="0"/>
                <w:color w:val="auto"/>
                <w:sz w:val="24"/>
                <w:szCs w:val="24"/>
              </w:rPr>
              <w:t>属重点管控单元，从加强污染物排放管控、环境风险防控和资源开发利用效率等方面，重点提出建设项目禁入清单、污染物排放管控、土壤风险防控、资源能源利用控制要求等。</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val="0"/>
                <w:bCs w:val="0"/>
                <w:color w:val="auto"/>
                <w:sz w:val="24"/>
                <w:szCs w:val="24"/>
              </w:rPr>
              <w:t>项目位于</w:t>
            </w:r>
            <w:r>
              <w:rPr>
                <w:rFonts w:hint="eastAsia" w:cs="Times New Roman"/>
                <w:sz w:val="24"/>
                <w:szCs w:val="24"/>
                <w:lang w:eastAsia="zh-CN"/>
              </w:rPr>
              <w:t>安徽金寨经济开发区</w:t>
            </w:r>
            <w:r>
              <w:rPr>
                <w:rFonts w:hint="default" w:ascii="Times New Roman" w:hAnsi="Times New Roman" w:eastAsia="宋体" w:cs="Times New Roman"/>
                <w:sz w:val="24"/>
                <w:szCs w:val="24"/>
              </w:rPr>
              <w:t>清水路与新四路交叉口</w:t>
            </w:r>
            <w:r>
              <w:rPr>
                <w:rFonts w:hint="default" w:ascii="Times New Roman" w:hAnsi="Times New Roman" w:eastAsia="宋体" w:cs="Times New Roman"/>
                <w:b w:val="0"/>
                <w:bCs w:val="0"/>
                <w:color w:val="auto"/>
                <w:sz w:val="24"/>
                <w:szCs w:val="24"/>
              </w:rPr>
              <w:t>，属于</w:t>
            </w:r>
            <w:r>
              <w:rPr>
                <w:rFonts w:hint="default" w:ascii="Times New Roman" w:hAnsi="Times New Roman" w:eastAsia="宋体" w:cs="Times New Roman"/>
                <w:b w:val="0"/>
                <w:bCs w:val="0"/>
                <w:color w:val="auto"/>
                <w:sz w:val="24"/>
                <w:szCs w:val="24"/>
                <w:lang w:val="en-US" w:eastAsia="zh-CN"/>
              </w:rPr>
              <w:t>ZH34152420122</w:t>
            </w:r>
            <w:r>
              <w:rPr>
                <w:rFonts w:hint="default" w:ascii="Times New Roman" w:hAnsi="Times New Roman" w:eastAsia="宋体" w:cs="Times New Roman"/>
                <w:b w:val="0"/>
                <w:bCs w:val="0"/>
                <w:color w:val="auto"/>
                <w:sz w:val="24"/>
                <w:szCs w:val="24"/>
              </w:rPr>
              <w:t>六安重点管控单元</w:t>
            </w:r>
            <w:r>
              <w:rPr>
                <w:rFonts w:hint="default" w:ascii="Times New Roman" w:hAnsi="Times New Roman" w:cs="Times New Roman"/>
                <w:b w:val="0"/>
                <w:bCs w:val="0"/>
                <w:color w:val="auto"/>
                <w:sz w:val="24"/>
                <w:szCs w:val="24"/>
                <w:lang w:val="en-US" w:eastAsia="zh-CN"/>
              </w:rPr>
              <w:t>13</w:t>
            </w:r>
            <w:r>
              <w:rPr>
                <w:rFonts w:hint="default" w:ascii="Times New Roman" w:hAnsi="Times New Roman" w:eastAsia="宋体" w:cs="Times New Roman"/>
                <w:b w:val="0"/>
                <w:bCs w:val="0"/>
                <w:color w:val="auto"/>
                <w:sz w:val="24"/>
                <w:szCs w:val="24"/>
              </w:rPr>
              <w:t>，项目评价范围内不涉及生态红线保护区域，不属于禁止开发建设活动、限制开发建设活动、不符合空间布局要求活动的范围内，符合单元有关空间布局约束、污染物排放管控、环境风险防控、资源开发效率要求等相关管控要求，符合</w:t>
            </w:r>
            <w:r>
              <w:rPr>
                <w:rFonts w:hint="default" w:ascii="Times New Roman" w:hAnsi="Times New Roman" w:eastAsia="宋体" w:cs="Times New Roman"/>
                <w:b w:val="0"/>
                <w:bCs w:val="0"/>
                <w:color w:val="auto"/>
                <w:sz w:val="24"/>
                <w:szCs w:val="24"/>
                <w:lang w:val="en-US" w:eastAsia="zh-CN"/>
              </w:rPr>
              <w:t>安徽金寨经济开发区</w:t>
            </w:r>
            <w:r>
              <w:rPr>
                <w:rFonts w:hint="default" w:ascii="Times New Roman" w:hAnsi="Times New Roman" w:eastAsia="宋体" w:cs="Times New Roman"/>
                <w:b w:val="0"/>
                <w:bCs w:val="0"/>
                <w:color w:val="auto"/>
                <w:sz w:val="24"/>
                <w:szCs w:val="24"/>
              </w:rPr>
              <w:t>生态环境准入清单要求。</w:t>
            </w:r>
          </w:p>
          <w:p>
            <w:pPr>
              <w:pStyle w:val="18"/>
              <w:jc w:val="center"/>
              <w:rPr>
                <w:rFonts w:hint="default" w:ascii="Times New Roman" w:hAnsi="Times New Roman" w:cs="Times New Roman"/>
                <w:color w:val="auto"/>
              </w:rPr>
            </w:pPr>
            <w:r>
              <w:rPr>
                <w:rFonts w:hint="default" w:ascii="Times New Roman" w:hAnsi="Times New Roman" w:eastAsia="宋体" w:cs="Times New Roman"/>
                <w:b/>
                <w:color w:val="auto"/>
                <w:spacing w:val="-2"/>
                <w:kern w:val="2"/>
                <w:sz w:val="24"/>
                <w:highlight w:val="none"/>
              </w:rPr>
              <w:t>表1</w:t>
            </w:r>
            <w:r>
              <w:rPr>
                <w:rFonts w:hint="default" w:ascii="Times New Roman" w:hAnsi="Times New Roman" w:cs="Times New Roman"/>
                <w:b/>
                <w:color w:val="auto"/>
                <w:spacing w:val="-2"/>
                <w:kern w:val="2"/>
                <w:sz w:val="24"/>
                <w:highlight w:val="none"/>
                <w:lang w:val="en-US" w:eastAsia="zh-CN"/>
              </w:rPr>
              <w:t>.</w:t>
            </w:r>
            <w:r>
              <w:rPr>
                <w:rFonts w:hint="default" w:ascii="Times New Roman" w:hAnsi="Times New Roman" w:eastAsia="宋体" w:cs="Times New Roman"/>
                <w:b/>
                <w:color w:val="auto"/>
                <w:spacing w:val="-2"/>
                <w:kern w:val="2"/>
                <w:sz w:val="24"/>
                <w:highlight w:val="none"/>
                <w:lang w:val="en-US" w:eastAsia="zh-CN"/>
              </w:rPr>
              <w:t>3与所在开发区</w:t>
            </w:r>
            <w:r>
              <w:rPr>
                <w:rFonts w:hint="default" w:ascii="Times New Roman" w:hAnsi="Times New Roman" w:eastAsia="宋体" w:cs="Times New Roman"/>
                <w:b/>
                <w:color w:val="auto"/>
                <w:spacing w:val="-2"/>
                <w:kern w:val="2"/>
                <w:sz w:val="24"/>
                <w:highlight w:val="none"/>
              </w:rPr>
              <w:t>生态环境准入清单</w:t>
            </w:r>
            <w:r>
              <w:rPr>
                <w:rFonts w:hint="default" w:ascii="Times New Roman" w:hAnsi="Times New Roman" w:eastAsia="宋体" w:cs="Times New Roman"/>
                <w:b/>
                <w:color w:val="auto"/>
                <w:spacing w:val="-2"/>
                <w:kern w:val="2"/>
                <w:sz w:val="24"/>
                <w:highlight w:val="none"/>
                <w:lang w:val="en-US" w:eastAsia="zh-CN"/>
              </w:rPr>
              <w:t>符合性分析表</w:t>
            </w:r>
          </w:p>
          <w:tbl>
            <w:tblPr>
              <w:tblStyle w:val="57"/>
              <w:tblW w:w="7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6"/>
              <w:gridCol w:w="582"/>
              <w:gridCol w:w="496"/>
              <w:gridCol w:w="898"/>
              <w:gridCol w:w="2250"/>
              <w:gridCol w:w="2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rPr>
                  </w:pPr>
                  <w:r>
                    <w:rPr>
                      <w:rFonts w:hint="default" w:ascii="Times New Roman" w:hAnsi="Times New Roman" w:eastAsia="宋体" w:cs="Times New Roman"/>
                      <w:b/>
                      <w:bCs/>
                      <w:color w:val="auto"/>
                    </w:rPr>
                    <w:t>清单</w:t>
                  </w:r>
                  <w:r>
                    <w:rPr>
                      <w:rFonts w:hint="default" w:ascii="Times New Roman" w:hAnsi="Times New Roman" w:cs="Times New Roman"/>
                      <w:b/>
                      <w:bCs/>
                      <w:color w:val="auto"/>
                    </w:rPr>
                    <w:t>类型</w:t>
                  </w:r>
                </w:p>
              </w:tc>
              <w:tc>
                <w:tcPr>
                  <w:tcW w:w="58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产业类别</w:t>
                  </w:r>
                </w:p>
              </w:tc>
              <w:tc>
                <w:tcPr>
                  <w:tcW w:w="49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产业</w:t>
                  </w:r>
                </w:p>
              </w:tc>
              <w:tc>
                <w:tcPr>
                  <w:tcW w:w="8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大类</w:t>
                  </w:r>
                </w:p>
              </w:tc>
              <w:tc>
                <w:tcPr>
                  <w:tcW w:w="225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225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8" w:hRule="atLeast"/>
                <w:jc w:val="center"/>
              </w:trPr>
              <w:tc>
                <w:tcPr>
                  <w:tcW w:w="576"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鼓励类</w:t>
                  </w:r>
                </w:p>
              </w:tc>
              <w:tc>
                <w:tcPr>
                  <w:tcW w:w="582"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主导产业</w:t>
                  </w:r>
                </w:p>
              </w:tc>
              <w:tc>
                <w:tcPr>
                  <w:tcW w:w="49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中医药大健康</w:t>
                  </w:r>
                </w:p>
              </w:tc>
              <w:tc>
                <w:tcPr>
                  <w:tcW w:w="8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27医药制造业</w:t>
                  </w:r>
                </w:p>
              </w:tc>
              <w:tc>
                <w:tcPr>
                  <w:tcW w:w="225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273中药饮片加工</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276生物药品制品制造</w:t>
                  </w:r>
                </w:p>
              </w:tc>
              <w:tc>
                <w:tcPr>
                  <w:tcW w:w="225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清洁生产水平达到国内先进水平；引进项目的生产工艺、设备、自动化水平，以及单位产品能耗、污染物排放、碳排放等不应低于国内同行业先进水平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4" w:hRule="atLeast"/>
                <w:jc w:val="center"/>
              </w:trPr>
              <w:tc>
                <w:tcPr>
                  <w:tcW w:w="57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582"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49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电动助力车</w:t>
                  </w:r>
                </w:p>
              </w:tc>
              <w:tc>
                <w:tcPr>
                  <w:tcW w:w="8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37铁路、船舶、航空航天和其他运输设备制造业</w:t>
                  </w:r>
                </w:p>
              </w:tc>
              <w:tc>
                <w:tcPr>
                  <w:tcW w:w="225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375摩托车制造（燃油摩托车除外）377助动车制造</w:t>
                  </w:r>
                </w:p>
              </w:tc>
              <w:tc>
                <w:tcPr>
                  <w:tcW w:w="225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不含独立电镀工段，清洁生产水平达到国内先进水平；引进项目的生产工艺、设备、自动化水平，以及单位产品能耗、污染物排放、碳排放等不应低于国内同行业先进水平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7" w:hRule="atLeast"/>
                <w:jc w:val="center"/>
              </w:trPr>
              <w:tc>
                <w:tcPr>
                  <w:tcW w:w="57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582"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49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光伏设备及零部件</w:t>
                  </w:r>
                </w:p>
              </w:tc>
              <w:tc>
                <w:tcPr>
                  <w:tcW w:w="8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38电气机械和器材制造业</w:t>
                  </w:r>
                </w:p>
              </w:tc>
              <w:tc>
                <w:tcPr>
                  <w:tcW w:w="225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382输配电及控制设备制造</w:t>
                  </w:r>
                  <w:r>
                    <w:rPr>
                      <w:rFonts w:hint="default" w:ascii="Times New Roman" w:hAnsi="Times New Roman" w:cs="Times New Roman"/>
                      <w:color w:val="auto"/>
                      <w:lang w:eastAsia="zh-CN"/>
                    </w:rPr>
                    <w:t>；</w:t>
                  </w:r>
                  <w:r>
                    <w:rPr>
                      <w:rFonts w:hint="default" w:ascii="Times New Roman" w:hAnsi="Times New Roman" w:cs="Times New Roman"/>
                      <w:color w:val="auto"/>
                    </w:rPr>
                    <w:t>384电池制造（锂离子电池制造仅限组装；含汞糊式锌锰电池、含汞纸板锌锰电池、含汞圆柱型碱锰电池、含汞扣式碱锰电池禁止进入；电池阳极及电解液制造禁止进入）</w:t>
                  </w:r>
                </w:p>
              </w:tc>
              <w:tc>
                <w:tcPr>
                  <w:tcW w:w="225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不含独立电镀工段，清洁生产水平达到国内先进水平；引进项目的生产工艺、设备、自动化水平，以及单位产品能耗、污染物排放、碳排放等不应低于国内同行业先进水平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有条件进入类</w:t>
                  </w:r>
                </w:p>
              </w:tc>
              <w:tc>
                <w:tcPr>
                  <w:tcW w:w="4226" w:type="dxa"/>
                  <w:gridSpan w:val="4"/>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符合开发区主导产业的企业中所含电镀工序，电镀工序需依托开发区表面处理中心进行处理</w:t>
                  </w:r>
                </w:p>
              </w:tc>
              <w:tc>
                <w:tcPr>
                  <w:tcW w:w="225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有条件进入，不得突破已批复的重金属总量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576"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限制类</w:t>
                  </w:r>
                </w:p>
              </w:tc>
              <w:tc>
                <w:tcPr>
                  <w:tcW w:w="1078"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8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38电气机械和器材制造业</w:t>
                  </w:r>
                </w:p>
              </w:tc>
              <w:tc>
                <w:tcPr>
                  <w:tcW w:w="225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3842镍氢电池制造（民用镉镍电池除外）</w:t>
                  </w:r>
                </w:p>
              </w:tc>
              <w:tc>
                <w:tcPr>
                  <w:tcW w:w="225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57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1976" w:type="dxa"/>
                  <w:gridSpan w:val="3"/>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其他</w:t>
                  </w:r>
                </w:p>
              </w:tc>
              <w:tc>
                <w:tcPr>
                  <w:tcW w:w="4505"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与规划主导产业不相关且污染物排放量大的项目，具体项目引入需经充分环境影响论证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57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1976" w:type="dxa"/>
                  <w:gridSpan w:val="3"/>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4505"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区内部分紧邻规划教育用地等环境敏感目标的工业用地，严格限制危险物质数量与临界量比值（Q）大于1的企业进入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576"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禁止类</w:t>
                  </w:r>
                </w:p>
              </w:tc>
              <w:tc>
                <w:tcPr>
                  <w:tcW w:w="1078" w:type="dxa"/>
                  <w:gridSpan w:val="2"/>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898"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38电气机械和器材制造业</w:t>
                  </w:r>
                </w:p>
              </w:tc>
              <w:tc>
                <w:tcPr>
                  <w:tcW w:w="225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3843铅蓄电池制造</w:t>
                  </w:r>
                </w:p>
              </w:tc>
              <w:tc>
                <w:tcPr>
                  <w:tcW w:w="225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57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1078" w:type="dxa"/>
                  <w:gridSpan w:val="2"/>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898"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4505"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禁止新建含汞糊式锌锰电池、含汞纸板锌锰电池、含汞圆柱型碱锰电池、含汞扣式碱锰电池、民用镉镍电池等项目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57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1078" w:type="dxa"/>
                  <w:gridSpan w:val="2"/>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898"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4505"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禁止新建电池阳极及电解液制造等项目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57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1078"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8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276生物药品制品制造</w:t>
                  </w:r>
                </w:p>
              </w:tc>
              <w:tc>
                <w:tcPr>
                  <w:tcW w:w="4505"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禁止引入符合开发区主导产业但排水量大且废水污染物难降解的项目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57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1976"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其他</w:t>
                  </w:r>
                </w:p>
              </w:tc>
              <w:tc>
                <w:tcPr>
                  <w:tcW w:w="4505"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禁止引入列入《产业结构调整指导目录（20</w:t>
                  </w:r>
                  <w:r>
                    <w:rPr>
                      <w:rFonts w:hint="eastAsia" w:cs="Times New Roman"/>
                      <w:color w:val="auto"/>
                      <w:lang w:val="en-US" w:eastAsia="zh-CN"/>
                    </w:rPr>
                    <w:t>24</w:t>
                  </w:r>
                  <w:r>
                    <w:rPr>
                      <w:rFonts w:hint="default" w:ascii="Times New Roman" w:hAnsi="Times New Roman" w:cs="Times New Roman"/>
                      <w:color w:val="auto"/>
                    </w:rPr>
                    <w:t>年本）》《市场准入负面清单（202</w:t>
                  </w:r>
                  <w:r>
                    <w:rPr>
                      <w:rFonts w:hint="eastAsia" w:cs="Times New Roman"/>
                      <w:color w:val="auto"/>
                      <w:lang w:val="en-US" w:eastAsia="zh-CN"/>
                    </w:rPr>
                    <w:t>5</w:t>
                  </w:r>
                  <w:r>
                    <w:rPr>
                      <w:rFonts w:hint="default" w:ascii="Times New Roman" w:hAnsi="Times New Roman" w:cs="Times New Roman"/>
                      <w:color w:val="auto"/>
                      <w:lang w:val="en-US" w:eastAsia="zh-CN"/>
                    </w:rPr>
                    <w:t>年版）》《关于发布长江经济带发展负面清单指南（试行）的通知》《关于印发安徽省长江经济带发展负面清单实施细则（试行）的通知》《安徽省发展改革委关于印发安徽省国家重点生态功能区产业准入负面清单（试行）的通知》等相关产业政策中禁止或淘汰类项目、产品、工艺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6"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污染物排放管控</w:t>
                  </w:r>
                </w:p>
              </w:tc>
              <w:tc>
                <w:tcPr>
                  <w:tcW w:w="1976"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废气</w:t>
                  </w:r>
                </w:p>
              </w:tc>
              <w:tc>
                <w:tcPr>
                  <w:tcW w:w="4505"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大气污染物总量管控限值：SO</w:t>
                  </w:r>
                  <w:r>
                    <w:rPr>
                      <w:rFonts w:hint="default" w:ascii="Times New Roman" w:hAnsi="Times New Roman" w:cs="Times New Roman"/>
                      <w:color w:val="auto"/>
                      <w:vertAlign w:val="subscript"/>
                    </w:rPr>
                    <w:t>2</w:t>
                  </w:r>
                  <w:r>
                    <w:rPr>
                      <w:rFonts w:hint="default" w:ascii="Times New Roman" w:hAnsi="Times New Roman" w:cs="Times New Roman"/>
                      <w:color w:val="auto"/>
                    </w:rPr>
                    <w:t>23.292t/a、NOx105.5606t/a、烟粉尘297.2177t/a，VOCs158.9708t/a。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1976"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废水</w:t>
                  </w:r>
                </w:p>
              </w:tc>
              <w:tc>
                <w:tcPr>
                  <w:tcW w:w="4505"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水污染物总量管控限值：COD370.02t/a、NH</w:t>
                  </w:r>
                  <w:r>
                    <w:rPr>
                      <w:rFonts w:hint="default" w:ascii="Times New Roman" w:hAnsi="Times New Roman" w:cs="Times New Roman"/>
                      <w:color w:val="auto"/>
                      <w:vertAlign w:val="subscript"/>
                    </w:rPr>
                    <w:t>3</w:t>
                  </w:r>
                  <w:r>
                    <w:rPr>
                      <w:rFonts w:hint="default" w:ascii="Times New Roman" w:hAnsi="Times New Roman" w:cs="Times New Roman"/>
                      <w:color w:val="auto"/>
                    </w:rPr>
                    <w:t>-N37t/a。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6"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污染物排放标准管控</w:t>
                  </w:r>
                </w:p>
              </w:tc>
              <w:tc>
                <w:tcPr>
                  <w:tcW w:w="1976"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废气</w:t>
                  </w:r>
                </w:p>
              </w:tc>
              <w:tc>
                <w:tcPr>
                  <w:tcW w:w="4505"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①工业企业工艺废气排放有行业标准的执行行业标准，无行业标准的执行《大气污染物综合排放标准》（GB16297）中表2中的二级标准；②锅炉废气排放执行《锅炉大气污染物排放标准》（GB13271）和《安徽省大气办关于印发&lt;安徽省2020年大气污染防治重点工作任务&gt;的通知》中相关规定；③工业炉窑废气排放执行《工业炉窑大气污染物排放标准》（GB9078）及《工业炉窑大气污染综合治理方案》中相关规定；④恶臭污染物执行《恶臭污染物排放标准》（GB14554）中二级标准；⑤厂区内挥发性有机物无组织排放执行《挥发性有机物无组织排放控制标准》（GB37822）中标准限值要求；⑥餐饮油烟废气执行《饮食业油烟排放标准》（GB18483）中最高允许排放浓度；</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⑦二氧化硫、氮氧化物、颗粒物、挥发性有机物（VOCs）全面执行大气污染物特别排放限值。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1976"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废水</w:t>
                  </w:r>
                </w:p>
              </w:tc>
              <w:tc>
                <w:tcPr>
                  <w:tcW w:w="4505"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①规划区域内各类企业废水排放执行相应行业的废水污染物排放标准，没有行业标准的执行纳管污水处理厂的接管标准。行业排放标准和污水厂接管标准不一致的，从严执行。②污水处理厂尾水排放执行《城镇污水处理厂污染物排放标准》（GB18918）中一级A标准。③经开区企业生产废水和生活污水经厂区污水处理设施预处理达到相关标准后允许接管排入集中式污水处理厂进行处理。④金寨经开区需针对光伏电池生产企业增设含氟废水深度处理措施（按出水中氟化物浓度限值≤1.5mg/L进行设计建设），合理设定光伏电池生产企业发展规模。光伏电池生产企业含氟废水经开发区建设的含氟废水深度处理措施处理后进入园区污水处理厂，园区污水处理厂出水氟化物需满足受纳水体水环境管理要求（污水处理厂出水氟化物≤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1976"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噪声</w:t>
                  </w:r>
                </w:p>
              </w:tc>
              <w:tc>
                <w:tcPr>
                  <w:tcW w:w="4505"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施工期噪声排放执行《建筑施工场界环境噪声排放标准》（GB12523）中的标准限值。营运期工业企业厂界噪声排放执行《工业企业厂界环境噪声排放标准》（GB12348）中相应标准。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1976"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固废</w:t>
                  </w:r>
                </w:p>
              </w:tc>
              <w:tc>
                <w:tcPr>
                  <w:tcW w:w="4505"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一般工业废物执行《一般工业固体废物贮存和填埋污染控制标准》（GB18599）中有关规定；固废危险性鉴别执行《国家危险废物名录》和《危险废物鉴别标准通则》（GB5085.7）》；危险废物贮存及处置执行《危险废物贮存污染控制标准》（GB18597）中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环境风险防控</w:t>
                  </w:r>
                </w:p>
              </w:tc>
              <w:tc>
                <w:tcPr>
                  <w:tcW w:w="1976"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4505"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eastAsia="zh-CN"/>
                    </w:rPr>
                  </w:pPr>
                  <w:r>
                    <w:rPr>
                      <w:rFonts w:hint="default" w:ascii="Times New Roman" w:hAnsi="Times New Roman" w:cs="Times New Roman"/>
                      <w:color w:val="auto"/>
                    </w:rPr>
                    <w:t>修订完善安徽金寨经济开发区突发环境事件应急预案；企业建立环境风险防范与处理事故的管理制度，加强日常管理；强危化学品道路运输风险管控及运输过程安全监管，严防交通运输次生突发环境事件风险；新建或改扩建存在环境风险的项目，在建设项目环评阶段须重点开展环境风险评价，与项目周边环境敏感目标之前控制合理的风险控制距离，提出并落实风险防范措施</w:t>
                  </w:r>
                  <w:r>
                    <w:rPr>
                      <w:rFonts w:hint="eastAsia"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6"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资源开发利用效率</w:t>
                  </w:r>
                </w:p>
              </w:tc>
              <w:tc>
                <w:tcPr>
                  <w:tcW w:w="1976"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水资源控制总量</w:t>
                  </w:r>
                </w:p>
              </w:tc>
              <w:tc>
                <w:tcPr>
                  <w:tcW w:w="4505"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到2035年开发区用水总量控制为1019万m³/a，其中：地块一需水量141万m³</w:t>
                  </w:r>
                  <w:r>
                    <w:rPr>
                      <w:rFonts w:hint="default" w:ascii="Times New Roman" w:hAnsi="Times New Roman" w:cs="Times New Roman"/>
                      <w:color w:val="auto"/>
                      <w:lang w:eastAsia="zh-CN"/>
                    </w:rPr>
                    <w:t>，</w:t>
                  </w:r>
                  <w:r>
                    <w:rPr>
                      <w:rFonts w:hint="default" w:ascii="Times New Roman" w:hAnsi="Times New Roman" w:cs="Times New Roman"/>
                      <w:color w:val="auto"/>
                    </w:rPr>
                    <w:t>地块二需水量878万m³。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1976"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资源节约</w:t>
                  </w:r>
                </w:p>
              </w:tc>
              <w:tc>
                <w:tcPr>
                  <w:tcW w:w="4505"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单位工业用地面积工业增加值≥9亿元/km</w:t>
                  </w:r>
                  <w:r>
                    <w:rPr>
                      <w:rFonts w:hint="default" w:ascii="Times New Roman" w:hAnsi="Times New Roman" w:cs="Times New Roman"/>
                      <w:color w:val="auto"/>
                      <w:vertAlign w:val="superscript"/>
                    </w:rPr>
                    <w:t>2</w:t>
                  </w:r>
                  <w:r>
                    <w:rPr>
                      <w:rFonts w:hint="default" w:ascii="Times New Roman" w:hAnsi="Times New Roman" w:cs="Times New Roman"/>
                      <w:color w:val="auto"/>
                    </w:rPr>
                    <w:t>，单位工业增加值废水排放量≤10t/万元。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p>
              </w:tc>
              <w:tc>
                <w:tcPr>
                  <w:tcW w:w="1976"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土地开发强度</w:t>
                  </w:r>
                </w:p>
              </w:tc>
              <w:tc>
                <w:tcPr>
                  <w:tcW w:w="4505"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用地总规模上限1114.4055hm</w:t>
                  </w:r>
                  <w:r>
                    <w:rPr>
                      <w:rFonts w:hint="default" w:ascii="Times New Roman" w:hAnsi="Times New Roman" w:cs="Times New Roman"/>
                      <w:color w:val="auto"/>
                      <w:vertAlign w:val="superscript"/>
                    </w:rPr>
                    <w:t>2</w:t>
                  </w:r>
                  <w:r>
                    <w:rPr>
                      <w:rFonts w:hint="default" w:ascii="Times New Roman" w:hAnsi="Times New Roman" w:cs="Times New Roman"/>
                      <w:color w:val="auto"/>
                    </w:rPr>
                    <w:t>，新建工业项目平均投资强度不低于200万元/亩，亩均税收不低于15万元/亩，新建工业项目平均容积率不低于1.0。</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bCs/>
                <w:sz w:val="24"/>
              </w:rPr>
            </w:pPr>
            <w:r>
              <w:rPr>
                <w:rFonts w:hint="default" w:ascii="Times New Roman" w:hAnsi="Times New Roman" w:eastAsia="宋体" w:cs="Times New Roman"/>
                <w:color w:val="auto"/>
                <w:sz w:val="24"/>
                <w:szCs w:val="24"/>
              </w:rPr>
              <w:t>综上所述，建设单位在落实各项环保措施和环境管理要求的前提下，项目建设符合</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（即生态保护红线、环境质量底线、资源利用上线和环境准入负面清单）的要求。</w:t>
            </w:r>
          </w:p>
          <w:p>
            <w:pPr>
              <w:spacing w:line="360" w:lineRule="auto"/>
              <w:ind w:firstLine="481" w:firstLineChars="200"/>
              <w:jc w:val="left"/>
              <w:rPr>
                <w:rFonts w:hint="default" w:ascii="Times New Roman" w:hAnsi="Times New Roman" w:eastAsia="宋体" w:cs="Times New Roman"/>
                <w:b/>
                <w:bCs/>
                <w:sz w:val="24"/>
              </w:rPr>
            </w:pPr>
            <w:r>
              <w:rPr>
                <w:rFonts w:hint="default" w:ascii="Times New Roman" w:hAnsi="Times New Roman" w:eastAsia="宋体" w:cs="Times New Roman"/>
                <w:b/>
                <w:bCs/>
                <w:sz w:val="24"/>
              </w:rPr>
              <w:t>2、</w:t>
            </w:r>
            <w:r>
              <w:rPr>
                <w:rFonts w:hint="default" w:ascii="Times New Roman" w:hAnsi="Times New Roman" w:eastAsia="宋体" w:cs="Times New Roman"/>
                <w:b/>
                <w:bCs/>
                <w:sz w:val="24"/>
                <w:lang w:val="en-US" w:eastAsia="zh-CN"/>
              </w:rPr>
              <w:t>国土空间规划符合性</w:t>
            </w:r>
            <w:r>
              <w:rPr>
                <w:rFonts w:hint="default" w:ascii="Times New Roman" w:hAnsi="Times New Roman" w:eastAsia="宋体" w:cs="Times New Roman"/>
                <w:b/>
                <w:bCs/>
                <w:sz w:val="24"/>
              </w:rPr>
              <w:t>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“三区三线”是根据城镇空间、农业空间、生态空间三种类型的空间，分别对应划定的城镇开发边界、永久基本农田保护红线、生态保护红线三条控制线。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其中生态保护红线是指在生态空间范围内具有特殊重要生态功能，必须强制性严格保护的陆域、水域、海域等区域。永久基本农田是指按照一定时期人口和经济社会发展对农产品的需求,依据国土空间规划确定的不能擅自占用或改变用途的耕地。城镇开发边界是指在一定时期内因城镇发展需要，可以集中进行城镇开发建设，重点完善城镇功能的区域边界，涉及城市、建制镇和</w:t>
            </w:r>
            <w:r>
              <w:rPr>
                <w:rFonts w:hint="default" w:ascii="Times New Roman" w:hAnsi="Times New Roman" w:eastAsia="宋体" w:cs="Times New Roman"/>
                <w:sz w:val="24"/>
                <w:lang w:val="en-US" w:eastAsia="zh-CN"/>
              </w:rPr>
              <w:t>各类</w:t>
            </w:r>
            <w:r>
              <w:rPr>
                <w:rFonts w:hint="default" w:ascii="Times New Roman" w:hAnsi="Times New Roman" w:eastAsia="宋体" w:cs="Times New Roman"/>
                <w:sz w:val="24"/>
              </w:rPr>
              <w:t>开发区等。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以第三次全国国土调查（以下称“三调”）和2020年度国土变更调查成果为基础，依据“三区三线”划定规则统筹划定耕地和永久基本农田、生态保护红线、城镇开发边界，确保落实耕地保护任务，稳定生态保护格局，合理确定城镇空间，同步建设国土空间规划“一张图”实施监督信息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sz w:val="24"/>
              </w:rPr>
            </w:pPr>
            <w:r>
              <w:rPr>
                <w:rFonts w:hint="default" w:ascii="Times New Roman" w:hAnsi="Times New Roman" w:eastAsia="宋体" w:cs="Times New Roman"/>
                <w:sz w:val="24"/>
              </w:rPr>
              <w:t>根据安徽省“三区三线”划定成果，本工程未占用生态红线，且远离生物多样性维护生态红线，同时本工程通过优化占地布局，永久和临时占地均未占用基本农田，也未越过城镇开发边界。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color w:val="auto"/>
                <w:sz w:val="24"/>
                <w:szCs w:val="24"/>
              </w:rPr>
            </w:pPr>
            <w:r>
              <w:rPr>
                <w:rFonts w:hint="default" w:ascii="Times New Roman" w:hAnsi="Times New Roman" w:eastAsia="宋体" w:cs="Times New Roman"/>
                <w:sz w:val="24"/>
              </w:rPr>
              <w:t>本项目属于新建</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迁建</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项目，未占用生态红线，工程建设与《关于加强生态保护红线管理的通知（试行）》（自然资发[2022]142号）生态保护红线管控相关规定相符。</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3</w:t>
            </w:r>
            <w:r>
              <w:rPr>
                <w:rFonts w:hint="default" w:ascii="Times New Roman" w:hAnsi="Times New Roman" w:cs="Times New Roman"/>
                <w:b/>
                <w:color w:val="auto"/>
                <w:sz w:val="24"/>
                <w:szCs w:val="24"/>
              </w:rPr>
              <w:t>、产业政策符合性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bidi="ar-SA"/>
              </w:rPr>
              <w:t>根据国家发展</w:t>
            </w:r>
            <w:r>
              <w:rPr>
                <w:rFonts w:hint="default" w:cs="Times New Roman"/>
                <w:color w:val="auto"/>
                <w:kern w:val="0"/>
                <w:sz w:val="24"/>
                <w:szCs w:val="24"/>
                <w:lang w:val="en" w:eastAsia="zh-CN" w:bidi="ar-SA"/>
              </w:rPr>
              <w:t>和</w:t>
            </w:r>
            <w:bookmarkStart w:id="49" w:name="_GoBack"/>
            <w:bookmarkEnd w:id="49"/>
            <w:r>
              <w:rPr>
                <w:rFonts w:hint="default" w:ascii="Times New Roman" w:hAnsi="Times New Roman" w:eastAsia="宋体" w:cs="Times New Roman"/>
                <w:color w:val="auto"/>
                <w:kern w:val="0"/>
                <w:sz w:val="24"/>
                <w:szCs w:val="24"/>
                <w:lang w:val="en-US" w:eastAsia="zh-CN" w:bidi="ar-SA"/>
              </w:rPr>
              <w:t>改革委员会《</w:t>
            </w:r>
            <w:r>
              <w:rPr>
                <w:rFonts w:hint="default" w:ascii="Times New Roman" w:hAnsi="Times New Roman" w:cs="Times New Roman"/>
                <w:color w:val="auto"/>
                <w:kern w:val="0"/>
                <w:sz w:val="24"/>
                <w:szCs w:val="24"/>
                <w:lang w:val="en-US" w:eastAsia="zh-CN" w:bidi="ar-SA"/>
              </w:rPr>
              <w:t>产业结构调整指导目录（2024年本）</w:t>
            </w:r>
            <w:r>
              <w:rPr>
                <w:rFonts w:hint="default" w:ascii="Times New Roman" w:hAnsi="Times New Roman" w:eastAsia="宋体" w:cs="Times New Roman"/>
                <w:color w:val="auto"/>
                <w:kern w:val="0"/>
                <w:sz w:val="24"/>
                <w:szCs w:val="24"/>
                <w:lang w:val="en-US" w:eastAsia="zh-CN" w:bidi="ar-SA"/>
              </w:rPr>
              <w:t>》，本项目</w:t>
            </w:r>
            <w:r>
              <w:rPr>
                <w:rFonts w:hint="default" w:ascii="Times New Roman" w:hAnsi="Times New Roman" w:cs="Times New Roman"/>
                <w:color w:val="auto"/>
                <w:kern w:val="0"/>
                <w:sz w:val="24"/>
                <w:szCs w:val="24"/>
                <w:highlight w:val="none"/>
                <w:lang w:val="en-US" w:eastAsia="zh-CN" w:bidi="ar-SA"/>
              </w:rPr>
              <w:t>属于</w:t>
            </w:r>
            <w:r>
              <w:rPr>
                <w:rFonts w:hint="default" w:cs="Times New Roman"/>
                <w:color w:val="000000"/>
                <w:kern w:val="0"/>
                <w:sz w:val="24"/>
                <w:szCs w:val="24"/>
                <w:lang w:eastAsia="zh-CN" w:bidi="ar"/>
              </w:rPr>
              <w:t>C4220非金属废料和碎屑加工处理</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项目不属于明文规定限制及淘汰类产业项目，属于允许类产业项目；同时本项目不属于《市场准入负面清单（2025年版）》（</w:t>
            </w:r>
            <w:r>
              <w:rPr>
                <w:rFonts w:hint="default" w:ascii="Times New Roman" w:hAnsi="Times New Roman" w:eastAsia="Helvetica" w:cs="Times New Roman"/>
                <w:i w:val="0"/>
                <w:iCs w:val="0"/>
                <w:caps w:val="0"/>
                <w:color w:val="333333"/>
                <w:spacing w:val="0"/>
                <w:sz w:val="24"/>
                <w:szCs w:val="24"/>
                <w:shd w:val="clear" w:fill="FFFFFF"/>
              </w:rPr>
              <w:t>发改体改规[2025]466号</w:t>
            </w:r>
            <w:r>
              <w:rPr>
                <w:rFonts w:hint="default" w:ascii="Times New Roman" w:hAnsi="Times New Roman" w:eastAsia="宋体" w:cs="Times New Roman"/>
                <w:color w:val="000000"/>
                <w:kern w:val="0"/>
                <w:sz w:val="24"/>
                <w:szCs w:val="24"/>
                <w:lang w:val="en-US" w:eastAsia="zh-CN" w:bidi="ar"/>
              </w:rPr>
              <w:t>）中的禁止及许可准入类项目。</w:t>
            </w:r>
            <w:r>
              <w:rPr>
                <w:rFonts w:hint="default" w:ascii="Times New Roman" w:hAnsi="Times New Roman" w:cs="Times New Roman"/>
                <w:sz w:val="24"/>
                <w:szCs w:val="24"/>
                <w:lang w:eastAsia="zh-CN"/>
              </w:rPr>
              <w:t>项目</w:t>
            </w:r>
            <w:r>
              <w:rPr>
                <w:rFonts w:hint="default" w:ascii="Times New Roman" w:hAnsi="Times New Roman" w:cs="Times New Roman"/>
                <w:sz w:val="24"/>
                <w:szCs w:val="24"/>
                <w:lang w:val="en-US" w:eastAsia="zh-CN"/>
              </w:rPr>
              <w:t>已</w:t>
            </w:r>
            <w:r>
              <w:rPr>
                <w:rFonts w:hint="default" w:ascii="Times New Roman" w:hAnsi="Times New Roman" w:cs="Times New Roman"/>
                <w:sz w:val="24"/>
                <w:szCs w:val="24"/>
                <w:lang w:eastAsia="zh-CN"/>
              </w:rPr>
              <w:t>于</w:t>
            </w:r>
            <w:r>
              <w:rPr>
                <w:rFonts w:hint="default" w:ascii="Times New Roman" w:hAnsi="Times New Roman" w:cs="Times New Roman"/>
                <w:sz w:val="24"/>
                <w:szCs w:val="24"/>
                <w:lang w:val="en-US" w:eastAsia="zh-CN"/>
              </w:rPr>
              <w:t>2025年7月9日经金寨县发展改革委备案，因此符合国家和地方标准</w:t>
            </w:r>
            <w:r>
              <w:rPr>
                <w:rFonts w:hint="eastAsia" w:ascii="Times New Roman" w:hAnsi="Times New Roman" w:cs="Times New Roman"/>
                <w:sz w:val="24"/>
                <w:szCs w:val="24"/>
                <w:lang w:val="en-US" w:eastAsia="zh-CN"/>
              </w:rPr>
              <w:t>。</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right="0"/>
              <w:jc w:val="left"/>
              <w:textAlignment w:val="auto"/>
              <w:rPr>
                <w:rFonts w:hint="default" w:ascii="Times New Roman" w:hAnsi="Times New Roman" w:cs="Times New Roman"/>
                <w:color w:val="auto"/>
                <w:kern w:val="0"/>
                <w:sz w:val="24"/>
                <w:szCs w:val="24"/>
              </w:rPr>
            </w:pPr>
            <w:r>
              <w:rPr>
                <w:rFonts w:hint="default" w:ascii="Times New Roman" w:hAnsi="Times New Roman" w:cs="Times New Roman"/>
                <w:b/>
                <w:color w:val="auto"/>
                <w:lang w:val="en-US" w:eastAsia="zh-CN"/>
              </w:rPr>
              <w:t>4</w:t>
            </w:r>
            <w:r>
              <w:rPr>
                <w:rFonts w:hint="default" w:ascii="Times New Roman" w:hAnsi="Times New Roman" w:cs="Times New Roman"/>
                <w:b/>
                <w:color w:val="auto"/>
              </w:rPr>
              <w:t>、</w:t>
            </w:r>
            <w:r>
              <w:rPr>
                <w:rFonts w:hint="default" w:ascii="Times New Roman" w:hAnsi="Times New Roman" w:cs="Times New Roman"/>
                <w:b/>
                <w:bCs/>
                <w:color w:val="auto"/>
                <w:kern w:val="0"/>
                <w:sz w:val="24"/>
                <w:szCs w:val="24"/>
              </w:rPr>
              <w:t>选址合理性分析</w:t>
            </w:r>
          </w:p>
          <w:p>
            <w:pPr>
              <w:keepNext w:val="0"/>
              <w:keepLines w:val="0"/>
              <w:pageBreakBefore w:val="0"/>
              <w:suppressLineNumbers w:val="0"/>
              <w:kinsoku/>
              <w:wordWrap/>
              <w:overflowPunct/>
              <w:topLinePunct w:val="0"/>
              <w:bidi w:val="0"/>
              <w:spacing w:before="0" w:beforeAutospacing="0" w:after="0" w:afterAutospacing="0" w:line="360" w:lineRule="auto"/>
              <w:ind w:right="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（1）用地符合性分析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项目位于</w:t>
            </w:r>
            <w:r>
              <w:rPr>
                <w:rFonts w:hint="eastAsia" w:cs="Times New Roman"/>
                <w:sz w:val="24"/>
                <w:szCs w:val="24"/>
                <w:lang w:eastAsia="zh-CN"/>
              </w:rPr>
              <w:t>安徽金寨经济开发区</w:t>
            </w:r>
            <w:r>
              <w:rPr>
                <w:rFonts w:hint="default" w:ascii="Times New Roman" w:hAnsi="Times New Roman" w:eastAsia="宋体" w:cs="Times New Roman"/>
                <w:sz w:val="24"/>
                <w:szCs w:val="24"/>
              </w:rPr>
              <w:t>清水路与新四路交叉口</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根据</w:t>
            </w:r>
            <w:r>
              <w:rPr>
                <w:rFonts w:hint="default" w:ascii="Times New Roman" w:hAnsi="Times New Roman" w:eastAsia="宋体" w:cs="Times New Roman"/>
                <w:color w:val="auto"/>
                <w:kern w:val="0"/>
                <w:sz w:val="24"/>
                <w:szCs w:val="24"/>
                <w:lang w:val="en-US" w:eastAsia="zh-CN" w:bidi="ar"/>
              </w:rPr>
              <w:t>《安徽金寨经济开发区总体发展规划（2023-2035年）》</w:t>
            </w:r>
            <w:r>
              <w:rPr>
                <w:rFonts w:hint="default" w:ascii="Times New Roman" w:hAnsi="Times New Roman" w:cs="Times New Roman"/>
                <w:color w:val="auto"/>
                <w:sz w:val="24"/>
                <w:szCs w:val="24"/>
              </w:rPr>
              <w:t>，区域土地性质属于工业用地，符合</w:t>
            </w:r>
            <w:r>
              <w:rPr>
                <w:rFonts w:hint="default" w:ascii="Times New Roman" w:hAnsi="Times New Roman" w:cs="Times New Roman"/>
                <w:color w:val="auto"/>
                <w:sz w:val="24"/>
                <w:szCs w:val="24"/>
                <w:lang w:val="en-US" w:eastAsia="zh-CN"/>
              </w:rPr>
              <w:t>区域规划</w:t>
            </w:r>
            <w:r>
              <w:rPr>
                <w:rFonts w:hint="default" w:ascii="Times New Roman" w:hAnsi="Times New Roman" w:cs="Times New Roman"/>
                <w:color w:val="auto"/>
                <w:sz w:val="24"/>
                <w:szCs w:val="24"/>
              </w:rPr>
              <w:t>用地</w:t>
            </w:r>
            <w:r>
              <w:rPr>
                <w:rFonts w:hint="default" w:ascii="Times New Roman" w:hAnsi="Times New Roman" w:cs="Times New Roman"/>
                <w:color w:val="auto"/>
                <w:sz w:val="24"/>
                <w:szCs w:val="24"/>
                <w:lang w:val="en-US" w:eastAsia="zh-CN"/>
              </w:rPr>
              <w:t>布局</w:t>
            </w:r>
            <w:r>
              <w:rPr>
                <w:rFonts w:hint="default" w:ascii="Times New Roman" w:hAnsi="Times New Roman" w:cs="Times New Roman"/>
                <w:color w:val="auto"/>
                <w:sz w:val="24"/>
                <w:szCs w:val="24"/>
              </w:rPr>
              <w:t>要求。</w:t>
            </w:r>
          </w:p>
          <w:p>
            <w:pPr>
              <w:keepNext w:val="0"/>
              <w:keepLines w:val="0"/>
              <w:suppressLineNumbers w:val="0"/>
              <w:spacing w:before="0" w:beforeAutospacing="0" w:after="0" w:afterAutospacing="0" w:line="360" w:lineRule="auto"/>
              <w:ind w:right="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（2）环境相容性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选址位于</w:t>
            </w:r>
            <w:r>
              <w:rPr>
                <w:rFonts w:hint="default" w:ascii="Times New Roman" w:hAnsi="Times New Roman" w:cs="Times New Roman"/>
                <w:color w:val="auto"/>
                <w:sz w:val="24"/>
                <w:szCs w:val="24"/>
                <w:lang w:val="en-US" w:eastAsia="zh-CN"/>
              </w:rPr>
              <w:t>安徽金寨经济开发区</w:t>
            </w:r>
            <w:r>
              <w:rPr>
                <w:rFonts w:hint="default" w:ascii="Times New Roman" w:hAnsi="Times New Roman" w:cs="Times New Roman"/>
                <w:color w:val="auto"/>
                <w:sz w:val="24"/>
                <w:szCs w:val="24"/>
              </w:rPr>
              <w:t>内，根据现场勘查，评价区域内无生态保护区、自然保护区、风景旅游区、文化遗产保护区及饮用水源保护区等环境敏感目标，周边以工业企业生产活动为主，外环境制约因素小，对运营期产生的污染物可实现达标排放，对周边环境影响是可接受的，因此本项目建设与周边环境是相容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w:t>（3）外部建设条件可行性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选址位于</w:t>
            </w:r>
            <w:r>
              <w:rPr>
                <w:rFonts w:hint="default" w:ascii="Times New Roman" w:hAnsi="Times New Roman" w:cs="Times New Roman"/>
                <w:color w:val="auto"/>
                <w:sz w:val="24"/>
                <w:szCs w:val="24"/>
                <w:lang w:val="en-US" w:eastAsia="zh-CN"/>
              </w:rPr>
              <w:t>安徽金寨经济开发区</w:t>
            </w:r>
            <w:r>
              <w:rPr>
                <w:rFonts w:hint="default" w:ascii="Times New Roman" w:hAnsi="Times New Roman" w:cs="Times New Roman"/>
                <w:color w:val="auto"/>
                <w:sz w:val="24"/>
                <w:szCs w:val="24"/>
              </w:rPr>
              <w:t>内</w:t>
            </w:r>
            <w:r>
              <w:rPr>
                <w:rFonts w:hint="default" w:ascii="Times New Roman" w:hAnsi="Times New Roman" w:cs="Times New Roman"/>
                <w:bCs/>
                <w:color w:val="auto"/>
                <w:sz w:val="24"/>
                <w:szCs w:val="24"/>
              </w:rPr>
              <w:t>，所在地理位置条件较好，交通便利，区域水、电、通讯等基础配套设施齐全，因此项目外部建设具有可行性。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（4）对外环境的影响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本项目自身产污环节较少，污染物相对简单，在落实本次环评提出的相关污染防治措施，并认真履行</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三同时</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制度后，不会降低评价区域原有功能级别，对区域环境影响较小。</w:t>
            </w: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综上所述，从用地规划符合性、环境相容性等方面考虑，本项目建设选址比较合理。</w:t>
            </w: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b/>
                <w:color w:val="auto"/>
                <w:sz w:val="24"/>
                <w:szCs w:val="24"/>
                <w:highlight w:val="green"/>
              </w:rPr>
            </w:pPr>
            <w:r>
              <w:rPr>
                <w:rFonts w:hint="default" w:ascii="Times New Roman" w:hAnsi="Times New Roman" w:cs="Times New Roman"/>
                <w:b/>
                <w:color w:val="auto"/>
                <w:sz w:val="24"/>
                <w:szCs w:val="24"/>
                <w:highlight w:val="none"/>
                <w:lang w:val="en-US" w:eastAsia="zh-CN"/>
              </w:rPr>
              <w:t>5、</w:t>
            </w:r>
            <w:r>
              <w:rPr>
                <w:rFonts w:hint="default" w:ascii="Times New Roman" w:hAnsi="Times New Roman" w:cs="Times New Roman"/>
                <w:b/>
                <w:bCs/>
                <w:color w:val="auto"/>
                <w:sz w:val="24"/>
                <w:szCs w:val="24"/>
                <w:lang w:eastAsia="zh-CN"/>
              </w:rPr>
              <w:t>环保政策</w:t>
            </w:r>
            <w:r>
              <w:rPr>
                <w:rFonts w:hint="default" w:ascii="Times New Roman" w:hAnsi="Times New Roman" w:eastAsia="宋体" w:cs="Times New Roman"/>
                <w:b/>
                <w:bCs/>
                <w:color w:val="auto"/>
                <w:sz w:val="24"/>
                <w:szCs w:val="24"/>
              </w:rPr>
              <w:t>符合性分析</w:t>
            </w:r>
          </w:p>
          <w:p>
            <w:pPr>
              <w:keepNext w:val="0"/>
              <w:keepLines/>
              <w:pageBreakBefore w:val="0"/>
              <w:widowControl w:val="0"/>
              <w:kinsoku/>
              <w:wordWrap w:val="0"/>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b/>
                <w:bCs/>
                <w:color w:val="000000"/>
                <w:sz w:val="24"/>
              </w:rPr>
            </w:pPr>
            <w:r>
              <w:rPr>
                <w:rFonts w:hint="default" w:ascii="Times New Roman" w:hAnsi="Times New Roman" w:cs="Times New Roman"/>
                <w:color w:val="000000"/>
                <w:sz w:val="24"/>
                <w:lang w:val="zh-CN"/>
              </w:rPr>
              <w:t>对照《安徽省“十四五”大气污染防治规划》</w:t>
            </w:r>
            <w:r>
              <w:rPr>
                <w:rFonts w:hint="default" w:ascii="Times New Roman" w:hAnsi="Times New Roman" w:cs="Times New Roman"/>
                <w:bCs/>
                <w:kern w:val="0"/>
                <w:sz w:val="24"/>
                <w:lang w:bidi="ar"/>
              </w:rPr>
              <w:t>、《安徽省生态环境保护委员会办公室关于印发安徽省2022年大气污染防治工作要点》（安环委办〔2022〕37号）</w:t>
            </w:r>
            <w:r>
              <w:rPr>
                <w:rFonts w:hint="default" w:ascii="Times New Roman" w:hAnsi="Times New Roman" w:cs="Times New Roman"/>
                <w:bCs/>
                <w:kern w:val="0"/>
                <w:sz w:val="24"/>
                <w:lang w:eastAsia="zh-CN" w:bidi="ar"/>
              </w:rPr>
              <w:t>、</w:t>
            </w:r>
            <w:r>
              <w:rPr>
                <w:rFonts w:hint="default" w:ascii="Times New Roman" w:hAnsi="Times New Roman" w:cs="Times New Roman"/>
                <w:bCs/>
                <w:kern w:val="0"/>
                <w:sz w:val="24"/>
                <w:lang w:val="en-US" w:eastAsia="zh-CN" w:bidi="ar"/>
              </w:rPr>
              <w:t>《安徽省生态环境厅关于印发加强高耗能、高排放项目生态环境源头防控的实施意见的通知》（皖环发〔2021〕28号）</w:t>
            </w:r>
            <w:r>
              <w:rPr>
                <w:rFonts w:hint="default" w:ascii="Times New Roman" w:hAnsi="Times New Roman" w:cs="Times New Roman"/>
                <w:color w:val="000000"/>
                <w:sz w:val="24"/>
                <w:lang w:val="zh-CN"/>
              </w:rPr>
              <w:t>等相关政策要求，本项目的政策相符性分析汇总见</w:t>
            </w:r>
            <w:r>
              <w:rPr>
                <w:rFonts w:hint="default" w:ascii="Times New Roman" w:hAnsi="Times New Roman" w:cs="Times New Roman"/>
                <w:color w:val="000000"/>
                <w:sz w:val="24"/>
                <w:lang w:val="en-US" w:eastAsia="zh-CN"/>
              </w:rPr>
              <w:t>下</w:t>
            </w:r>
            <w:r>
              <w:rPr>
                <w:rFonts w:hint="default" w:ascii="Times New Roman" w:hAnsi="Times New Roman" w:cs="Times New Roman"/>
                <w:color w:val="000000"/>
                <w:sz w:val="24"/>
                <w:lang w:val="zh-CN"/>
              </w:rPr>
              <w:t>表。</w:t>
            </w:r>
          </w:p>
          <w:p>
            <w:pPr>
              <w:pStyle w:val="48"/>
              <w:keepLines/>
              <w:wordWrap w:val="0"/>
              <w:spacing w:line="240" w:lineRule="auto"/>
              <w:ind w:firstLine="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表1.</w:t>
            </w:r>
            <w:r>
              <w:rPr>
                <w:rFonts w:hint="default" w:ascii="Times New Roman" w:hAnsi="Times New Roman" w:cs="Times New Roman"/>
                <w:b/>
                <w:bCs/>
                <w:color w:val="000000"/>
                <w:sz w:val="24"/>
                <w:lang w:val="en-US" w:eastAsia="zh-CN"/>
              </w:rPr>
              <w:t>4</w:t>
            </w:r>
            <w:r>
              <w:rPr>
                <w:rFonts w:hint="default" w:ascii="Times New Roman" w:hAnsi="Times New Roman" w:cs="Times New Roman"/>
                <w:b/>
                <w:bCs/>
                <w:color w:val="000000"/>
                <w:sz w:val="24"/>
              </w:rPr>
              <w:t>实施的政策相符性分析一览表</w:t>
            </w:r>
          </w:p>
          <w:tbl>
            <w:tblPr>
              <w:tblStyle w:val="33"/>
              <w:tblW w:w="50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
              <w:gridCol w:w="1186"/>
              <w:gridCol w:w="3778"/>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3" w:type="pct"/>
                  <w:noWrap w:val="0"/>
                  <w:vAlign w:val="center"/>
                </w:tcPr>
                <w:p>
                  <w:pPr>
                    <w:pStyle w:val="48"/>
                    <w:keepLines/>
                    <w:wordWrap w:val="0"/>
                    <w:spacing w:line="240" w:lineRule="auto"/>
                    <w:ind w:firstLine="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序号</w:t>
                  </w:r>
                </w:p>
              </w:tc>
              <w:tc>
                <w:tcPr>
                  <w:tcW w:w="840" w:type="pct"/>
                  <w:noWrap w:val="0"/>
                  <w:vAlign w:val="center"/>
                </w:tcPr>
                <w:p>
                  <w:pPr>
                    <w:pStyle w:val="48"/>
                    <w:keepLines/>
                    <w:wordWrap w:val="0"/>
                    <w:spacing w:line="240" w:lineRule="auto"/>
                    <w:ind w:firstLine="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政策名称</w:t>
                  </w:r>
                </w:p>
              </w:tc>
              <w:tc>
                <w:tcPr>
                  <w:tcW w:w="2678" w:type="pct"/>
                  <w:noWrap w:val="0"/>
                  <w:vAlign w:val="center"/>
                </w:tcPr>
                <w:p>
                  <w:pPr>
                    <w:pStyle w:val="48"/>
                    <w:keepLines/>
                    <w:wordWrap w:val="0"/>
                    <w:spacing w:line="240" w:lineRule="auto"/>
                    <w:ind w:firstLine="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相关条款</w:t>
                  </w:r>
                </w:p>
              </w:tc>
              <w:tc>
                <w:tcPr>
                  <w:tcW w:w="1227" w:type="pct"/>
                  <w:noWrap w:val="0"/>
                  <w:vAlign w:val="center"/>
                </w:tcPr>
                <w:p>
                  <w:pPr>
                    <w:pStyle w:val="48"/>
                    <w:keepLines/>
                    <w:wordWrap w:val="0"/>
                    <w:spacing w:line="240" w:lineRule="auto"/>
                    <w:ind w:firstLine="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3" w:type="pct"/>
                  <w:noWrap w:val="0"/>
                  <w:vAlign w:val="center"/>
                </w:tcPr>
                <w:p>
                  <w:pPr>
                    <w:pStyle w:val="48"/>
                    <w:keepLines/>
                    <w:wordWrap w:val="0"/>
                    <w:spacing w:line="240" w:lineRule="auto"/>
                    <w:ind w:firstLine="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840" w:type="pct"/>
                  <w:noWrap w:val="0"/>
                  <w:vAlign w:val="center"/>
                </w:tcPr>
                <w:p>
                  <w:pPr>
                    <w:pStyle w:val="48"/>
                    <w:keepLines/>
                    <w:wordWrap w:val="0"/>
                    <w:spacing w:line="240" w:lineRule="auto"/>
                    <w:ind w:firstLine="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zh-CN"/>
                    </w:rPr>
                    <w:t>安徽省“十四五”大气污染防治规划</w:t>
                  </w:r>
                </w:p>
              </w:tc>
              <w:tc>
                <w:tcPr>
                  <w:tcW w:w="2678" w:type="pct"/>
                  <w:noWrap w:val="0"/>
                  <w:vAlign w:val="center"/>
                </w:tcPr>
                <w:p>
                  <w:pPr>
                    <w:pStyle w:val="48"/>
                    <w:keepLines/>
                    <w:wordWrap w:val="0"/>
                    <w:spacing w:line="240" w:lineRule="auto"/>
                    <w:ind w:firstLine="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以协同推进经济高质量发展和生态环境高水平保护为重要导向，以产业转型升级、绿色发展为主要目标，落实“三线一单”生态环境分区管控要求，以落后产能淘汰压减、重点行业绿色转型、产业集群和园区升级改造、产业布局优化调整以及固定源深度治理为主要任务</w:t>
                  </w:r>
                </w:p>
              </w:tc>
              <w:tc>
                <w:tcPr>
                  <w:tcW w:w="1227" w:type="pct"/>
                  <w:noWrap w:val="0"/>
                  <w:vAlign w:val="center"/>
                </w:tcPr>
                <w:p>
                  <w:pPr>
                    <w:pStyle w:val="48"/>
                    <w:keepLines/>
                    <w:wordWrap w:val="0"/>
                    <w:spacing w:line="240" w:lineRule="auto"/>
                    <w:ind w:firstLine="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本项目已遵守“三线一单”生态环境分区管控要求，并对产业布局优化调整以及固定源深度治理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3" w:type="pct"/>
                  <w:noWrap w:val="0"/>
                  <w:vAlign w:val="center"/>
                </w:tcPr>
                <w:p>
                  <w:pPr>
                    <w:pStyle w:val="48"/>
                    <w:keepLines/>
                    <w:wordWrap w:val="0"/>
                    <w:spacing w:line="240" w:lineRule="auto"/>
                    <w:ind w:firstLine="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val="en-US" w:eastAsia="zh-CN"/>
                    </w:rPr>
                    <w:t>2</w:t>
                  </w:r>
                </w:p>
              </w:tc>
              <w:tc>
                <w:tcPr>
                  <w:tcW w:w="840" w:type="pct"/>
                  <w:vMerge w:val="restart"/>
                  <w:noWrap w:val="0"/>
                  <w:vAlign w:val="center"/>
                </w:tcPr>
                <w:p>
                  <w:pPr>
                    <w:pStyle w:val="48"/>
                    <w:keepLines/>
                    <w:wordWrap w:val="0"/>
                    <w:spacing w:line="240" w:lineRule="auto"/>
                    <w:ind w:firstLine="0"/>
                    <w:jc w:val="center"/>
                    <w:rPr>
                      <w:rFonts w:hint="default" w:ascii="Times New Roman" w:hAnsi="Times New Roman" w:cs="Times New Roman"/>
                      <w:b/>
                      <w:bCs/>
                      <w:color w:val="000000"/>
                      <w:sz w:val="21"/>
                      <w:szCs w:val="21"/>
                      <w:lang w:bidi="ar"/>
                    </w:rPr>
                  </w:pPr>
                  <w:r>
                    <w:rPr>
                      <w:rFonts w:hint="default" w:ascii="Times New Roman" w:hAnsi="Times New Roman" w:cs="Times New Roman"/>
                      <w:color w:val="000000"/>
                      <w:sz w:val="21"/>
                      <w:szCs w:val="21"/>
                      <w:lang w:bidi="ar"/>
                    </w:rPr>
                    <w:t>《安徽省生态环境保护委员会办公室关于印发安徽省2022年大气污染防治工作要点》</w:t>
                  </w:r>
                </w:p>
              </w:tc>
              <w:tc>
                <w:tcPr>
                  <w:tcW w:w="2678" w:type="pct"/>
                  <w:noWrap w:val="0"/>
                  <w:vAlign w:val="center"/>
                </w:tcPr>
                <w:p>
                  <w:pPr>
                    <w:autoSpaceDE w:val="0"/>
                    <w:autoSpaceDN w:val="0"/>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依法依规淘汰落后产能和化解过剩产能，严禁新增钢铁、焦化、水泥熟料、平板玻璃、电解铝等产业</w:t>
                  </w:r>
                </w:p>
              </w:tc>
              <w:tc>
                <w:tcPr>
                  <w:tcW w:w="1227" w:type="pct"/>
                  <w:noWrap w:val="0"/>
                  <w:vAlign w:val="center"/>
                </w:tcPr>
                <w:p>
                  <w:pPr>
                    <w:pStyle w:val="65"/>
                    <w:spacing w:before="0" w:after="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本项目为</w:t>
                  </w:r>
                  <w:r>
                    <w:rPr>
                      <w:rFonts w:hint="default" w:cs="Times New Roman"/>
                      <w:color w:val="000000"/>
                      <w:kern w:val="0"/>
                      <w:sz w:val="21"/>
                      <w:szCs w:val="21"/>
                      <w:lang w:eastAsia="zh-CN" w:bidi="ar"/>
                    </w:rPr>
                    <w:t>C4220非金属废料和碎屑加工处理</w:t>
                  </w:r>
                  <w:r>
                    <w:rPr>
                      <w:rFonts w:hint="default" w:ascii="Times New Roman" w:hAnsi="Times New Roman" w:cs="Times New Roman"/>
                      <w:sz w:val="21"/>
                      <w:szCs w:val="21"/>
                    </w:rPr>
                    <w:t>，不在禁止产业名单内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3" w:type="pct"/>
                  <w:noWrap w:val="0"/>
                  <w:vAlign w:val="center"/>
                </w:tcPr>
                <w:p>
                  <w:pPr>
                    <w:pStyle w:val="48"/>
                    <w:keepLines/>
                    <w:wordWrap w:val="0"/>
                    <w:spacing w:line="240" w:lineRule="auto"/>
                    <w:ind w:firstLine="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val="en-US" w:eastAsia="zh-CN"/>
                    </w:rPr>
                    <w:t>3</w:t>
                  </w:r>
                </w:p>
              </w:tc>
              <w:tc>
                <w:tcPr>
                  <w:tcW w:w="840" w:type="pct"/>
                  <w:vMerge w:val="continue"/>
                  <w:noWrap w:val="0"/>
                  <w:vAlign w:val="center"/>
                </w:tcPr>
                <w:p>
                  <w:pPr>
                    <w:pStyle w:val="48"/>
                    <w:keepLines/>
                    <w:wordWrap w:val="0"/>
                    <w:spacing w:line="240" w:lineRule="auto"/>
                    <w:ind w:firstLine="0"/>
                    <w:jc w:val="center"/>
                    <w:rPr>
                      <w:rFonts w:hint="default" w:ascii="Times New Roman" w:hAnsi="Times New Roman" w:cs="Times New Roman"/>
                      <w:b/>
                      <w:bCs/>
                      <w:color w:val="000000"/>
                      <w:sz w:val="21"/>
                      <w:szCs w:val="21"/>
                      <w:lang w:bidi="ar"/>
                    </w:rPr>
                  </w:pPr>
                </w:p>
              </w:tc>
              <w:tc>
                <w:tcPr>
                  <w:tcW w:w="2678" w:type="pct"/>
                  <w:noWrap w:val="0"/>
                  <w:vAlign w:val="center"/>
                </w:tcPr>
                <w:p>
                  <w:pPr>
                    <w:autoSpaceDE w:val="0"/>
                    <w:autoSpaceDN w:val="0"/>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以石化、化工、涂装、医药、包装印刷、油品储运销等行业领域为重点，挥发性有机物年排放量为1吨以上及以上企业编制实施“一厂一策”，严格执行涂料、油墨、胶粘剂、清洗剂VOCs含量限值标准</w:t>
                  </w:r>
                </w:p>
              </w:tc>
              <w:tc>
                <w:tcPr>
                  <w:tcW w:w="1227" w:type="pct"/>
                  <w:noWrap w:val="0"/>
                  <w:vAlign w:val="center"/>
                </w:tcPr>
                <w:p>
                  <w:pPr>
                    <w:autoSpaceDE w:val="0"/>
                    <w:autoSpaceDN w:val="0"/>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本项目</w:t>
                  </w:r>
                  <w:r>
                    <w:rPr>
                      <w:rFonts w:hint="default" w:ascii="Times New Roman" w:hAnsi="Times New Roman" w:eastAsia="宋体" w:cs="Times New Roman"/>
                      <w:kern w:val="0"/>
                      <w:sz w:val="21"/>
                      <w:szCs w:val="21"/>
                    </w:rPr>
                    <w:t>严格执行涂料、油墨、胶粘剂、清洗剂VOCs含量限值标准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3" w:type="pct"/>
                  <w:noWrap w:val="0"/>
                  <w:vAlign w:val="center"/>
                </w:tcPr>
                <w:p>
                  <w:pPr>
                    <w:pStyle w:val="48"/>
                    <w:keepLines/>
                    <w:wordWrap w:val="0"/>
                    <w:spacing w:line="240" w:lineRule="auto"/>
                    <w:ind w:firstLine="0"/>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4</w:t>
                  </w:r>
                </w:p>
              </w:tc>
              <w:tc>
                <w:tcPr>
                  <w:tcW w:w="840" w:type="pct"/>
                  <w:noWrap w:val="0"/>
                  <w:vAlign w:val="center"/>
                </w:tcPr>
                <w:p>
                  <w:pPr>
                    <w:pStyle w:val="48"/>
                    <w:keepLines/>
                    <w:wordWrap w:val="0"/>
                    <w:spacing w:line="240" w:lineRule="auto"/>
                    <w:ind w:firstLine="0"/>
                    <w:jc w:val="center"/>
                    <w:rPr>
                      <w:rFonts w:hint="default" w:ascii="Times New Roman" w:hAnsi="Times New Roman" w:cs="Times New Roman"/>
                      <w:b w:val="0"/>
                      <w:bCs w:val="0"/>
                      <w:color w:val="000000"/>
                      <w:sz w:val="21"/>
                      <w:szCs w:val="21"/>
                      <w:lang w:bidi="ar"/>
                    </w:rPr>
                  </w:pPr>
                  <w:r>
                    <w:rPr>
                      <w:rFonts w:hint="default" w:ascii="Times New Roman" w:hAnsi="Times New Roman" w:cs="Times New Roman"/>
                      <w:b w:val="0"/>
                      <w:bCs w:val="0"/>
                      <w:color w:val="000000"/>
                      <w:sz w:val="21"/>
                      <w:szCs w:val="21"/>
                      <w:lang w:val="en-US" w:eastAsia="zh-CN" w:bidi="ar"/>
                    </w:rPr>
                    <w:t>《安徽省生态环境厅关于印发加强高耗能、高排放项目生态环境源头防控的实施意见的通知》（皖环发〔2021〕28号）</w:t>
                  </w:r>
                </w:p>
              </w:tc>
              <w:tc>
                <w:tcPr>
                  <w:tcW w:w="2678" w:type="pct"/>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三、严格环境准入。各地不得受理钢铁、水泥、电解铝、平板玻璃、铸造等产能严重过剩行业新增产能项目的环评文件；对国家明令淘汰、禁止建设、不符合国家产业政策的项目环评文件，一律不批；沿江各市应按国家推长办《长江经济带发展负面清单指南（试行）》及我省实施细则要求，对合规园区外新建、扩建钢铁、石化、化工、焦化、建材、有色等</w:t>
                  </w:r>
                  <w:r>
                    <w:rPr>
                      <w:rFonts w:hint="default" w:ascii="Times New Roman" w:hAnsi="Times New Roman" w:cs="Times New Roman"/>
                      <w:b w:val="0"/>
                      <w:bCs w:val="0"/>
                      <w:color w:val="000000"/>
                      <w:kern w:val="0"/>
                      <w:sz w:val="21"/>
                      <w:szCs w:val="21"/>
                      <w:lang w:val="en-US" w:eastAsia="zh-CN" w:bidi="ar"/>
                    </w:rPr>
                    <w:t>“</w:t>
                  </w:r>
                  <w:r>
                    <w:rPr>
                      <w:rFonts w:hint="default" w:ascii="Times New Roman" w:hAnsi="Times New Roman" w:eastAsia="宋体" w:cs="Times New Roman"/>
                      <w:b w:val="0"/>
                      <w:bCs w:val="0"/>
                      <w:color w:val="000000"/>
                      <w:kern w:val="0"/>
                      <w:sz w:val="21"/>
                      <w:szCs w:val="21"/>
                      <w:lang w:val="en-US" w:eastAsia="zh-CN" w:bidi="ar"/>
                    </w:rPr>
                    <w:t>两高</w:t>
                  </w:r>
                  <w:r>
                    <w:rPr>
                      <w:rFonts w:hint="default" w:ascii="Times New Roman" w:hAnsi="Times New Roman" w:cs="Times New Roman"/>
                      <w:b w:val="0"/>
                      <w:bCs w:val="0"/>
                      <w:color w:val="000000"/>
                      <w:kern w:val="0"/>
                      <w:sz w:val="21"/>
                      <w:szCs w:val="21"/>
                      <w:lang w:val="en-US" w:eastAsia="zh-CN" w:bidi="ar"/>
                    </w:rPr>
                    <w:t>”</w:t>
                  </w:r>
                  <w:r>
                    <w:rPr>
                      <w:rFonts w:hint="default" w:ascii="Times New Roman" w:hAnsi="Times New Roman" w:eastAsia="宋体" w:cs="Times New Roman"/>
                      <w:b w:val="0"/>
                      <w:bCs w:val="0"/>
                      <w:color w:val="000000"/>
                      <w:kern w:val="0"/>
                      <w:sz w:val="21"/>
                      <w:szCs w:val="21"/>
                      <w:lang w:val="en-US" w:eastAsia="zh-CN" w:bidi="ar"/>
                    </w:rPr>
                    <w:t>项目的环评文件一律不批。</w:t>
                  </w:r>
                </w:p>
                <w:p>
                  <w:pPr>
                    <w:autoSpaceDE w:val="0"/>
                    <w:autoSpaceDN w:val="0"/>
                    <w:adjustRightInd w:val="0"/>
                    <w:snapToGrid w:val="0"/>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color w:val="000000"/>
                      <w:kern w:val="0"/>
                      <w:sz w:val="21"/>
                      <w:szCs w:val="21"/>
                      <w:lang w:val="en-US" w:eastAsia="zh-CN" w:bidi="ar"/>
                    </w:rPr>
                    <w:t>新增主要污染物排放量的</w:t>
                  </w:r>
                  <w:r>
                    <w:rPr>
                      <w:rFonts w:hint="default" w:ascii="Times New Roman" w:hAnsi="Times New Roman" w:cs="Times New Roman"/>
                      <w:b w:val="0"/>
                      <w:bCs w:val="0"/>
                      <w:color w:val="000000"/>
                      <w:kern w:val="0"/>
                      <w:sz w:val="21"/>
                      <w:szCs w:val="21"/>
                      <w:lang w:val="en-US" w:eastAsia="zh-CN" w:bidi="ar"/>
                    </w:rPr>
                    <w:t>“</w:t>
                  </w:r>
                  <w:r>
                    <w:rPr>
                      <w:rFonts w:hint="default" w:ascii="Times New Roman" w:hAnsi="Times New Roman" w:eastAsia="宋体" w:cs="Times New Roman"/>
                      <w:b w:val="0"/>
                      <w:bCs w:val="0"/>
                      <w:color w:val="000000"/>
                      <w:kern w:val="0"/>
                      <w:sz w:val="21"/>
                      <w:szCs w:val="21"/>
                      <w:lang w:val="en-US" w:eastAsia="zh-CN" w:bidi="ar"/>
                    </w:rPr>
                    <w:t>两高</w:t>
                  </w:r>
                  <w:r>
                    <w:rPr>
                      <w:rFonts w:hint="default" w:ascii="Times New Roman" w:hAnsi="Times New Roman" w:cs="Times New Roman"/>
                      <w:b w:val="0"/>
                      <w:bCs w:val="0"/>
                      <w:color w:val="000000"/>
                      <w:kern w:val="0"/>
                      <w:sz w:val="21"/>
                      <w:szCs w:val="21"/>
                      <w:lang w:val="en-US" w:eastAsia="zh-CN" w:bidi="ar"/>
                    </w:rPr>
                    <w:t>”</w:t>
                  </w:r>
                  <w:r>
                    <w:rPr>
                      <w:rFonts w:hint="default" w:ascii="Times New Roman" w:hAnsi="Times New Roman" w:eastAsia="宋体" w:cs="Times New Roman"/>
                      <w:b w:val="0"/>
                      <w:bCs w:val="0"/>
                      <w:color w:val="000000"/>
                      <w:kern w:val="0"/>
                      <w:sz w:val="21"/>
                      <w:szCs w:val="21"/>
                      <w:lang w:val="en-US" w:eastAsia="zh-CN" w:bidi="ar"/>
                    </w:rPr>
                    <w:t>项目应按照生态环境部办公厅《关于加强重点行业建设项目区域削减措施监督管理的通知》（环办环评[2020]36号）要求，依据区域环境质量改善目标，制定配套区域污染物削减方案，采取有效的污染物区域削减措施，相应的减排措施应在项目投产前完成</w:t>
                  </w:r>
                </w:p>
              </w:tc>
              <w:tc>
                <w:tcPr>
                  <w:tcW w:w="1227" w:type="pct"/>
                  <w:noWrap w:val="0"/>
                  <w:vAlign w:val="center"/>
                </w:tcPr>
                <w:p>
                  <w:pPr>
                    <w:autoSpaceDE w:val="0"/>
                    <w:autoSpaceDN w:val="0"/>
                    <w:adjustRightInd w:val="0"/>
                    <w:snapToGrid w:val="0"/>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bidi="ar"/>
                    </w:rPr>
                    <w:t>本项目属于</w:t>
                  </w:r>
                  <w:r>
                    <w:rPr>
                      <w:rFonts w:hint="default" w:cs="Times New Roman"/>
                      <w:color w:val="000000"/>
                      <w:kern w:val="0"/>
                      <w:sz w:val="21"/>
                      <w:szCs w:val="21"/>
                      <w:lang w:eastAsia="zh-CN" w:bidi="ar"/>
                    </w:rPr>
                    <w:t>C4220非金属废料和碎屑加工处理</w:t>
                  </w:r>
                  <w:r>
                    <w:rPr>
                      <w:rFonts w:hint="default" w:ascii="Times New Roman" w:hAnsi="Times New Roman" w:eastAsia="宋体" w:cs="Times New Roman"/>
                      <w:b w:val="0"/>
                      <w:bCs w:val="0"/>
                      <w:color w:val="000000"/>
                      <w:kern w:val="0"/>
                      <w:sz w:val="21"/>
                      <w:szCs w:val="21"/>
                      <w:lang w:val="en-US" w:eastAsia="zh-CN" w:bidi="ar"/>
                    </w:rPr>
                    <w:t>，不属于钢铁、水泥、电解铝、平板玻璃、铸造等产能过剩的行业，不属于钢铁、石化、化工、焦化、建材、有色等“两高”行业，属于《产业结构调整指导目录》（20</w:t>
                  </w:r>
                  <w:r>
                    <w:rPr>
                      <w:rFonts w:hint="default" w:ascii="Times New Roman" w:hAnsi="Times New Roman" w:cs="Times New Roman"/>
                      <w:b w:val="0"/>
                      <w:bCs w:val="0"/>
                      <w:color w:val="000000"/>
                      <w:kern w:val="0"/>
                      <w:sz w:val="21"/>
                      <w:szCs w:val="21"/>
                      <w:lang w:val="en-US" w:eastAsia="zh-CN" w:bidi="ar"/>
                    </w:rPr>
                    <w:t>24</w:t>
                  </w:r>
                  <w:r>
                    <w:rPr>
                      <w:rFonts w:hint="default" w:ascii="Times New Roman" w:hAnsi="Times New Roman" w:eastAsia="宋体" w:cs="Times New Roman"/>
                      <w:b w:val="0"/>
                      <w:bCs w:val="0"/>
                      <w:color w:val="000000"/>
                      <w:kern w:val="0"/>
                      <w:sz w:val="21"/>
                      <w:szCs w:val="21"/>
                      <w:lang w:val="en-US" w:eastAsia="zh-CN" w:bidi="ar"/>
                    </w:rPr>
                    <w:t>年本）中允许类范畴，不属于国家淘汰落后产能企业</w:t>
                  </w:r>
                </w:p>
              </w:tc>
            </w:tr>
          </w:tbl>
          <w:p>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
                <w:bCs/>
                <w:color w:val="000000" w:themeColor="text1"/>
                <w:kern w:val="2"/>
                <w:sz w:val="24"/>
                <w:szCs w:val="24"/>
                <w:lang w:val="en-US" w:eastAsia="zh-CN" w:bidi="ar"/>
                <w14:textFill>
                  <w14:solidFill>
                    <w14:schemeClr w14:val="tx1"/>
                  </w14:solidFill>
                </w14:textFill>
              </w:rPr>
            </w:pPr>
            <w:r>
              <w:rPr>
                <w:rFonts w:hint="default" w:ascii="Times New Roman" w:hAnsi="Times New Roman" w:cs="Times New Roman"/>
                <w:b/>
                <w:color w:val="auto"/>
                <w:sz w:val="24"/>
                <w:szCs w:val="24"/>
                <w:lang w:val="en-US" w:eastAsia="zh-CN"/>
              </w:rPr>
              <w:t>6、</w:t>
            </w:r>
            <w:r>
              <w:rPr>
                <w:rFonts w:hint="default" w:ascii="Times New Roman" w:hAnsi="Times New Roman" w:eastAsia="宋体" w:cs="Times New Roman"/>
                <w:b/>
                <w:bCs/>
                <w:color w:val="000000" w:themeColor="text1"/>
                <w:kern w:val="2"/>
                <w:sz w:val="24"/>
                <w:szCs w:val="24"/>
                <w:lang w:val="en-US" w:eastAsia="zh-CN" w:bidi="ar"/>
                <w14:textFill>
                  <w14:solidFill>
                    <w14:schemeClr w14:val="tx1"/>
                  </w14:solidFill>
                </w14:textFill>
              </w:rPr>
              <w:t>与《挥发性有机物无组织排放控制标准》（GB37822-2019）符合性分析</w:t>
            </w:r>
          </w:p>
          <w:p>
            <w:pPr>
              <w:pStyle w:val="6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lang w:val="en-US" w:eastAsia="zh-CN"/>
                <w14:textFill>
                  <w14:solidFill>
                    <w14:schemeClr w14:val="tx1"/>
                  </w14:solidFill>
                </w14:textFill>
              </w:rPr>
              <w:t>表1.</w:t>
            </w:r>
            <w:r>
              <w:rPr>
                <w:rFonts w:hint="default" w:ascii="Times New Roman" w:hAnsi="Times New Roman" w:cs="Times New Roman"/>
                <w:b/>
                <w:bCs w:val="0"/>
                <w:color w:val="000000" w:themeColor="text1"/>
                <w:lang w:val="en-US" w:eastAsia="zh-CN"/>
                <w14:textFill>
                  <w14:solidFill>
                    <w14:schemeClr w14:val="tx1"/>
                  </w14:solidFill>
                </w14:textFill>
              </w:rPr>
              <w:t>5</w:t>
            </w:r>
            <w:r>
              <w:rPr>
                <w:rFonts w:hint="default" w:ascii="Times New Roman" w:hAnsi="Times New Roman" w:eastAsia="宋体" w:cs="Times New Roman"/>
                <w:b/>
                <w:bCs w:val="0"/>
                <w:color w:val="000000" w:themeColor="text1"/>
                <w:lang w:val="en-US" w:eastAsia="zh-CN"/>
                <w14:textFill>
                  <w14:solidFill>
                    <w14:schemeClr w14:val="tx1"/>
                  </w14:solidFill>
                </w14:textFill>
              </w:rPr>
              <w:t>本项目与《挥发性有机物无组织排放控制标准》符合性分析</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3569"/>
              <w:gridCol w:w="2154"/>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pPr>
                    <w:pStyle w:val="10"/>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2540" w:type="pct"/>
                  <w:vAlign w:val="center"/>
                </w:tcPr>
                <w:p>
                  <w:pPr>
                    <w:pStyle w:val="10"/>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相关要求</w:t>
                  </w:r>
                </w:p>
              </w:tc>
              <w:tc>
                <w:tcPr>
                  <w:tcW w:w="1533" w:type="pct"/>
                  <w:vAlign w:val="center"/>
                </w:tcPr>
                <w:p>
                  <w:pPr>
                    <w:pStyle w:val="10"/>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符合性分析</w:t>
                  </w:r>
                </w:p>
              </w:tc>
              <w:tc>
                <w:tcPr>
                  <w:tcW w:w="615" w:type="pct"/>
                  <w:vAlign w:val="center"/>
                </w:tcPr>
                <w:p>
                  <w:pPr>
                    <w:pStyle w:val="10"/>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pPr>
                    <w:pStyle w:val="10"/>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540"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VOCs物料储存无组织排放控制要求：①VOCs物料应储存于密闭的容器、包装袋、储罐、储库、料仓中；②盛装VOCs物料的容器或包装袋应存放于室内，或存放于设置有雨棚、遮阳和防渗设施的专用场地。盛装VOCs物料的容器或包装袋在非取用状态时应加盖、封口、保持密闭；③VOCs物料储罐应密封良好；④VOCs物料储库、料仓应满足密闭空间的要求。</w:t>
                  </w:r>
                </w:p>
              </w:tc>
              <w:tc>
                <w:tcPr>
                  <w:tcW w:w="1533" w:type="pc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VOCs物料均储存于密闭的</w:t>
                  </w:r>
                  <w:r>
                    <w:rPr>
                      <w:rFonts w:hint="default" w:ascii="Times New Roman" w:hAnsi="Times New Roman" w:cs="Times New Roman"/>
                      <w:sz w:val="21"/>
                      <w:szCs w:val="21"/>
                      <w:lang w:eastAsia="zh-CN"/>
                    </w:rPr>
                    <w:t>容器</w:t>
                  </w:r>
                  <w:r>
                    <w:rPr>
                      <w:rFonts w:hint="default" w:ascii="Times New Roman" w:hAnsi="Times New Roman" w:eastAsia="宋体" w:cs="Times New Roman"/>
                      <w:sz w:val="21"/>
                      <w:szCs w:val="21"/>
                    </w:rPr>
                    <w:t>中</w:t>
                  </w:r>
                  <w:r>
                    <w:rPr>
                      <w:rFonts w:hint="default" w:ascii="Times New Roman" w:hAnsi="Times New Roman" w:eastAsia="宋体" w:cs="Times New Roman"/>
                      <w:sz w:val="21"/>
                      <w:szCs w:val="21"/>
                      <w:lang w:eastAsia="zh-CN"/>
                    </w:rPr>
                    <w:t>，</w:t>
                  </w:r>
                  <w:r>
                    <w:rPr>
                      <w:rFonts w:hint="default" w:ascii="Times New Roman" w:hAnsi="Times New Roman" w:cs="Times New Roman"/>
                      <w:sz w:val="21"/>
                      <w:szCs w:val="21"/>
                      <w:lang w:eastAsia="zh-CN"/>
                    </w:rPr>
                    <w:t>存放于室内，在非取用状态时均保持密闭，</w:t>
                  </w:r>
                  <w:r>
                    <w:rPr>
                      <w:rFonts w:hint="default" w:ascii="Times New Roman" w:hAnsi="Times New Roman" w:eastAsia="宋体" w:cs="Times New Roman"/>
                      <w:sz w:val="21"/>
                      <w:szCs w:val="21"/>
                    </w:rPr>
                    <w:t>VOCs物料</w:t>
                  </w:r>
                  <w:r>
                    <w:rPr>
                      <w:rFonts w:hint="default" w:ascii="Times New Roman" w:hAnsi="Times New Roman" w:cs="Times New Roman"/>
                      <w:sz w:val="21"/>
                      <w:szCs w:val="21"/>
                      <w:lang w:eastAsia="zh-CN"/>
                    </w:rPr>
                    <w:t>储库</w:t>
                  </w:r>
                  <w:r>
                    <w:rPr>
                      <w:rFonts w:hint="default" w:ascii="Times New Roman" w:hAnsi="Times New Roman" w:eastAsia="宋体" w:cs="Times New Roman"/>
                      <w:kern w:val="0"/>
                      <w:sz w:val="21"/>
                      <w:szCs w:val="21"/>
                    </w:rPr>
                    <w:t>满足密闭空间的要求。</w:t>
                  </w:r>
                </w:p>
              </w:tc>
              <w:tc>
                <w:tcPr>
                  <w:tcW w:w="615" w:type="pct"/>
                  <w:vAlign w:val="center"/>
                </w:tcPr>
                <w:p>
                  <w:pPr>
                    <w:pStyle w:val="10"/>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0" w:type="pct"/>
                  <w:vAlign w:val="center"/>
                </w:tcPr>
                <w:p>
                  <w:pPr>
                    <w:pStyle w:val="10"/>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540"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VOCs物料转移和输送无组织排放控制要求：①液态VOCs物料应采用密闭管道输送，采用非管道输送方式转移液态VOCs物料时，应采用密闭容器、罐车；②粉状、粒状VOCs物料应采用气力输送设备、管道带式输送机、螺旋输送机等密闭输送方式，或者采用密闭的包装袋、容器或罐车进行物料转移。</w:t>
                  </w:r>
                </w:p>
              </w:tc>
              <w:tc>
                <w:tcPr>
                  <w:tcW w:w="1533" w:type="pc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粉状、粒状VOCs物料应采用气力输送设备、管道带式输送机、螺旋输送机等密闭输送方式，或者采用密闭的包装袋、容器或罐车进行物料转移</w:t>
                  </w:r>
                </w:p>
              </w:tc>
              <w:tc>
                <w:tcPr>
                  <w:tcW w:w="615" w:type="pct"/>
                  <w:vAlign w:val="center"/>
                </w:tcPr>
                <w:p>
                  <w:pPr>
                    <w:pStyle w:val="10"/>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pPr>
                    <w:pStyle w:val="10"/>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540"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含VOCs产品的使用过程：VOCs质量占比大于等于10%的含VOCs产品，其使用过程应采用密闭设备或在密闭空间内操作，废气应排至VOCs废气收集处理系统；无法密闭的，应采取局部气体收集措施，废气应排至VOCs废气收集处理系统。</w:t>
                  </w:r>
                </w:p>
              </w:tc>
              <w:tc>
                <w:tcPr>
                  <w:tcW w:w="1533" w:type="pc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含VOCs</w:t>
                  </w:r>
                  <w:r>
                    <w:rPr>
                      <w:rFonts w:hint="default" w:ascii="Times New Roman" w:hAnsi="Times New Roman" w:eastAsia="宋体" w:cs="Times New Roman"/>
                      <w:kern w:val="0"/>
                      <w:sz w:val="21"/>
                      <w:szCs w:val="21"/>
                      <w:lang w:eastAsia="zh-CN"/>
                    </w:rPr>
                    <w:t>材料</w:t>
                  </w:r>
                  <w:r>
                    <w:rPr>
                      <w:rFonts w:hint="default" w:ascii="Times New Roman" w:hAnsi="Times New Roman" w:eastAsia="宋体" w:cs="Times New Roman"/>
                      <w:kern w:val="0"/>
                      <w:sz w:val="21"/>
                      <w:szCs w:val="21"/>
                    </w:rPr>
                    <w:t>其使用过程采用密闭设备或在密闭空间内操作，废气通过</w:t>
                  </w:r>
                  <w:r>
                    <w:rPr>
                      <w:rFonts w:hint="default" w:ascii="Times New Roman" w:hAnsi="Times New Roman" w:eastAsia="宋体" w:cs="Times New Roman"/>
                      <w:kern w:val="0"/>
                      <w:sz w:val="21"/>
                      <w:szCs w:val="21"/>
                      <w:lang w:val="en-US" w:eastAsia="zh-CN"/>
                    </w:rPr>
                    <w:t>经集气罩收集，经</w:t>
                  </w:r>
                  <w:r>
                    <w:rPr>
                      <w:rFonts w:hint="default" w:ascii="Times New Roman" w:hAnsi="Times New Roman" w:cs="Times New Roman"/>
                      <w:kern w:val="0"/>
                      <w:sz w:val="21"/>
                      <w:szCs w:val="21"/>
                      <w:lang w:val="en-US" w:eastAsia="zh-CN"/>
                    </w:rPr>
                    <w:t>二级活性炭吸附</w:t>
                  </w:r>
                  <w:r>
                    <w:rPr>
                      <w:rFonts w:hint="default" w:ascii="Times New Roman" w:hAnsi="Times New Roman" w:eastAsia="宋体" w:cs="Times New Roman"/>
                      <w:kern w:val="0"/>
                      <w:sz w:val="21"/>
                      <w:szCs w:val="21"/>
                      <w:lang w:val="en-US" w:eastAsia="zh-CN"/>
                    </w:rPr>
                    <w:t>装置</w:t>
                  </w:r>
                  <w:r>
                    <w:rPr>
                      <w:rFonts w:hint="default" w:ascii="Times New Roman" w:hAnsi="Times New Roman" w:eastAsia="宋体" w:cs="Times New Roman"/>
                      <w:kern w:val="0"/>
                      <w:sz w:val="21"/>
                      <w:szCs w:val="21"/>
                    </w:rPr>
                    <w:t>处理达标后外排</w:t>
                  </w:r>
                </w:p>
              </w:tc>
              <w:tc>
                <w:tcPr>
                  <w:tcW w:w="615" w:type="pct"/>
                  <w:vAlign w:val="center"/>
                </w:tcPr>
                <w:p>
                  <w:pPr>
                    <w:pStyle w:val="10"/>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vAlign w:val="center"/>
                </w:tcPr>
                <w:p>
                  <w:pPr>
                    <w:pStyle w:val="10"/>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2540" w:type="pct"/>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其他要求：企业应建立台账，记录含VOCs原料材料和含VOCs产品的名称、使用量、回收量、废弃量、去向以及VOCs含量等信息。台账保存期限不少于3年。</w:t>
                  </w:r>
                </w:p>
              </w:tc>
              <w:tc>
                <w:tcPr>
                  <w:tcW w:w="1533" w:type="pc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实际生产过程中，企业将建立台账，记录含VOCs</w:t>
                  </w:r>
                  <w:r>
                    <w:rPr>
                      <w:rFonts w:hint="default" w:ascii="Times New Roman" w:hAnsi="Times New Roman" w:eastAsia="宋体" w:cs="Times New Roman"/>
                      <w:kern w:val="0"/>
                      <w:sz w:val="21"/>
                      <w:szCs w:val="21"/>
                    </w:rPr>
                    <w:t>原料材料和含VOCs产品的名称、使用量、回收量、废弃量、去向以及VOCs含量等信息</w:t>
                  </w:r>
                  <w:r>
                    <w:rPr>
                      <w:rFonts w:hint="default" w:ascii="Times New Roman" w:hAnsi="Times New Roman" w:eastAsia="宋体" w:cs="Times New Roman"/>
                      <w:sz w:val="21"/>
                      <w:szCs w:val="21"/>
                    </w:rPr>
                    <w:t>，台账保存期限不少于3年。</w:t>
                  </w:r>
                </w:p>
              </w:tc>
              <w:tc>
                <w:tcPr>
                  <w:tcW w:w="615" w:type="pct"/>
                  <w:vAlign w:val="center"/>
                </w:tcPr>
                <w:p>
                  <w:pPr>
                    <w:pStyle w:val="10"/>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bl>
          <w:p>
            <w:pPr>
              <w:pStyle w:val="94"/>
              <w:keepNext w:val="0"/>
              <w:keepLines w:val="0"/>
              <w:pageBreakBefore w:val="0"/>
              <w:widowControl/>
              <w:numPr>
                <w:ilvl w:val="0"/>
                <w:numId w:val="0"/>
              </w:numPr>
              <w:kinsoku/>
              <w:wordWrap/>
              <w:overflowPunct/>
              <w:topLinePunct w:val="0"/>
              <w:autoSpaceDE/>
              <w:autoSpaceDN/>
              <w:bidi w:val="0"/>
              <w:adjustRightInd/>
              <w:snapToGrid/>
              <w:ind w:leftChars="0" w:right="0" w:rightChars="0"/>
              <w:jc w:val="both"/>
              <w:textAlignment w:val="auto"/>
              <w:outlineLvl w:val="2"/>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7、</w:t>
            </w:r>
            <w:r>
              <w:rPr>
                <w:rFonts w:hint="default" w:ascii="Times New Roman" w:hAnsi="Times New Roman" w:eastAsia="宋体" w:cs="Times New Roman"/>
                <w:color w:val="auto"/>
                <w:kern w:val="2"/>
                <w:sz w:val="24"/>
                <w:szCs w:val="24"/>
                <w:lang w:val="en-US" w:eastAsia="zh-CN" w:bidi="ar-SA"/>
              </w:rPr>
              <w:t>与《重点行业挥发性有机物综合治理方案》相符性分析</w:t>
            </w:r>
          </w:p>
          <w:p>
            <w:pPr>
              <w:pStyle w:val="5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根据《重点行业挥发性有机物综合治理方案》（环大气〔2019〕53号），与项目相关要求的相符性分析如下：</w:t>
            </w:r>
          </w:p>
          <w:p>
            <w:pPr>
              <w:pStyle w:val="59"/>
              <w:keepNext w:val="0"/>
              <w:keepLines w:val="0"/>
              <w:pageBreakBefore w:val="0"/>
              <w:widowControl w:val="0"/>
              <w:kinsoku/>
              <w:wordWrap/>
              <w:overflowPunct/>
              <w:topLinePunct w:val="0"/>
              <w:autoSpaceDE/>
              <w:autoSpaceDN/>
              <w:bidi w:val="0"/>
              <w:adjustRightInd/>
              <w:snapToGrid/>
              <w:spacing w:line="240" w:lineRule="auto"/>
              <w:ind w:firstLine="481" w:firstLineChars="200"/>
              <w:jc w:val="both"/>
              <w:textAlignment w:val="auto"/>
              <w:outlineLvl w:val="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szCs w:val="24"/>
                <w:lang w:val="en-US" w:eastAsia="zh-CN"/>
              </w:rPr>
              <w:t>表1-</w:t>
            </w:r>
            <w:r>
              <w:rPr>
                <w:rFonts w:hint="eastAsia" w:ascii="Times New Roman" w:hAnsi="Times New Roman"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与《重点行业挥发性有机物综合治理方案》相符性分析表</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5"/>
              <w:gridCol w:w="2354"/>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方案要求</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项目情况</w:t>
                  </w:r>
                </w:p>
              </w:tc>
              <w:tc>
                <w:tcPr>
                  <w:tcW w:w="4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5"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推进使用先进生产工艺。通过采用全密闭、连续化、自动化等生产技术，以及高效工艺与设备等，减少工艺过程无组织排放。工业涂装行业重点推进使用紧凑式涂装工艺，推广采用辊涂、静电喷涂、高压无气喷涂、空气辅助无气喷涂、热喷涂等涂装技术，鼓励企业采用自动化、智能化喷涂设备替代人工喷涂，减少使用空气喷涂技术。</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r>
                    <w:rPr>
                      <w:rFonts w:hint="eastAsia" w:ascii="Times New Roman" w:hAnsi="Times New Roman" w:eastAsia="宋体" w:cs="Times New Roman"/>
                      <w:color w:val="auto"/>
                      <w:sz w:val="21"/>
                      <w:szCs w:val="21"/>
                      <w:lang w:val="en-US" w:eastAsia="zh-CN"/>
                    </w:rPr>
                    <w:t>采用先进生产工艺，采用连续化、半自动化生产技术，</w:t>
                  </w:r>
                  <w:r>
                    <w:rPr>
                      <w:rFonts w:hint="eastAsia" w:cs="Times New Roman"/>
                      <w:color w:val="auto"/>
                      <w:sz w:val="21"/>
                      <w:szCs w:val="21"/>
                      <w:lang w:val="en-US" w:eastAsia="zh-CN"/>
                    </w:rPr>
                    <w:t>加热熔化</w:t>
                  </w:r>
                  <w:r>
                    <w:rPr>
                      <w:rFonts w:hint="eastAsia" w:ascii="Times New Roman" w:hAnsi="Times New Roman" w:eastAsia="宋体" w:cs="Times New Roman"/>
                      <w:color w:val="auto"/>
                      <w:sz w:val="21"/>
                      <w:szCs w:val="21"/>
                      <w:lang w:val="en-US" w:eastAsia="zh-CN"/>
                    </w:rPr>
                    <w:t>过程产生的</w:t>
                  </w:r>
                  <w:r>
                    <w:rPr>
                      <w:rFonts w:hint="default" w:ascii="Times New Roman" w:hAnsi="Times New Roman" w:eastAsia="宋体" w:cs="Times New Roman"/>
                      <w:color w:val="auto"/>
                      <w:sz w:val="21"/>
                      <w:szCs w:val="21"/>
                      <w:lang w:val="en-US" w:eastAsia="zh-CN"/>
                    </w:rPr>
                    <w:t>废气</w:t>
                  </w:r>
                  <w:r>
                    <w:rPr>
                      <w:rFonts w:hint="default" w:ascii="Times New Roman" w:hAnsi="Times New Roman" w:cs="Times New Roman"/>
                      <w:color w:val="000000"/>
                      <w:kern w:val="0"/>
                      <w:sz w:val="21"/>
                      <w:szCs w:val="21"/>
                      <w:lang w:val="en-US" w:eastAsia="zh-CN" w:bidi="ar"/>
                    </w:rPr>
                    <w:t>经集气罩收集，</w:t>
                  </w:r>
                  <w:r>
                    <w:rPr>
                      <w:rFonts w:hint="eastAsia" w:cs="Times New Roman"/>
                      <w:color w:val="000000"/>
                      <w:kern w:val="0"/>
                      <w:sz w:val="21"/>
                      <w:szCs w:val="21"/>
                      <w:lang w:val="en-US" w:eastAsia="zh-CN" w:bidi="ar"/>
                    </w:rPr>
                    <w:t>通过喷淋塔降温后由二级活性炭吸附装置处理</w:t>
                  </w:r>
                  <w:r>
                    <w:rPr>
                      <w:rFonts w:hint="default" w:ascii="Times New Roman" w:hAnsi="Times New Roman" w:cs="Times New Roman"/>
                      <w:color w:val="000000"/>
                      <w:kern w:val="0"/>
                      <w:sz w:val="21"/>
                      <w:szCs w:val="21"/>
                      <w:lang w:val="en-US" w:eastAsia="zh-CN" w:bidi="ar"/>
                    </w:rPr>
                    <w:t>达标</w:t>
                  </w:r>
                  <w:r>
                    <w:rPr>
                      <w:rFonts w:hint="default" w:ascii="Times New Roman" w:hAnsi="Times New Roman" w:eastAsia="宋体" w:cs="Times New Roman"/>
                      <w:color w:val="000000"/>
                      <w:kern w:val="0"/>
                      <w:sz w:val="21"/>
                      <w:szCs w:val="21"/>
                      <w:lang w:val="en-US" w:eastAsia="zh-CN" w:bidi="ar"/>
                    </w:rPr>
                    <w:t>后通过15m高排气筒</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DA001</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排放</w:t>
                  </w:r>
                  <w:r>
                    <w:rPr>
                      <w:rFonts w:hint="eastAsia" w:ascii="Times New Roman" w:hAnsi="Times New Roman" w:eastAsia="宋体" w:cs="Times New Roman"/>
                      <w:color w:val="auto"/>
                      <w:sz w:val="21"/>
                      <w:szCs w:val="21"/>
                      <w:lang w:val="en-US" w:eastAsia="zh-CN"/>
                    </w:rPr>
                    <w:t>，项目不涉及工业涂装工艺。</w:t>
                  </w:r>
                </w:p>
              </w:tc>
              <w:tc>
                <w:tcPr>
                  <w:tcW w:w="4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5"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加热熔化</w:t>
                  </w:r>
                  <w:r>
                    <w:rPr>
                      <w:rFonts w:hint="eastAsia" w:ascii="Times New Roman" w:hAnsi="Times New Roman" w:eastAsia="宋体" w:cs="Times New Roman"/>
                      <w:color w:val="auto"/>
                      <w:sz w:val="21"/>
                      <w:szCs w:val="21"/>
                      <w:lang w:val="en-US" w:eastAsia="zh-CN"/>
                    </w:rPr>
                    <w:t>过程产生的</w:t>
                  </w:r>
                  <w:r>
                    <w:rPr>
                      <w:rFonts w:hint="default" w:ascii="Times New Roman" w:hAnsi="Times New Roman" w:eastAsia="宋体" w:cs="Times New Roman"/>
                      <w:color w:val="auto"/>
                      <w:sz w:val="21"/>
                      <w:szCs w:val="21"/>
                      <w:lang w:val="en-US" w:eastAsia="zh-CN"/>
                    </w:rPr>
                    <w:t>有机废气</w:t>
                  </w:r>
                  <w:r>
                    <w:rPr>
                      <w:rFonts w:hint="eastAsia" w:ascii="Times New Roman" w:hAnsi="Times New Roman" w:eastAsia="宋体" w:cs="Times New Roman"/>
                      <w:color w:val="auto"/>
                      <w:sz w:val="21"/>
                      <w:szCs w:val="21"/>
                      <w:lang w:val="en-US" w:eastAsia="zh-CN"/>
                    </w:rPr>
                    <w:t>经</w:t>
                  </w:r>
                  <w:r>
                    <w:rPr>
                      <w:rFonts w:hint="default" w:ascii="Times New Roman" w:hAnsi="Times New Roman" w:cs="Times New Roman"/>
                      <w:color w:val="000000"/>
                      <w:kern w:val="0"/>
                      <w:sz w:val="21"/>
                      <w:szCs w:val="21"/>
                      <w:lang w:val="en-US" w:eastAsia="zh-CN" w:bidi="ar"/>
                    </w:rPr>
                    <w:t>集气罩收集，</w:t>
                  </w:r>
                  <w:r>
                    <w:rPr>
                      <w:rFonts w:hint="eastAsia" w:cs="Times New Roman"/>
                      <w:color w:val="000000"/>
                      <w:kern w:val="0"/>
                      <w:sz w:val="21"/>
                      <w:szCs w:val="21"/>
                      <w:lang w:val="en-US" w:eastAsia="zh-CN" w:bidi="ar"/>
                    </w:rPr>
                    <w:t>通过喷淋塔降温后由二级活性炭吸附装置处理</w:t>
                  </w:r>
                  <w:r>
                    <w:rPr>
                      <w:rFonts w:hint="default" w:ascii="Times New Roman" w:hAnsi="Times New Roman" w:cs="Times New Roman"/>
                      <w:color w:val="000000"/>
                      <w:kern w:val="0"/>
                      <w:sz w:val="21"/>
                      <w:szCs w:val="21"/>
                      <w:lang w:val="en-US" w:eastAsia="zh-CN" w:bidi="ar"/>
                    </w:rPr>
                    <w:t>达标</w:t>
                  </w:r>
                  <w:r>
                    <w:rPr>
                      <w:rFonts w:hint="default" w:ascii="Times New Roman" w:hAnsi="Times New Roman" w:eastAsia="宋体" w:cs="Times New Roman"/>
                      <w:color w:val="000000"/>
                      <w:kern w:val="0"/>
                      <w:sz w:val="21"/>
                      <w:szCs w:val="21"/>
                      <w:lang w:val="en-US" w:eastAsia="zh-CN" w:bidi="ar"/>
                    </w:rPr>
                    <w:t>后通过15m高排气筒</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DA001</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排放</w:t>
                  </w:r>
                </w:p>
              </w:tc>
              <w:tc>
                <w:tcPr>
                  <w:tcW w:w="4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5"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推进建设适宜高效的治污设施。企业新建治污设施或对现有治污设施实施改造，应依据排放废气的浓度、组分、风量，温度、湿度、压力，以及生产工况等，合理选择治理技术。鼓励企业采用多种技术的组合工艺，提高VOCs治理效率。</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r>
                    <w:rPr>
                      <w:rFonts w:hint="eastAsia" w:cs="Times New Roman"/>
                      <w:color w:val="auto"/>
                      <w:sz w:val="21"/>
                      <w:szCs w:val="21"/>
                      <w:lang w:val="en-US" w:eastAsia="zh-CN"/>
                    </w:rPr>
                    <w:t>加热熔化</w:t>
                  </w:r>
                  <w:r>
                    <w:rPr>
                      <w:rFonts w:hint="eastAsia" w:ascii="Times New Roman" w:hAnsi="Times New Roman" w:eastAsia="宋体" w:cs="Times New Roman"/>
                      <w:color w:val="auto"/>
                      <w:sz w:val="21"/>
                      <w:szCs w:val="21"/>
                      <w:lang w:val="en-US" w:eastAsia="zh-CN"/>
                    </w:rPr>
                    <w:t>过程产生的</w:t>
                  </w:r>
                  <w:r>
                    <w:rPr>
                      <w:rFonts w:hint="default" w:ascii="Times New Roman" w:hAnsi="Times New Roman" w:eastAsia="宋体" w:cs="Times New Roman"/>
                      <w:color w:val="auto"/>
                      <w:sz w:val="21"/>
                      <w:szCs w:val="21"/>
                      <w:lang w:val="en-US" w:eastAsia="zh-CN"/>
                    </w:rPr>
                    <w:t>废气</w:t>
                  </w:r>
                  <w:r>
                    <w:rPr>
                      <w:rFonts w:hint="default" w:ascii="Times New Roman" w:hAnsi="Times New Roman" w:cs="Times New Roman"/>
                      <w:color w:val="000000"/>
                      <w:kern w:val="0"/>
                      <w:sz w:val="21"/>
                      <w:szCs w:val="21"/>
                      <w:lang w:val="en-US" w:eastAsia="zh-CN" w:bidi="ar"/>
                    </w:rPr>
                    <w:t>经集气罩收集，</w:t>
                  </w:r>
                  <w:r>
                    <w:rPr>
                      <w:rFonts w:hint="eastAsia" w:cs="Times New Roman"/>
                      <w:color w:val="000000"/>
                      <w:kern w:val="0"/>
                      <w:sz w:val="21"/>
                      <w:szCs w:val="21"/>
                      <w:lang w:val="en-US" w:eastAsia="zh-CN" w:bidi="ar"/>
                    </w:rPr>
                    <w:t>通过喷淋塔降温后由二级活性炭吸附装置处理</w:t>
                  </w:r>
                  <w:r>
                    <w:rPr>
                      <w:rFonts w:hint="default" w:ascii="Times New Roman" w:hAnsi="Times New Roman" w:cs="Times New Roman"/>
                      <w:color w:val="000000"/>
                      <w:kern w:val="0"/>
                      <w:sz w:val="21"/>
                      <w:szCs w:val="21"/>
                      <w:lang w:val="en-US" w:eastAsia="zh-CN" w:bidi="ar"/>
                    </w:rPr>
                    <w:t>达标</w:t>
                  </w:r>
                  <w:r>
                    <w:rPr>
                      <w:rFonts w:hint="default" w:ascii="Times New Roman" w:hAnsi="Times New Roman" w:eastAsia="宋体" w:cs="Times New Roman"/>
                      <w:color w:val="000000"/>
                      <w:kern w:val="0"/>
                      <w:sz w:val="21"/>
                      <w:szCs w:val="21"/>
                      <w:lang w:val="en-US" w:eastAsia="zh-CN" w:bidi="ar"/>
                    </w:rPr>
                    <w:t>后通过15m高排气筒</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DA001</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排放</w:t>
                  </w:r>
                </w:p>
              </w:tc>
              <w:tc>
                <w:tcPr>
                  <w:tcW w:w="4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5"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规范工程设计。采用吸附处理工艺的，应满足《吸附法工业有机废气治理工程技术规范》要求。</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r>
                    <w:rPr>
                      <w:rFonts w:hint="eastAsia" w:ascii="Times New Roman" w:hAnsi="Times New Roman" w:eastAsia="宋体" w:cs="Times New Roman"/>
                      <w:color w:val="auto"/>
                      <w:sz w:val="21"/>
                      <w:szCs w:val="21"/>
                      <w:lang w:val="en-US" w:eastAsia="zh-CN"/>
                    </w:rPr>
                    <w:t>废气治理按照</w:t>
                  </w:r>
                  <w:r>
                    <w:rPr>
                      <w:rFonts w:hint="default" w:ascii="Times New Roman" w:hAnsi="Times New Roman" w:eastAsia="宋体" w:cs="Times New Roman"/>
                      <w:color w:val="auto"/>
                      <w:sz w:val="21"/>
                      <w:szCs w:val="21"/>
                      <w:lang w:val="en-US" w:eastAsia="zh-CN"/>
                    </w:rPr>
                    <w:t>《吸附法工业有机废气治理工程技术规范》要求</w:t>
                  </w:r>
                  <w:r>
                    <w:rPr>
                      <w:rFonts w:hint="eastAsia" w:ascii="Times New Roman" w:hAnsi="Times New Roman" w:eastAsia="宋体" w:cs="Times New Roman"/>
                      <w:color w:val="auto"/>
                      <w:sz w:val="21"/>
                      <w:szCs w:val="21"/>
                      <w:lang w:val="en-US" w:eastAsia="zh-CN"/>
                    </w:rPr>
                    <w:t>进行设计实施</w:t>
                  </w:r>
                </w:p>
              </w:tc>
              <w:tc>
                <w:tcPr>
                  <w:tcW w:w="4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5"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r>
                    <w:rPr>
                      <w:rFonts w:hint="eastAsia" w:cs="Times New Roman"/>
                      <w:color w:val="auto"/>
                      <w:sz w:val="21"/>
                      <w:szCs w:val="21"/>
                      <w:lang w:val="en-US" w:eastAsia="zh-CN"/>
                    </w:rPr>
                    <w:t>加热熔化</w:t>
                  </w:r>
                  <w:r>
                    <w:rPr>
                      <w:rFonts w:hint="eastAsia" w:ascii="Times New Roman" w:hAnsi="Times New Roman" w:eastAsia="宋体" w:cs="Times New Roman"/>
                      <w:color w:val="auto"/>
                      <w:sz w:val="21"/>
                      <w:szCs w:val="21"/>
                      <w:lang w:val="en-US" w:eastAsia="zh-CN"/>
                    </w:rPr>
                    <w:t>过程产生的</w:t>
                  </w:r>
                  <w:r>
                    <w:rPr>
                      <w:rFonts w:hint="default" w:ascii="Times New Roman" w:hAnsi="Times New Roman" w:eastAsia="宋体" w:cs="Times New Roman"/>
                      <w:color w:val="auto"/>
                      <w:sz w:val="21"/>
                      <w:szCs w:val="21"/>
                      <w:lang w:val="en-US" w:eastAsia="zh-CN"/>
                    </w:rPr>
                    <w:t>废气</w:t>
                  </w:r>
                  <w:r>
                    <w:rPr>
                      <w:rFonts w:hint="default" w:ascii="Times New Roman" w:hAnsi="Times New Roman" w:cs="Times New Roman"/>
                      <w:color w:val="000000"/>
                      <w:kern w:val="0"/>
                      <w:sz w:val="21"/>
                      <w:szCs w:val="21"/>
                      <w:lang w:val="en-US" w:eastAsia="zh-CN" w:bidi="ar"/>
                    </w:rPr>
                    <w:t>经集气罩收集，</w:t>
                  </w:r>
                  <w:r>
                    <w:rPr>
                      <w:rFonts w:hint="eastAsia" w:cs="Times New Roman"/>
                      <w:color w:val="000000"/>
                      <w:kern w:val="0"/>
                      <w:sz w:val="21"/>
                      <w:szCs w:val="21"/>
                      <w:lang w:val="en-US" w:eastAsia="zh-CN" w:bidi="ar"/>
                    </w:rPr>
                    <w:t>通过喷淋塔降温后由二级活性炭吸附装置处理</w:t>
                  </w:r>
                  <w:r>
                    <w:rPr>
                      <w:rFonts w:hint="default" w:ascii="Times New Roman" w:hAnsi="Times New Roman" w:cs="Times New Roman"/>
                      <w:color w:val="000000"/>
                      <w:kern w:val="0"/>
                      <w:sz w:val="21"/>
                      <w:szCs w:val="21"/>
                      <w:lang w:val="en-US" w:eastAsia="zh-CN" w:bidi="ar"/>
                    </w:rPr>
                    <w:t>达标</w:t>
                  </w:r>
                  <w:r>
                    <w:rPr>
                      <w:rFonts w:hint="default" w:ascii="Times New Roman" w:hAnsi="Times New Roman" w:eastAsia="宋体" w:cs="Times New Roman"/>
                      <w:color w:val="000000"/>
                      <w:kern w:val="0"/>
                      <w:sz w:val="21"/>
                      <w:szCs w:val="21"/>
                      <w:lang w:val="en-US" w:eastAsia="zh-CN" w:bidi="ar"/>
                    </w:rPr>
                    <w:t>后通过15m高排气筒</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DA001</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排放</w:t>
                  </w:r>
                  <w:r>
                    <w:rPr>
                      <w:rFonts w:hint="eastAsia" w:ascii="Times New Roman" w:hAnsi="Times New Roman" w:eastAsia="宋体" w:cs="Times New Roman"/>
                      <w:color w:val="auto"/>
                      <w:sz w:val="21"/>
                      <w:szCs w:val="21"/>
                      <w:lang w:val="en-US" w:eastAsia="zh-CN"/>
                    </w:rPr>
                    <w:t>；废气收集效率90%，</w:t>
                  </w:r>
                  <w:r>
                    <w:rPr>
                      <w:rFonts w:hint="default" w:ascii="Times New Roman" w:hAnsi="Times New Roman" w:eastAsia="宋体" w:cs="Times New Roman"/>
                      <w:color w:val="auto"/>
                      <w:sz w:val="21"/>
                      <w:szCs w:val="21"/>
                      <w:lang w:val="en-US" w:eastAsia="zh-CN"/>
                    </w:rPr>
                    <w:t>处理效率为90%</w:t>
                  </w:r>
                  <w:r>
                    <w:rPr>
                      <w:rFonts w:hint="eastAsia" w:ascii="Times New Roman" w:hAnsi="Times New Roman" w:eastAsia="宋体" w:cs="Times New Roman"/>
                      <w:color w:val="auto"/>
                      <w:sz w:val="21"/>
                      <w:szCs w:val="21"/>
                      <w:lang w:val="en-US" w:eastAsia="zh-CN"/>
                    </w:rPr>
                    <w:t>。</w:t>
                  </w:r>
                </w:p>
              </w:tc>
              <w:tc>
                <w:tcPr>
                  <w:tcW w:w="4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5"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tc>
              <w:tc>
                <w:tcPr>
                  <w:tcW w:w="1677"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项目不涉及涂料、稀释剂、清洗剂等</w:t>
                  </w:r>
                  <w:r>
                    <w:rPr>
                      <w:rFonts w:hint="default" w:ascii="Times New Roman" w:hAnsi="Times New Roman" w:eastAsia="宋体" w:cs="Times New Roman"/>
                      <w:color w:val="auto"/>
                      <w:sz w:val="21"/>
                      <w:szCs w:val="21"/>
                      <w:lang w:val="en-US" w:eastAsia="zh-CN"/>
                    </w:rPr>
                    <w:t>原辅材料</w:t>
                  </w:r>
                  <w:r>
                    <w:rPr>
                      <w:rFonts w:hint="eastAsia" w:ascii="Times New Roman" w:hAnsi="Times New Roman" w:eastAsia="宋体" w:cs="Times New Roman"/>
                      <w:color w:val="auto"/>
                      <w:sz w:val="21"/>
                      <w:szCs w:val="21"/>
                      <w:lang w:val="en-US" w:eastAsia="zh-CN"/>
                    </w:rPr>
                    <w:t>的使用。</w:t>
                  </w:r>
                </w:p>
              </w:tc>
              <w:tc>
                <w:tcPr>
                  <w:tcW w:w="4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Times New Roman"/>
                <w:b/>
                <w:bCs/>
                <w:color w:val="auto"/>
                <w:kern w:val="0"/>
                <w:sz w:val="24"/>
                <w:szCs w:val="24"/>
                <w:highlight w:val="none"/>
                <w:lang w:val="en-US" w:eastAsia="zh-CN" w:bidi="ar-SA"/>
              </w:rPr>
            </w:pPr>
            <w:r>
              <w:rPr>
                <w:rFonts w:hint="eastAsia" w:cs="Times New Roman"/>
                <w:b/>
                <w:bCs/>
                <w:color w:val="auto"/>
                <w:kern w:val="0"/>
                <w:sz w:val="24"/>
                <w:szCs w:val="24"/>
                <w:highlight w:val="none"/>
                <w:lang w:val="en-US" w:eastAsia="zh-CN" w:bidi="ar-SA"/>
              </w:rPr>
              <w:t>8、</w:t>
            </w:r>
            <w:r>
              <w:rPr>
                <w:rFonts w:hint="default" w:ascii="Times New Roman" w:hAnsi="Times New Roman" w:eastAsia="宋体" w:cs="Times New Roman"/>
                <w:b/>
                <w:bCs/>
                <w:color w:val="auto"/>
                <w:kern w:val="0"/>
                <w:sz w:val="24"/>
                <w:szCs w:val="24"/>
                <w:highlight w:val="none"/>
                <w:lang w:val="en-US" w:eastAsia="zh-CN" w:bidi="ar-SA"/>
              </w:rPr>
              <w:t>与《安徽省大气办关于深入开展挥发性有机物污染治理工作的通知》（皖大气办[2021]4号）符合性分析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cs="Times New Roman"/>
                <w:b/>
                <w:color w:val="auto"/>
                <w:sz w:val="24"/>
                <w:szCs w:val="24"/>
                <w:lang w:eastAsia="zh-CN"/>
              </w:rPr>
            </w:pPr>
            <w:r>
              <w:rPr>
                <w:rFonts w:hint="default" w:ascii="Times New Roman" w:hAnsi="Times New Roman" w:cs="Times New Roman"/>
                <w:b/>
                <w:color w:val="auto"/>
                <w:sz w:val="24"/>
                <w:szCs w:val="24"/>
                <w:lang w:eastAsia="zh-CN"/>
              </w:rPr>
              <w:t>表1-</w:t>
            </w:r>
            <w:r>
              <w:rPr>
                <w:rFonts w:hint="eastAsia" w:cs="Times New Roman"/>
                <w:b/>
                <w:color w:val="auto"/>
                <w:sz w:val="24"/>
                <w:szCs w:val="24"/>
                <w:lang w:val="en-US" w:eastAsia="zh-CN"/>
              </w:rPr>
              <w:t>7</w:t>
            </w:r>
            <w:r>
              <w:rPr>
                <w:rFonts w:hint="default" w:ascii="Times New Roman" w:hAnsi="Times New Roman" w:cs="Times New Roman"/>
                <w:b/>
                <w:color w:val="auto"/>
                <w:sz w:val="24"/>
                <w:szCs w:val="24"/>
                <w:lang w:eastAsia="zh-CN"/>
              </w:rPr>
              <w:t>与《安徽省大气办关于深入开展挥发性有机物污染治理工作的通知》（皖大气办[2021]4号）符合性分析</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9"/>
              <w:gridCol w:w="3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9" w:type="pct"/>
                  <w:noWrap w:val="0"/>
                  <w:vAlign w:val="center"/>
                </w:tcPr>
                <w:p>
                  <w:pPr>
                    <w:pStyle w:val="40"/>
                    <w:keepNext w:val="0"/>
                    <w:keepLines w:val="0"/>
                    <w:pageBreakBefore w:val="0"/>
                    <w:widowControl w:val="0"/>
                    <w:kinsoku/>
                    <w:wordWrap/>
                    <w:overflowPunct/>
                    <w:topLinePunct w:val="0"/>
                    <w:autoSpaceDE/>
                    <w:autoSpaceDN/>
                    <w:bidi w:val="0"/>
                    <w:adjustRightInd/>
                    <w:snapToGrid/>
                    <w:spacing w:after="0" w:afterLines="0" w:line="240" w:lineRule="exact"/>
                    <w:ind w:left="0" w:leftChars="0" w:firstLine="0" w:firstLineChars="0"/>
                    <w:jc w:val="both"/>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《安徽省大气办关于深入开展挥发性有机物污染治理工作的通知》相关要求</w:t>
                  </w:r>
                </w:p>
              </w:tc>
              <w:tc>
                <w:tcPr>
                  <w:tcW w:w="2380" w:type="pct"/>
                  <w:noWrap w:val="0"/>
                  <w:vAlign w:val="center"/>
                </w:tcPr>
                <w:p>
                  <w:pPr>
                    <w:pStyle w:val="40"/>
                    <w:keepNext w:val="0"/>
                    <w:keepLines w:val="0"/>
                    <w:pageBreakBefore w:val="0"/>
                    <w:widowControl w:val="0"/>
                    <w:kinsoku/>
                    <w:wordWrap/>
                    <w:overflowPunct/>
                    <w:topLinePunct w:val="0"/>
                    <w:autoSpaceDE/>
                    <w:autoSpaceDN/>
                    <w:bidi w:val="0"/>
                    <w:adjustRightInd/>
                    <w:snapToGrid/>
                    <w:spacing w:after="0" w:afterLines="0" w:line="240" w:lineRule="exact"/>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9" w:type="pct"/>
                  <w:noWrap w:val="0"/>
                  <w:vAlign w:val="center"/>
                </w:tcPr>
                <w:p>
                  <w:pPr>
                    <w:pStyle w:val="40"/>
                    <w:keepNext w:val="0"/>
                    <w:keepLines w:val="0"/>
                    <w:pageBreakBefore w:val="0"/>
                    <w:widowControl w:val="0"/>
                    <w:kinsoku/>
                    <w:wordWrap/>
                    <w:overflowPunct/>
                    <w:topLinePunct w:val="0"/>
                    <w:autoSpaceDE/>
                    <w:autoSpaceDN/>
                    <w:bidi w:val="0"/>
                    <w:adjustRightInd/>
                    <w:snapToGrid/>
                    <w:spacing w:after="0" w:afterLines="0" w:line="240" w:lineRule="exact"/>
                    <w:ind w:left="0" w:leftChars="0" w:firstLine="0" w:firstLineChars="0"/>
                    <w:jc w:val="both"/>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坚持精准施治。</w:t>
                  </w:r>
                </w:p>
                <w:p>
                  <w:pPr>
                    <w:pStyle w:val="40"/>
                    <w:keepNext w:val="0"/>
                    <w:keepLines w:val="0"/>
                    <w:pageBreakBefore w:val="0"/>
                    <w:widowControl w:val="0"/>
                    <w:kinsoku/>
                    <w:wordWrap/>
                    <w:overflowPunct/>
                    <w:topLinePunct w:val="0"/>
                    <w:autoSpaceDE/>
                    <w:autoSpaceDN/>
                    <w:bidi w:val="0"/>
                    <w:adjustRightInd/>
                    <w:snapToGrid/>
                    <w:spacing w:after="0" w:afterLines="0" w:line="240" w:lineRule="exact"/>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落实源头削减、过程控制、末端治理以及大气特别排放限值等全过程管控要求，深挖减排潜力。</w:t>
                  </w:r>
                </w:p>
              </w:tc>
              <w:tc>
                <w:tcPr>
                  <w:tcW w:w="2380" w:type="pct"/>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0" w:afterLines="0" w:line="26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项目生产过程产生的废气</w:t>
                  </w:r>
                  <w:r>
                    <w:rPr>
                      <w:rFonts w:hint="default" w:ascii="Times New Roman" w:hAnsi="Times New Roman" w:cs="Times New Roman"/>
                      <w:color w:val="000000"/>
                      <w:kern w:val="0"/>
                      <w:sz w:val="21"/>
                      <w:szCs w:val="21"/>
                      <w:lang w:val="en-US" w:eastAsia="zh-CN" w:bidi="ar"/>
                    </w:rPr>
                    <w:t>经集气罩收集，</w:t>
                  </w:r>
                  <w:r>
                    <w:rPr>
                      <w:rFonts w:hint="eastAsia" w:ascii="Times New Roman" w:cs="Times New Roman"/>
                      <w:color w:val="000000"/>
                      <w:kern w:val="0"/>
                      <w:sz w:val="21"/>
                      <w:szCs w:val="21"/>
                      <w:lang w:val="en-US" w:eastAsia="zh-CN" w:bidi="ar"/>
                    </w:rPr>
                    <w:t>通过喷淋塔降温后由二级活性炭吸附装置处理</w:t>
                  </w:r>
                  <w:r>
                    <w:rPr>
                      <w:rFonts w:hint="default" w:ascii="Times New Roman" w:hAnsi="Times New Roman" w:cs="Times New Roman"/>
                      <w:color w:val="000000"/>
                      <w:kern w:val="0"/>
                      <w:sz w:val="21"/>
                      <w:szCs w:val="21"/>
                      <w:lang w:val="en-US" w:eastAsia="zh-CN" w:bidi="ar"/>
                    </w:rPr>
                    <w:t>达标</w:t>
                  </w:r>
                  <w:r>
                    <w:rPr>
                      <w:rFonts w:hint="default" w:ascii="Times New Roman" w:hAnsi="Times New Roman" w:eastAsia="宋体" w:cs="Times New Roman"/>
                      <w:color w:val="000000"/>
                      <w:kern w:val="0"/>
                      <w:sz w:val="21"/>
                      <w:szCs w:val="21"/>
                      <w:lang w:val="en-US" w:eastAsia="zh-CN" w:bidi="ar"/>
                    </w:rPr>
                    <w:t>后通过15m高排气筒</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DA001</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sz w:val="21"/>
                      <w:szCs w:val="21"/>
                      <w:lang w:eastAsia="zh-CN"/>
                    </w:rPr>
                    <w:t>非甲烷总烃有组织排放执行《固定源挥发性有机物综合排放标准第6部分：其他行业》(DB34_4812.6-2024)表1中挥发性有机物基本污染物项目排放限值，</w:t>
                  </w:r>
                  <w:r>
                    <w:rPr>
                      <w:rFonts w:hint="default" w:ascii="Times New Roman" w:hAnsi="Times New Roman" w:cs="Times New Roman"/>
                      <w:sz w:val="21"/>
                      <w:szCs w:val="21"/>
                      <w:lang w:val="en-US" w:eastAsia="zh-CN"/>
                    </w:rPr>
                    <w:t>厂界非甲烷总烃排放执行《合成树脂工业污染物排放标准》(GB31572-2015）表9中企业边界大气污染物浓度限值，厂区内非甲烷总烃无组织排放执行《固定源挥发性有机物综合排放标准第6部分：其他行业》(DB 34_4812.6-2024）表4厂区内VOCs无组织排放限值要求。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jc w:val="center"/>
              </w:trPr>
              <w:tc>
                <w:tcPr>
                  <w:tcW w:w="2619" w:type="pct"/>
                  <w:noWrap w:val="0"/>
                  <w:vAlign w:val="center"/>
                </w:tcPr>
                <w:p>
                  <w:pPr>
                    <w:pStyle w:val="40"/>
                    <w:keepNext w:val="0"/>
                    <w:keepLines w:val="0"/>
                    <w:pageBreakBefore w:val="0"/>
                    <w:widowControl w:val="0"/>
                    <w:kinsoku/>
                    <w:wordWrap/>
                    <w:overflowPunct/>
                    <w:topLinePunct w:val="0"/>
                    <w:autoSpaceDE/>
                    <w:autoSpaceDN/>
                    <w:bidi w:val="0"/>
                    <w:adjustRightInd/>
                    <w:snapToGrid/>
                    <w:spacing w:after="0" w:afterLines="0" w:line="240" w:lineRule="exact"/>
                    <w:ind w:left="0" w:leftChars="0" w:firstLine="0" w:firstLineChars="0"/>
                    <w:jc w:val="both"/>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重点推进源头削减。</w:t>
                  </w:r>
                </w:p>
                <w:p>
                  <w:pPr>
                    <w:pStyle w:val="40"/>
                    <w:keepNext w:val="0"/>
                    <w:keepLines w:val="0"/>
                    <w:pageBreakBefore w:val="0"/>
                    <w:widowControl w:val="0"/>
                    <w:kinsoku/>
                    <w:wordWrap/>
                    <w:overflowPunct/>
                    <w:topLinePunct w:val="0"/>
                    <w:autoSpaceDE/>
                    <w:autoSpaceDN/>
                    <w:bidi w:val="0"/>
                    <w:adjustRightInd/>
                    <w:snapToGrid/>
                    <w:spacing w:after="0" w:afterLines="0" w:line="240" w:lineRule="exact"/>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鼓励支持使用涂料、油墨、胶粘剂、涂层剂</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树脂</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、清洗剂等原辅材料的企业，进行低VOCs含量原辅材料的源头替代，7月1日前各地指导企业建立管理台账，记录VOCs原辅材料的产品名称、VOCs含量和使用量等。</w:t>
                  </w:r>
                </w:p>
              </w:tc>
              <w:tc>
                <w:tcPr>
                  <w:tcW w:w="2380" w:type="pct"/>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0" w:afterLines="0" w:line="260" w:lineRule="exact"/>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vertAlign w:val="baseline"/>
                      <w:lang w:val="en-US" w:eastAsia="zh-CN"/>
                    </w:rPr>
                    <w:t>项目运营期间不使用含</w:t>
                  </w:r>
                  <w:r>
                    <w:rPr>
                      <w:rFonts w:hint="default" w:ascii="Times New Roman" w:hAnsi="Times New Roman" w:eastAsia="宋体" w:cs="Times New Roman"/>
                      <w:color w:val="auto"/>
                      <w:sz w:val="21"/>
                      <w:szCs w:val="21"/>
                      <w:highlight w:val="none"/>
                      <w:lang w:val="en-US" w:eastAsia="zh-CN"/>
                    </w:rPr>
                    <w:t>VOCs</w:t>
                  </w:r>
                  <w:r>
                    <w:rPr>
                      <w:rFonts w:hint="eastAsia"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lang w:val="en-US" w:eastAsia="zh-CN"/>
                    </w:rPr>
                    <w:t>涂料、油墨、胶粘剂</w:t>
                  </w:r>
                  <w:r>
                    <w:rPr>
                      <w:rFonts w:hint="eastAsia" w:ascii="Times New Roman" w:hAnsi="Times New Roman" w:eastAsia="宋体" w:cs="Times New Roman"/>
                      <w:color w:val="auto"/>
                      <w:sz w:val="21"/>
                      <w:szCs w:val="21"/>
                      <w:highlight w:val="none"/>
                      <w:lang w:val="en-US" w:eastAsia="zh-CN"/>
                    </w:rPr>
                    <w:t>等辅料</w:t>
                  </w:r>
                  <w:r>
                    <w:rPr>
                      <w:rFonts w:hint="eastAsia" w:ascii="Times New Roman" w:hAnsi="Times New Roman" w:eastAsia="宋体" w:cs="Times New Roman"/>
                      <w:color w:val="auto"/>
                      <w:kern w:val="0"/>
                      <w:sz w:val="21"/>
                      <w:szCs w:val="21"/>
                      <w:vertAlign w:val="baseline"/>
                      <w:lang w:val="en-US" w:eastAsia="zh-CN"/>
                    </w:rPr>
                    <w:t>。项目产生的废气</w:t>
                  </w:r>
                  <w:r>
                    <w:rPr>
                      <w:rFonts w:hint="default" w:ascii="Times New Roman" w:hAnsi="Times New Roman" w:cs="Times New Roman"/>
                      <w:color w:val="000000"/>
                      <w:kern w:val="0"/>
                      <w:sz w:val="21"/>
                      <w:szCs w:val="21"/>
                      <w:lang w:val="en-US" w:eastAsia="zh-CN" w:bidi="ar"/>
                    </w:rPr>
                    <w:t>经集气罩收集，</w:t>
                  </w:r>
                  <w:r>
                    <w:rPr>
                      <w:rFonts w:hint="eastAsia" w:ascii="Times New Roman" w:cs="Times New Roman"/>
                      <w:color w:val="000000"/>
                      <w:kern w:val="0"/>
                      <w:sz w:val="21"/>
                      <w:szCs w:val="21"/>
                      <w:lang w:val="en-US" w:eastAsia="zh-CN" w:bidi="ar"/>
                    </w:rPr>
                    <w:t>通过喷淋塔降温后由二级活性炭吸附装置处理</w:t>
                  </w:r>
                  <w:r>
                    <w:rPr>
                      <w:rFonts w:hint="default" w:ascii="Times New Roman" w:hAnsi="Times New Roman" w:cs="Times New Roman"/>
                      <w:color w:val="000000"/>
                      <w:kern w:val="0"/>
                      <w:sz w:val="21"/>
                      <w:szCs w:val="21"/>
                      <w:lang w:val="en-US" w:eastAsia="zh-CN" w:bidi="ar"/>
                    </w:rPr>
                    <w:t>达标</w:t>
                  </w:r>
                  <w:r>
                    <w:rPr>
                      <w:rFonts w:hint="default" w:ascii="Times New Roman" w:hAnsi="Times New Roman" w:eastAsia="宋体" w:cs="Times New Roman"/>
                      <w:color w:val="000000"/>
                      <w:kern w:val="0"/>
                      <w:sz w:val="21"/>
                      <w:szCs w:val="21"/>
                      <w:lang w:val="en-US" w:eastAsia="zh-CN" w:bidi="ar"/>
                    </w:rPr>
                    <w:t>后通过15m高排气筒</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DA001</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排放</w:t>
                  </w:r>
                  <w:r>
                    <w:rPr>
                      <w:rFonts w:hint="eastAsia" w:ascii="Times New Roman" w:hAnsi="Times New Roman" w:eastAsia="宋体" w:cs="Times New Roman"/>
                      <w:color w:val="auto"/>
                      <w:kern w:val="0"/>
                      <w:sz w:val="21"/>
                      <w:szCs w:val="21"/>
                      <w:vertAlign w:val="baseline"/>
                      <w:lang w:val="en-US" w:eastAsia="zh-CN"/>
                    </w:rPr>
                    <w:t>，对大气环境造成影响较小。</w:t>
                  </w:r>
                  <w:r>
                    <w:rPr>
                      <w:rFonts w:hint="default" w:ascii="Times New Roman" w:hAnsi="Times New Roman" w:eastAsia="宋体" w:cs="Times New Roman"/>
                      <w:color w:val="auto"/>
                      <w:sz w:val="21"/>
                      <w:szCs w:val="21"/>
                      <w:highlight w:val="none"/>
                      <w:lang w:val="en-US" w:eastAsia="zh-CN"/>
                    </w:rPr>
                    <w:t>企业设置环保人员，做好生产设备及污染治理设施运行台账，危险废物的记录和货单在危险废物取回后应继续保留3年，转移联单保留不少于5年。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9" w:type="pct"/>
                  <w:noWrap w:val="0"/>
                  <w:vAlign w:val="center"/>
                </w:tcPr>
                <w:p>
                  <w:pPr>
                    <w:pStyle w:val="40"/>
                    <w:keepNext w:val="0"/>
                    <w:keepLines w:val="0"/>
                    <w:pageBreakBefore w:val="0"/>
                    <w:widowControl w:val="0"/>
                    <w:kinsoku/>
                    <w:wordWrap/>
                    <w:overflowPunct/>
                    <w:topLinePunct w:val="0"/>
                    <w:autoSpaceDE/>
                    <w:autoSpaceDN/>
                    <w:bidi w:val="0"/>
                    <w:adjustRightInd/>
                    <w:snapToGrid/>
                    <w:spacing w:after="0" w:afterLines="0" w:line="240" w:lineRule="exact"/>
                    <w:ind w:left="0" w:leftChars="0" w:firstLine="0" w:firstLineChars="0"/>
                    <w:jc w:val="both"/>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实施排污许可。</w:t>
                  </w:r>
                </w:p>
                <w:p>
                  <w:pPr>
                    <w:pStyle w:val="40"/>
                    <w:keepNext w:val="0"/>
                    <w:keepLines w:val="0"/>
                    <w:pageBreakBefore w:val="0"/>
                    <w:widowControl w:val="0"/>
                    <w:kinsoku/>
                    <w:wordWrap/>
                    <w:overflowPunct/>
                    <w:topLinePunct w:val="0"/>
                    <w:autoSpaceDE/>
                    <w:autoSpaceDN/>
                    <w:bidi w:val="0"/>
                    <w:adjustRightInd/>
                    <w:snapToGrid/>
                    <w:spacing w:after="0" w:afterLines="0" w:line="240" w:lineRule="exact"/>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立健全以排污许可核发为中心的VOCs管控依据，在石油、化工、工业涂装、包装印刷、油品储运销五大领域全面推行排污许可制度，不断规范涉VOCs工业企业的排污许可登记管理，落实企业VOCs源头削减、过程控制和末端污染治理工作，推进企业自行监测、台账落实和定期报告的具体规定落地，严厉处罚无证和不按证排污行为。</w:t>
                  </w:r>
                </w:p>
              </w:tc>
              <w:tc>
                <w:tcPr>
                  <w:tcW w:w="2380" w:type="pct"/>
                  <w:noWrap w:val="0"/>
                  <w:vAlign w:val="center"/>
                </w:tcPr>
                <w:p>
                  <w:pPr>
                    <w:pStyle w:val="40"/>
                    <w:keepNext w:val="0"/>
                    <w:keepLines w:val="0"/>
                    <w:pageBreakBefore w:val="0"/>
                    <w:widowControl w:val="0"/>
                    <w:kinsoku/>
                    <w:wordWrap/>
                    <w:overflowPunct/>
                    <w:topLinePunct w:val="0"/>
                    <w:autoSpaceDE/>
                    <w:autoSpaceDN/>
                    <w:bidi w:val="0"/>
                    <w:adjustRightInd/>
                    <w:snapToGrid/>
                    <w:spacing w:after="0" w:afterLines="0" w:line="240" w:lineRule="exact"/>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根据</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固定污染源排污许可分类管理名录</w:t>
                  </w:r>
                  <w:r>
                    <w:rPr>
                      <w:rFonts w:hint="default" w:ascii="Times New Roman" w:hAnsi="Times New Roman" w:eastAsia="宋体" w:cs="Times New Roman"/>
                      <w:color w:val="auto"/>
                      <w:sz w:val="21"/>
                      <w:szCs w:val="21"/>
                      <w:highlight w:val="none"/>
                    </w:rPr>
                    <w:t>》（2019年版）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本项目属于</w:t>
                  </w:r>
                  <w:r>
                    <w:rPr>
                      <w:rFonts w:hint="eastAsia" w:ascii="Times New Roman" w:cs="Times New Roman"/>
                      <w:color w:val="auto"/>
                      <w:sz w:val="21"/>
                      <w:szCs w:val="21"/>
                      <w:highlight w:val="none"/>
                      <w:lang w:val="en-US" w:eastAsia="zh-CN"/>
                    </w:rPr>
                    <w:t>简化</w:t>
                  </w:r>
                  <w:r>
                    <w:rPr>
                      <w:rFonts w:hint="eastAsia" w:ascii="Times New Roman" w:hAnsi="Times New Roman" w:eastAsia="宋体" w:cs="Times New Roman"/>
                      <w:color w:val="auto"/>
                      <w:sz w:val="21"/>
                      <w:szCs w:val="21"/>
                      <w:highlight w:val="none"/>
                      <w:lang w:val="en-US" w:eastAsia="zh-CN"/>
                    </w:rPr>
                    <w:t>管理</w:t>
                  </w:r>
                  <w:r>
                    <w:rPr>
                      <w:rFonts w:hint="eastAsia" w:asci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项目按照要求</w:t>
                  </w:r>
                  <w:r>
                    <w:rPr>
                      <w:rFonts w:hint="eastAsia" w:ascii="Times New Roman" w:hAnsi="Times New Roman" w:eastAsia="宋体" w:cs="Times New Roman"/>
                      <w:color w:val="auto"/>
                      <w:sz w:val="21"/>
                      <w:szCs w:val="21"/>
                      <w:highlight w:val="none"/>
                      <w:lang w:val="en-US" w:eastAsia="zh-CN"/>
                    </w:rPr>
                    <w:t>申领排污许可证</w:t>
                  </w:r>
                  <w:r>
                    <w:rPr>
                      <w:rFonts w:hint="default" w:ascii="Times New Roman" w:hAnsi="Times New Roman" w:eastAsia="宋体" w:cs="Times New Roman"/>
                      <w:color w:val="auto"/>
                      <w:sz w:val="21"/>
                      <w:szCs w:val="21"/>
                      <w:highlight w:val="none"/>
                      <w:lang w:val="en-US" w:eastAsia="zh-CN"/>
                    </w:rPr>
                    <w:t>。</w:t>
                  </w:r>
                </w:p>
              </w:tc>
            </w:tr>
          </w:tbl>
          <w:p>
            <w:pPr>
              <w:keepNext w:val="0"/>
              <w:keepLines w:val="0"/>
              <w:pageBreakBefore w:val="0"/>
              <w:widowControl w:val="0"/>
              <w:kinsoku/>
              <w:wordWrap/>
              <w:overflowPunct/>
              <w:topLinePunct w:val="0"/>
              <w:autoSpaceDE w:val="0"/>
              <w:autoSpaceDN w:val="0"/>
              <w:bidi w:val="0"/>
              <w:adjustRightInd/>
              <w:snapToGrid/>
              <w:spacing w:before="157" w:beforeLines="50" w:after="157" w:afterLines="50" w:line="360" w:lineRule="auto"/>
              <w:ind w:right="0"/>
              <w:jc w:val="left"/>
              <w:textAlignment w:val="auto"/>
              <w:outlineLvl w:val="3"/>
              <w:rPr>
                <w:rFonts w:hint="default" w:ascii="Times New Roman" w:hAnsi="Times New Roman" w:cs="Times New Roman"/>
                <w:b/>
                <w:bCs/>
                <w:color w:val="auto"/>
                <w:kern w:val="0"/>
                <w:sz w:val="24"/>
                <w:szCs w:val="28"/>
                <w:highlight w:val="none"/>
                <w:lang w:val="en-US" w:eastAsia="zh-CN" w:bidi="ar-SA"/>
              </w:rPr>
            </w:pPr>
            <w:r>
              <w:rPr>
                <w:rFonts w:hint="eastAsia" w:cs="Times New Roman"/>
                <w:b/>
                <w:bCs/>
                <w:color w:val="auto"/>
                <w:kern w:val="0"/>
                <w:sz w:val="24"/>
                <w:szCs w:val="28"/>
                <w:highlight w:val="none"/>
                <w:lang w:val="en-US" w:eastAsia="zh-CN" w:bidi="ar-SA"/>
              </w:rPr>
              <w:t>9、</w:t>
            </w:r>
            <w:r>
              <w:rPr>
                <w:rFonts w:hint="default" w:ascii="Times New Roman" w:hAnsi="Times New Roman" w:cs="Times New Roman"/>
                <w:b/>
                <w:bCs/>
                <w:color w:val="auto"/>
                <w:kern w:val="0"/>
                <w:sz w:val="24"/>
                <w:szCs w:val="28"/>
                <w:highlight w:val="none"/>
                <w:lang w:val="en-US" w:eastAsia="zh-CN" w:bidi="ar-SA"/>
              </w:rPr>
              <w:t>与《安徽省低挥发性有机物含量原辅材料替代工作方案》（皖环发〔2024〕1号）符合性分析</w:t>
            </w:r>
          </w:p>
          <w:p>
            <w:pPr>
              <w:pStyle w:val="95"/>
              <w:ind w:firstLine="480"/>
              <w:rPr>
                <w:rFonts w:hint="default" w:ascii="Times New Roman" w:hAnsi="Times New Roman" w:eastAsia="宋体" w:cs="Times New Roman"/>
                <w:color w:val="auto"/>
                <w:highlight w:val="none"/>
                <w:lang w:val="en-US"/>
              </w:rPr>
            </w:pPr>
            <w:r>
              <w:rPr>
                <w:rFonts w:hint="default" w:ascii="Times New Roman" w:hAnsi="Times New Roman" w:cs="Times New Roman"/>
                <w:color w:val="auto"/>
                <w:sz w:val="24"/>
                <w:szCs w:val="24"/>
                <w:highlight w:val="none"/>
                <w:lang w:val="en-US" w:eastAsia="zh-CN"/>
              </w:rPr>
              <w:t>《安徽省低挥发性有机物含量原辅材料替代工作方案》（皖环发〔2024〕1号）符合性分析如下</w:t>
            </w:r>
            <w:r>
              <w:rPr>
                <w:rFonts w:hint="eastAsia" w:ascii="Times New Roman" w:hAnsi="Times New Roman" w:cs="Times New Roman"/>
                <w:color w:val="auto"/>
                <w:sz w:val="24"/>
                <w:szCs w:val="24"/>
                <w:highlight w:val="none"/>
                <w:lang w:val="en-US" w:eastAsia="zh-CN"/>
              </w:rPr>
              <w:t>：</w:t>
            </w:r>
          </w:p>
          <w:p>
            <w:pPr>
              <w:pStyle w:val="9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表1-</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本项目与《安徽省低挥发性有机物含量原辅材料替代工作方案》（皖环发〔2024〕1号）的符合性分析</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4041"/>
              <w:gridCol w:w="2098"/>
              <w:gridCol w:w="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tcBorders>
                    <w:top w:val="single" w:color="auto" w:sz="4" w:space="0"/>
                    <w:left w:val="single" w:color="auto" w:sz="4" w:space="0"/>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3738" w:type="dxa"/>
                  <w:tcBorders>
                    <w:top w:val="single" w:color="auto" w:sz="4" w:space="0"/>
                    <w:left w:val="nil"/>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政策要求</w:t>
                  </w:r>
                </w:p>
              </w:tc>
              <w:tc>
                <w:tcPr>
                  <w:tcW w:w="1941" w:type="dxa"/>
                  <w:tcBorders>
                    <w:top w:val="single" w:color="auto" w:sz="4" w:space="0"/>
                    <w:left w:val="nil"/>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本项目工程内容</w:t>
                  </w:r>
                </w:p>
              </w:tc>
              <w:tc>
                <w:tcPr>
                  <w:tcW w:w="390" w:type="dxa"/>
                  <w:tcBorders>
                    <w:top w:val="single" w:color="auto" w:sz="4" w:space="0"/>
                    <w:left w:val="nil"/>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495" w:type="dxa"/>
                  <w:gridSpan w:val="4"/>
                  <w:tcBorders>
                    <w:top w:val="single" w:color="auto" w:sz="4" w:space="0"/>
                    <w:left w:val="single" w:color="auto" w:sz="4" w:space="0"/>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替代要求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tcBorders>
                    <w:top w:val="single" w:color="auto" w:sz="4" w:space="0"/>
                    <w:left w:val="single" w:color="auto" w:sz="4" w:space="0"/>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1</w:t>
                  </w:r>
                </w:p>
              </w:tc>
              <w:tc>
                <w:tcPr>
                  <w:tcW w:w="3738" w:type="dxa"/>
                  <w:tcBorders>
                    <w:top w:val="single" w:color="auto" w:sz="4" w:space="0"/>
                    <w:left w:val="nil"/>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使用含VOCs原辅材料的企业应充分综合考虑经济、</w:t>
                  </w:r>
                  <w:r>
                    <w:rPr>
                      <w:rFonts w:hint="default" w:ascii="Times New Roman" w:hAnsi="Times New Roman" w:cs="Times New Roman"/>
                      <w:color w:val="auto"/>
                      <w:sz w:val="21"/>
                      <w:szCs w:val="21"/>
                      <w:highlight w:val="none"/>
                      <w:lang w:eastAsia="zh-CN"/>
                    </w:rPr>
                    <w:t>环境</w:t>
                  </w:r>
                  <w:r>
                    <w:rPr>
                      <w:rFonts w:hint="default" w:ascii="Times New Roman" w:hAnsi="Times New Roman" w:eastAsia="宋体" w:cs="Times New Roman"/>
                      <w:color w:val="auto"/>
                      <w:sz w:val="21"/>
                      <w:szCs w:val="21"/>
                      <w:highlight w:val="none"/>
                    </w:rPr>
                    <w:t>、技术可行性，确定合适的源头替代方法，优先选用VOCs含量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质量比</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低于10%的低VOCs含量原辅材料。低VOCs含量原辅材料应符合2.1规定的涂料2.2规定的油墨、2.3规定的胶粘剂、2.4规定的清洗剂进行替代，低VOCs含量原辅材料含量限值要求见附录A</w:t>
                  </w:r>
                  <w:r>
                    <w:rPr>
                      <w:rFonts w:hint="default" w:ascii="Times New Roman" w:hAnsi="Times New Roman" w:eastAsia="宋体" w:cs="Times New Roman"/>
                      <w:color w:val="auto"/>
                      <w:sz w:val="21"/>
                      <w:szCs w:val="21"/>
                      <w:highlight w:val="none"/>
                      <w:lang w:eastAsia="zh-CN"/>
                    </w:rPr>
                    <w:t>。</w:t>
                  </w:r>
                </w:p>
              </w:tc>
              <w:tc>
                <w:tcPr>
                  <w:tcW w:w="1941" w:type="dxa"/>
                  <w:tcBorders>
                    <w:top w:val="single" w:color="auto" w:sz="4" w:space="0"/>
                    <w:left w:val="nil"/>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default"/>
                      <w:color w:val="auto"/>
                      <w:sz w:val="21"/>
                      <w:szCs w:val="21"/>
                      <w:lang w:val="en-US" w:eastAsia="zh-CN"/>
                    </w:rPr>
                  </w:pPr>
                  <w:r>
                    <w:rPr>
                      <w:rFonts w:hint="eastAsia" w:ascii="Times New Roman" w:hAnsi="Times New Roman" w:eastAsia="宋体" w:cs="Times New Roman"/>
                      <w:color w:val="auto"/>
                      <w:sz w:val="21"/>
                      <w:szCs w:val="21"/>
                      <w:highlight w:val="none"/>
                      <w:lang w:eastAsia="zh-CN"/>
                    </w:rPr>
                    <w:t>项目不涉及使用涂料、油墨、胶粘剂等涉</w:t>
                  </w:r>
                  <w:r>
                    <w:rPr>
                      <w:rFonts w:hint="eastAsia" w:ascii="Times New Roman" w:hAnsi="Times New Roman" w:eastAsia="宋体" w:cs="Times New Roman"/>
                      <w:color w:val="auto"/>
                      <w:sz w:val="21"/>
                      <w:szCs w:val="21"/>
                      <w:highlight w:val="none"/>
                      <w:lang w:val="en-US" w:eastAsia="zh-CN"/>
                    </w:rPr>
                    <w:t>VOCs成分原辅材料。</w:t>
                  </w:r>
                </w:p>
              </w:tc>
              <w:tc>
                <w:tcPr>
                  <w:tcW w:w="390" w:type="dxa"/>
                  <w:tcBorders>
                    <w:top w:val="single" w:color="auto" w:sz="4" w:space="0"/>
                    <w:left w:val="nil"/>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5" w:type="dxa"/>
                  <w:gridSpan w:val="4"/>
                  <w:tcBorders>
                    <w:top w:val="single" w:color="auto" w:sz="4" w:space="0"/>
                    <w:left w:val="single" w:color="auto" w:sz="4" w:space="0"/>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环境管理要求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426" w:type="dxa"/>
                  <w:tcBorders>
                    <w:top w:val="single" w:color="auto" w:sz="4" w:space="0"/>
                    <w:left w:val="single" w:color="auto" w:sz="4" w:space="0"/>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2</w:t>
                  </w:r>
                </w:p>
              </w:tc>
              <w:tc>
                <w:tcPr>
                  <w:tcW w:w="3738" w:type="dxa"/>
                  <w:tcBorders>
                    <w:top w:val="single" w:color="auto" w:sz="4" w:space="0"/>
                    <w:left w:val="nil"/>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4.1使用低VOCs含量原辅材料，排放浓度稳定达标且排放速率满足相关规定的，相应生产工序可不要求建设VOCs末端治理设施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使用的原辅材料VOCs含量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质量比</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低于10%的工序，无组织排放浓度达标的，可不要求采取VOCs无组织排放收集措施。</w:t>
                  </w:r>
                </w:p>
              </w:tc>
              <w:tc>
                <w:tcPr>
                  <w:tcW w:w="1941" w:type="dxa"/>
                  <w:tcBorders>
                    <w:top w:val="single" w:color="auto" w:sz="4" w:space="0"/>
                    <w:left w:val="nil"/>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项目针对废气产生工段设有废气收集处理措施，废气经处理后可达标排放。</w:t>
                  </w:r>
                </w:p>
              </w:tc>
              <w:tc>
                <w:tcPr>
                  <w:tcW w:w="390" w:type="dxa"/>
                  <w:tcBorders>
                    <w:top w:val="single" w:color="auto" w:sz="4" w:space="0"/>
                    <w:left w:val="nil"/>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426" w:type="dxa"/>
                  <w:tcBorders>
                    <w:top w:val="single" w:color="auto" w:sz="4" w:space="0"/>
                    <w:left w:val="single" w:color="auto" w:sz="4" w:space="0"/>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3</w:t>
                  </w:r>
                </w:p>
              </w:tc>
              <w:tc>
                <w:tcPr>
                  <w:tcW w:w="3738" w:type="dxa"/>
                  <w:tcBorders>
                    <w:top w:val="single" w:color="auto" w:sz="4" w:space="0"/>
                    <w:left w:val="nil"/>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4.2企业应提供每一工序使用原辅材料的化学品安全技术说明书</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MSDS数据或检测报告</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，以及产品说明书等，按企业实际配比计算施工状态下的原辅材料VOCs含量</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质量比</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w:t>
                  </w:r>
                </w:p>
              </w:tc>
              <w:tc>
                <w:tcPr>
                  <w:tcW w:w="1941" w:type="dxa"/>
                  <w:tcBorders>
                    <w:top w:val="single" w:color="auto" w:sz="4" w:space="0"/>
                    <w:left w:val="nil"/>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项目不涉及使用涂料、油墨、胶粘剂等涉</w:t>
                  </w:r>
                  <w:r>
                    <w:rPr>
                      <w:rFonts w:hint="eastAsia" w:ascii="Times New Roman" w:hAnsi="Times New Roman" w:eastAsia="宋体" w:cs="Times New Roman"/>
                      <w:color w:val="auto"/>
                      <w:sz w:val="21"/>
                      <w:szCs w:val="21"/>
                      <w:highlight w:val="none"/>
                      <w:lang w:val="en-US" w:eastAsia="zh-CN"/>
                    </w:rPr>
                    <w:t>VOCs成分原辅材料。</w:t>
                  </w:r>
                </w:p>
              </w:tc>
              <w:tc>
                <w:tcPr>
                  <w:tcW w:w="390" w:type="dxa"/>
                  <w:tcBorders>
                    <w:top w:val="single" w:color="auto" w:sz="4" w:space="0"/>
                    <w:left w:val="nil"/>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26" w:type="dxa"/>
                  <w:tcBorders>
                    <w:top w:val="single" w:color="auto" w:sz="4" w:space="0"/>
                    <w:left w:val="single" w:color="auto" w:sz="4" w:space="0"/>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4</w:t>
                  </w:r>
                </w:p>
              </w:tc>
              <w:tc>
                <w:tcPr>
                  <w:tcW w:w="373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4.3源头替代项目需办理环评审批</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备案</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、重新申请排污许可证的，应符合相应法律法规等规定。</w:t>
                  </w:r>
                </w:p>
              </w:tc>
              <w:tc>
                <w:tcPr>
                  <w:tcW w:w="1941" w:type="dxa"/>
                  <w:tcBorders>
                    <w:top w:val="single" w:color="auto" w:sz="4" w:space="0"/>
                    <w:left w:val="nil"/>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按要求办理环评审批，后续</w:t>
                  </w:r>
                  <w:r>
                    <w:rPr>
                      <w:rFonts w:hint="eastAsia" w:ascii="Times New Roman" w:hAnsi="Times New Roman" w:cs="Times New Roman"/>
                      <w:color w:val="auto"/>
                      <w:sz w:val="21"/>
                      <w:szCs w:val="21"/>
                      <w:highlight w:val="none"/>
                      <w:lang w:val="en-US" w:eastAsia="zh-CN"/>
                    </w:rPr>
                    <w:t>申领排污许可证</w:t>
                  </w:r>
                  <w:r>
                    <w:rPr>
                      <w:rFonts w:hint="default" w:ascii="Times New Roman" w:hAnsi="Times New Roman" w:cs="Times New Roman"/>
                      <w:color w:val="auto"/>
                      <w:sz w:val="21"/>
                      <w:szCs w:val="21"/>
                      <w:highlight w:val="none"/>
                      <w:lang w:val="en-US" w:eastAsia="zh-CN"/>
                    </w:rPr>
                    <w:t>。</w:t>
                  </w:r>
                </w:p>
              </w:tc>
              <w:tc>
                <w:tcPr>
                  <w:tcW w:w="390" w:type="dxa"/>
                  <w:tcBorders>
                    <w:top w:val="single" w:color="auto" w:sz="4" w:space="0"/>
                    <w:left w:val="nil"/>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426" w:type="dxa"/>
                  <w:tcBorders>
                    <w:top w:val="single" w:color="auto" w:sz="4" w:space="0"/>
                    <w:left w:val="single" w:color="auto" w:sz="4" w:space="0"/>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5</w:t>
                  </w:r>
                </w:p>
              </w:tc>
              <w:tc>
                <w:tcPr>
                  <w:tcW w:w="373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4.4使用含VOCs原辅材料应按产品说明书等进行调配，不应随意添加其他物料</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生产线或车间实施源头替代以后，原则上不得在溶剂型原辅材料及非溶剂型原辅材料间相互切换</w:t>
                  </w:r>
                  <w:r>
                    <w:rPr>
                      <w:rFonts w:hint="default" w:ascii="Times New Roman" w:hAnsi="Times New Roman" w:cs="Times New Roman"/>
                      <w:color w:val="auto"/>
                      <w:sz w:val="21"/>
                      <w:szCs w:val="21"/>
                      <w:highlight w:val="none"/>
                      <w:lang w:eastAsia="zh-CN"/>
                    </w:rPr>
                    <w:t>。</w:t>
                  </w:r>
                </w:p>
              </w:tc>
              <w:tc>
                <w:tcPr>
                  <w:tcW w:w="1941" w:type="dxa"/>
                  <w:tcBorders>
                    <w:top w:val="single" w:color="auto" w:sz="4" w:space="0"/>
                    <w:left w:val="nil"/>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lang w:val="en-US" w:eastAsia="zh-CN"/>
                    </w:rPr>
                    <w:t>不涉及</w:t>
                  </w:r>
                </w:p>
              </w:tc>
              <w:tc>
                <w:tcPr>
                  <w:tcW w:w="390" w:type="dxa"/>
                  <w:tcBorders>
                    <w:top w:val="single" w:color="auto" w:sz="4" w:space="0"/>
                    <w:left w:val="nil"/>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426" w:type="dxa"/>
                  <w:tcBorders>
                    <w:top w:val="single" w:color="auto" w:sz="4" w:space="0"/>
                    <w:left w:val="single" w:color="auto" w:sz="4" w:space="0"/>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6</w:t>
                  </w:r>
                </w:p>
              </w:tc>
              <w:tc>
                <w:tcPr>
                  <w:tcW w:w="373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4.5源头替代完成后，企业应开展大气污染物有组织排放和无组织排放检测，可采用在线监测数据、自行监测数据或委托第三方检测机构检测</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原辅材料VOCs含量应根据GB/T38597-2020、GB33372-2020、GB38508-2020和《油墨中可挥发性有机化合物</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VOCs</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含量的测定方法》</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GB/T38608-2020</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等相应标准规定的方法进行检测</w:t>
                  </w:r>
                  <w:r>
                    <w:rPr>
                      <w:rFonts w:hint="default" w:ascii="Times New Roman" w:hAnsi="Times New Roman" w:cs="Times New Roman"/>
                      <w:color w:val="auto"/>
                      <w:sz w:val="21"/>
                      <w:szCs w:val="21"/>
                      <w:highlight w:val="none"/>
                      <w:lang w:eastAsia="zh-CN"/>
                    </w:rPr>
                    <w:t>。</w:t>
                  </w:r>
                </w:p>
              </w:tc>
              <w:tc>
                <w:tcPr>
                  <w:tcW w:w="1941" w:type="dxa"/>
                  <w:tcBorders>
                    <w:top w:val="single" w:color="auto" w:sz="4" w:space="0"/>
                    <w:left w:val="nil"/>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项目已设置自行监测方案，定期进行监测。</w:t>
                  </w:r>
                </w:p>
              </w:tc>
              <w:tc>
                <w:tcPr>
                  <w:tcW w:w="390" w:type="dxa"/>
                  <w:tcBorders>
                    <w:top w:val="single" w:color="auto" w:sz="4" w:space="0"/>
                    <w:left w:val="nil"/>
                    <w:bottom w:val="single" w:color="auto" w:sz="4" w:space="0"/>
                    <w:right w:val="single" w:color="auto" w:sz="4" w:space="0"/>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pPr>
              <w:keepNext w:val="0"/>
              <w:keepLines w:val="0"/>
              <w:widowControl w:val="0"/>
              <w:numPr>
                <w:ilvl w:val="0"/>
                <w:numId w:val="0"/>
              </w:numPr>
              <w:suppressLineNumbers w:val="0"/>
              <w:autoSpaceDE w:val="0"/>
              <w:autoSpaceDN/>
              <w:spacing w:before="157" w:beforeLines="50" w:beforeAutospacing="0" w:after="157" w:afterLines="50" w:afterAutospacing="0" w:line="360" w:lineRule="auto"/>
              <w:ind w:right="0" w:rightChars="0"/>
              <w:jc w:val="both"/>
              <w:rPr>
                <w:rFonts w:hint="default" w:ascii="Times New Roman" w:hAnsi="Times New Roman" w:eastAsia="宋体" w:cs="Times New Roman"/>
                <w:b/>
                <w:bCs w:val="0"/>
                <w:color w:val="auto"/>
                <w:kern w:val="2"/>
                <w:sz w:val="24"/>
                <w:szCs w:val="24"/>
                <w:lang w:val="en-US" w:eastAsia="zh-CN" w:bidi="ar"/>
              </w:rPr>
            </w:pPr>
            <w:r>
              <w:rPr>
                <w:rFonts w:hint="eastAsia" w:cs="Times New Roman"/>
                <w:b/>
                <w:bCs w:val="0"/>
                <w:color w:val="auto"/>
                <w:kern w:val="2"/>
                <w:sz w:val="24"/>
                <w:szCs w:val="24"/>
                <w:lang w:val="en-US" w:eastAsia="zh-CN" w:bidi="ar"/>
              </w:rPr>
              <w:t>10、</w:t>
            </w:r>
            <w:r>
              <w:rPr>
                <w:rFonts w:hint="default" w:ascii="Times New Roman" w:hAnsi="Times New Roman" w:eastAsia="宋体" w:cs="Times New Roman"/>
                <w:b/>
                <w:bCs w:val="0"/>
                <w:color w:val="auto"/>
                <w:kern w:val="2"/>
                <w:sz w:val="24"/>
                <w:szCs w:val="24"/>
                <w:lang w:val="en-US" w:eastAsia="zh-CN" w:bidi="ar"/>
              </w:rPr>
              <w:t>与《安徽省空气质量持续改善行动方案》符合性分析</w:t>
            </w:r>
          </w:p>
          <w:p>
            <w:pPr>
              <w:keepNext w:val="0"/>
              <w:keepLines w:val="0"/>
              <w:widowControl w:val="0"/>
              <w:suppressLineNumbers w:val="0"/>
              <w:autoSpaceDE w:val="0"/>
              <w:autoSpaceDN/>
              <w:spacing w:before="0" w:beforeAutospacing="0" w:after="0" w:afterAutospacing="0"/>
              <w:ind w:left="0" w:right="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4"/>
                <w:szCs w:val="24"/>
                <w:lang w:val="en-US" w:eastAsia="zh-CN" w:bidi="ar"/>
              </w:rPr>
              <w:t>表1-</w:t>
            </w:r>
            <w:r>
              <w:rPr>
                <w:rFonts w:hint="eastAsia" w:cs="Times New Roman"/>
                <w:b/>
                <w:bCs/>
                <w:color w:val="auto"/>
                <w:kern w:val="2"/>
                <w:sz w:val="24"/>
                <w:szCs w:val="24"/>
                <w:lang w:val="en-US" w:eastAsia="zh-CN" w:bidi="ar"/>
              </w:rPr>
              <w:t>9</w:t>
            </w:r>
            <w:r>
              <w:rPr>
                <w:rFonts w:hint="default" w:ascii="Times New Roman" w:hAnsi="Times New Roman" w:eastAsia="宋体" w:cs="Times New Roman"/>
                <w:b/>
                <w:bCs/>
                <w:color w:val="auto"/>
                <w:kern w:val="2"/>
                <w:sz w:val="24"/>
                <w:szCs w:val="24"/>
                <w:lang w:val="en-US" w:eastAsia="zh-CN" w:bidi="ar"/>
              </w:rPr>
              <w:t>《安徽省空气质量持续改善行动方案》符合性分析</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3609"/>
              <w:gridCol w:w="2149"/>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452" w:type="dxa"/>
                  <w:tcBorders>
                    <w:top w:val="single" w:color="auto" w:sz="4" w:space="0"/>
                    <w:left w:val="single" w:color="auto" w:sz="4" w:space="0"/>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56" w:lineRule="auto"/>
                    <w:ind w:left="0" w:right="0" w:firstLine="0" w:firstLineChars="0"/>
                    <w:jc w:val="left"/>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snapToGrid/>
                      <w:color w:val="auto"/>
                      <w:kern w:val="0"/>
                      <w:sz w:val="21"/>
                      <w:szCs w:val="21"/>
                      <w:lang w:val="en-US" w:eastAsia="zh-CN" w:bidi="ar"/>
                    </w:rPr>
                    <w:t>序号</w:t>
                  </w:r>
                </w:p>
              </w:tc>
              <w:tc>
                <w:tcPr>
                  <w:tcW w:w="3339" w:type="dxa"/>
                  <w:tcBorders>
                    <w:top w:val="single" w:color="auto" w:sz="4" w:space="0"/>
                    <w:left w:val="nil"/>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56" w:lineRule="auto"/>
                    <w:ind w:left="0"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snapToGrid/>
                      <w:color w:val="auto"/>
                      <w:kern w:val="0"/>
                      <w:sz w:val="21"/>
                      <w:szCs w:val="21"/>
                      <w:lang w:val="en-US" w:eastAsia="zh-CN" w:bidi="ar"/>
                    </w:rPr>
                    <w:t>政策要求</w:t>
                  </w:r>
                </w:p>
              </w:tc>
              <w:tc>
                <w:tcPr>
                  <w:tcW w:w="1988" w:type="dxa"/>
                  <w:tcBorders>
                    <w:top w:val="single" w:color="auto" w:sz="4" w:space="0"/>
                    <w:left w:val="nil"/>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56" w:lineRule="auto"/>
                    <w:ind w:left="0" w:leftChars="0"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snapToGrid/>
                      <w:color w:val="auto"/>
                      <w:kern w:val="0"/>
                      <w:sz w:val="21"/>
                      <w:szCs w:val="21"/>
                      <w:lang w:val="en-US" w:eastAsia="zh-CN" w:bidi="ar"/>
                    </w:rPr>
                    <w:t>本项目工程内容</w:t>
                  </w:r>
                </w:p>
              </w:tc>
              <w:tc>
                <w:tcPr>
                  <w:tcW w:w="717" w:type="dxa"/>
                  <w:tcBorders>
                    <w:top w:val="single" w:color="auto" w:sz="4" w:space="0"/>
                    <w:left w:val="nil"/>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56" w:lineRule="auto"/>
                    <w:ind w:left="0" w:leftChars="0"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snapToGrid/>
                      <w:color w:val="auto"/>
                      <w:kern w:val="0"/>
                      <w:sz w:val="21"/>
                      <w:szCs w:val="21"/>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6" w:type="dxa"/>
                  <w:gridSpan w:val="4"/>
                  <w:tcBorders>
                    <w:top w:val="single" w:color="auto" w:sz="4" w:space="0"/>
                    <w:left w:val="single" w:color="auto" w:sz="4" w:space="0"/>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56"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snapToGrid/>
                      <w:color w:val="auto"/>
                      <w:kern w:val="0"/>
                      <w:sz w:val="21"/>
                      <w:szCs w:val="21"/>
                      <w:lang w:val="en-US" w:eastAsia="zh-CN" w:bidi="ar"/>
                    </w:rPr>
                    <w:t>优化调整产业结构布局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op w:val="single" w:color="auto" w:sz="4" w:space="0"/>
                    <w:left w:val="single" w:color="auto" w:sz="4" w:space="0"/>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56" w:lineRule="auto"/>
                    <w:ind w:left="0"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snapToGrid/>
                      <w:color w:val="auto"/>
                      <w:kern w:val="0"/>
                      <w:sz w:val="21"/>
                      <w:szCs w:val="21"/>
                      <w:lang w:val="en-US" w:eastAsia="zh-CN" w:bidi="ar"/>
                    </w:rPr>
                    <w:t>1</w:t>
                  </w:r>
                </w:p>
              </w:tc>
              <w:tc>
                <w:tcPr>
                  <w:tcW w:w="3339" w:type="dxa"/>
                  <w:tcBorders>
                    <w:top w:val="single" w:color="auto" w:sz="4" w:space="0"/>
                    <w:left w:val="nil"/>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60" w:lineRule="exact"/>
                    <w:ind w:left="0" w:right="0" w:firstLine="0" w:firstLineChars="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color w:val="auto"/>
                      <w:kern w:val="0"/>
                      <w:sz w:val="21"/>
                      <w:szCs w:val="21"/>
                      <w:lang w:val="en-US" w:eastAsia="zh-CN" w:bidi="ar"/>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源头管控低水平项目上马。制定实施安徽省加强生态环境分区管控方案。严格落实产能置换要求，不以任何名义、任何方式核准、备案产能严重过剩行业新增产能项目，被置换产能及其配套设施关停后，新建项目方可投产</w:t>
                  </w:r>
                  <w:r>
                    <w:rPr>
                      <w:rFonts w:hint="default" w:ascii="Times New Roman" w:hAnsi="Times New Roman" w:cs="Times New Roman"/>
                      <w:snapToGrid/>
                      <w:color w:val="auto"/>
                      <w:kern w:val="0"/>
                      <w:sz w:val="21"/>
                      <w:szCs w:val="21"/>
                      <w:lang w:val="en-US" w:eastAsia="zh-CN" w:bidi="ar"/>
                    </w:rPr>
                    <w:t>。</w:t>
                  </w:r>
                </w:p>
              </w:tc>
              <w:tc>
                <w:tcPr>
                  <w:tcW w:w="1988" w:type="dxa"/>
                  <w:tcBorders>
                    <w:top w:val="single" w:color="auto" w:sz="4" w:space="0"/>
                    <w:left w:val="nil"/>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60" w:lineRule="exact"/>
                    <w:ind w:left="0" w:right="0"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cs="Times New Roman"/>
                      <w:snapToGrid/>
                      <w:color w:val="auto"/>
                      <w:kern w:val="0"/>
                      <w:sz w:val="21"/>
                      <w:szCs w:val="21"/>
                      <w:lang w:val="en-US" w:eastAsia="zh-CN" w:bidi="ar"/>
                    </w:rPr>
                    <w:t>本项目不属于“</w:t>
                  </w:r>
                  <w:r>
                    <w:rPr>
                      <w:rFonts w:hint="default" w:ascii="Times New Roman" w:hAnsi="Times New Roman" w:eastAsia="宋体" w:cs="Times New Roman"/>
                      <w:snapToGrid/>
                      <w:color w:val="auto"/>
                      <w:kern w:val="0"/>
                      <w:sz w:val="21"/>
                      <w:szCs w:val="21"/>
                      <w:lang w:val="en-US" w:eastAsia="zh-CN" w:bidi="ar"/>
                    </w:rPr>
                    <w:t>高污染、高耗能</w:t>
                  </w:r>
                  <w:r>
                    <w:rPr>
                      <w:rFonts w:hint="default" w:ascii="Times New Roman" w:hAnsi="Times New Roman" w:cs="Times New Roman"/>
                      <w:snapToGrid/>
                      <w:color w:val="auto"/>
                      <w:kern w:val="0"/>
                      <w:sz w:val="21"/>
                      <w:szCs w:val="21"/>
                      <w:lang w:val="en-US" w:eastAsia="zh-CN" w:bidi="ar"/>
                    </w:rPr>
                    <w:t>”项目，项目的建设符合六安市分区管控要求，符合</w:t>
                  </w:r>
                  <w:r>
                    <w:rPr>
                      <w:rFonts w:hint="default" w:ascii="Times New Roman" w:hAnsi="Times New Roman" w:cs="Times New Roman"/>
                      <w:bCs/>
                      <w:color w:val="auto"/>
                      <w:sz w:val="21"/>
                      <w:szCs w:val="21"/>
                    </w:rPr>
                    <w:t>《安徽金寨经济开发区总体发展规划（2023-2035年）环境影响报告书》</w:t>
                  </w:r>
                  <w:r>
                    <w:rPr>
                      <w:rFonts w:hint="default" w:ascii="Times New Roman" w:hAnsi="Times New Roman" w:cs="Times New Roman"/>
                      <w:snapToGrid/>
                      <w:color w:val="auto"/>
                      <w:kern w:val="0"/>
                      <w:sz w:val="21"/>
                      <w:szCs w:val="21"/>
                      <w:lang w:val="en-US" w:eastAsia="zh-CN" w:bidi="ar"/>
                    </w:rPr>
                    <w:t>及审查意见要求；不属于</w:t>
                  </w:r>
                  <w:r>
                    <w:rPr>
                      <w:rFonts w:hint="eastAsia" w:ascii="Times New Roman" w:hAnsi="Times New Roman" w:cs="Times New Roman"/>
                      <w:snapToGrid/>
                      <w:color w:val="auto"/>
                      <w:kern w:val="0"/>
                      <w:sz w:val="21"/>
                      <w:szCs w:val="21"/>
                      <w:lang w:val="en-US" w:eastAsia="zh-CN" w:bidi="ar"/>
                    </w:rPr>
                    <w:t>安徽金寨经济开发区</w:t>
                  </w:r>
                  <w:r>
                    <w:rPr>
                      <w:rFonts w:hint="default" w:ascii="Times New Roman" w:hAnsi="Times New Roman" w:cs="Times New Roman"/>
                      <w:snapToGrid/>
                      <w:color w:val="auto"/>
                      <w:kern w:val="0"/>
                      <w:sz w:val="21"/>
                      <w:szCs w:val="21"/>
                      <w:lang w:val="en-US" w:eastAsia="zh-CN" w:bidi="ar"/>
                    </w:rPr>
                    <w:t>生态环境准入清单中禁止和限制类项目。</w:t>
                  </w:r>
                </w:p>
              </w:tc>
              <w:tc>
                <w:tcPr>
                  <w:tcW w:w="717" w:type="dxa"/>
                  <w:tcBorders>
                    <w:top w:val="single" w:color="auto" w:sz="4" w:space="0"/>
                    <w:left w:val="nil"/>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56" w:lineRule="auto"/>
                    <w:ind w:left="0" w:leftChars="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color w:val="auto"/>
                      <w:kern w:val="0"/>
                      <w:sz w:val="21"/>
                      <w:szCs w:val="21"/>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op w:val="single" w:color="auto" w:sz="4" w:space="0"/>
                    <w:left w:val="single" w:color="auto" w:sz="4" w:space="0"/>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56" w:lineRule="auto"/>
                    <w:ind w:left="0" w:right="0" w:firstLine="0" w:firstLineChars="0"/>
                    <w:jc w:val="center"/>
                    <w:rPr>
                      <w:rFonts w:hint="default" w:ascii="Times New Roman" w:hAnsi="Times New Roman" w:eastAsia="宋体" w:cs="Times New Roman"/>
                      <w:b/>
                      <w:bCs/>
                      <w:snapToGrid/>
                      <w:color w:val="auto"/>
                      <w:kern w:val="0"/>
                      <w:sz w:val="21"/>
                      <w:szCs w:val="21"/>
                      <w:lang w:val="en-US" w:eastAsia="zh-CN" w:bidi="ar"/>
                    </w:rPr>
                  </w:pPr>
                  <w:r>
                    <w:rPr>
                      <w:rFonts w:hint="default" w:ascii="Times New Roman" w:hAnsi="Times New Roman" w:cs="Times New Roman"/>
                      <w:b/>
                      <w:bCs/>
                      <w:snapToGrid/>
                      <w:color w:val="auto"/>
                      <w:kern w:val="0"/>
                      <w:sz w:val="21"/>
                      <w:szCs w:val="21"/>
                      <w:lang w:val="en-US" w:eastAsia="zh-CN" w:bidi="ar"/>
                    </w:rPr>
                    <w:t>2</w:t>
                  </w:r>
                </w:p>
              </w:tc>
              <w:tc>
                <w:tcPr>
                  <w:tcW w:w="3339" w:type="dxa"/>
                  <w:tcBorders>
                    <w:top w:val="single" w:color="auto" w:sz="4" w:space="0"/>
                    <w:left w:val="nil"/>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60" w:lineRule="exact"/>
                    <w:ind w:left="0" w:right="0" w:firstLine="0" w:firstLineChars="0"/>
                    <w:jc w:val="both"/>
                    <w:rPr>
                      <w:rFonts w:hint="default" w:ascii="Times New Roman" w:hAnsi="Times New Roman" w:eastAsia="宋体" w:cs="Times New Roman"/>
                      <w:snapToGrid/>
                      <w:color w:val="auto"/>
                      <w:kern w:val="0"/>
                      <w:sz w:val="21"/>
                      <w:szCs w:val="21"/>
                      <w:lang w:val="en-US" w:eastAsia="zh-CN" w:bidi="ar"/>
                    </w:rPr>
                  </w:pPr>
                  <w:r>
                    <w:rPr>
                      <w:rFonts w:hint="default" w:ascii="Times New Roman" w:hAnsi="Times New Roman" w:eastAsia="宋体" w:cs="Times New Roman"/>
                      <w:snapToGrid/>
                      <w:color w:val="auto"/>
                      <w:kern w:val="0"/>
                      <w:sz w:val="21"/>
                      <w:szCs w:val="21"/>
                      <w:lang w:val="en-US" w:eastAsia="zh-CN" w:bidi="ar"/>
                    </w:rPr>
                    <w:t>序推动落后产能淘汰。严格执行《产业结构调整指导目录》。综合运用能耗、环保、质量、安全、技术等要求，依法依规推动落后产能退出，逐步退出限制类涉气行业工艺和装备。有序推动生产设施老旧、工艺水平落后、环境管理水平低下的独立焦化、烧结、球团、热轧企业和落后煤炭洗选企业退出市场。逐步淘汰步进式烧结机和球团竖炉以及半封闭式硅锰合金、镍铁、高碳铬铁、高碳锰铁电炉。严禁违规新增钢铁、水泥（熟料）、焦化、电解铝、平板玻璃（不含光伏压延玻璃）产能。鼓励钢铁行业龙头企业实施兼并重组，到2025年，短流程炼钢产量占比达15%。</w:t>
                  </w:r>
                </w:p>
              </w:tc>
              <w:tc>
                <w:tcPr>
                  <w:tcW w:w="1988" w:type="dxa"/>
                  <w:tcBorders>
                    <w:top w:val="single" w:color="auto" w:sz="4" w:space="0"/>
                    <w:left w:val="nil"/>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60" w:lineRule="exact"/>
                    <w:ind w:left="0" w:right="0" w:firstLine="0" w:firstLineChars="0"/>
                    <w:jc w:val="both"/>
                    <w:rPr>
                      <w:rFonts w:hint="default" w:ascii="Times New Roman" w:hAnsi="Times New Roman" w:cs="Times New Roman"/>
                      <w:snapToGrid/>
                      <w:color w:val="auto"/>
                      <w:kern w:val="0"/>
                      <w:sz w:val="21"/>
                      <w:szCs w:val="21"/>
                      <w:lang w:val="en-US" w:eastAsia="zh-CN" w:bidi="ar"/>
                    </w:rPr>
                  </w:pPr>
                  <w:r>
                    <w:rPr>
                      <w:rFonts w:hint="default" w:ascii="Times New Roman" w:hAnsi="Times New Roman" w:cs="Times New Roman"/>
                      <w:snapToGrid/>
                      <w:color w:val="auto"/>
                      <w:kern w:val="0"/>
                      <w:sz w:val="21"/>
                      <w:szCs w:val="21"/>
                      <w:lang w:val="en-US" w:eastAsia="zh-CN" w:bidi="ar"/>
                    </w:rPr>
                    <w:t>本项目</w:t>
                  </w:r>
                  <w:r>
                    <w:rPr>
                      <w:rFonts w:hint="eastAsia" w:ascii="Times New Roman" w:hAnsi="Times New Roman" w:cs="Times New Roman"/>
                      <w:snapToGrid/>
                      <w:color w:val="auto"/>
                      <w:kern w:val="0"/>
                      <w:sz w:val="21"/>
                      <w:szCs w:val="21"/>
                      <w:lang w:val="en-US" w:eastAsia="zh-CN" w:bidi="ar"/>
                    </w:rPr>
                    <w:t>属于</w:t>
                  </w:r>
                  <w:r>
                    <w:rPr>
                      <w:rFonts w:hint="default" w:ascii="Times New Roman" w:hAnsi="Times New Roman" w:eastAsia="宋体" w:cs="Times New Roman"/>
                      <w:color w:val="000000"/>
                      <w:kern w:val="0"/>
                      <w:sz w:val="21"/>
                      <w:szCs w:val="21"/>
                      <w:lang w:val="en-US" w:eastAsia="zh-CN" w:bidi="ar"/>
                    </w:rPr>
                    <w:t>废塑料加工处理</w:t>
                  </w:r>
                  <w:r>
                    <w:rPr>
                      <w:rFonts w:hint="default" w:ascii="Times New Roman" w:hAnsi="Times New Roman" w:cs="Times New Roman"/>
                      <w:snapToGrid/>
                      <w:color w:val="auto"/>
                      <w:kern w:val="0"/>
                      <w:sz w:val="21"/>
                      <w:szCs w:val="21"/>
                      <w:lang w:val="en-US" w:eastAsia="zh-CN" w:bidi="ar"/>
                    </w:rPr>
                    <w:t>，查阅《产业结构调整指导目录》（2024年本），</w:t>
                  </w:r>
                  <w:r>
                    <w:rPr>
                      <w:rFonts w:hint="eastAsia" w:ascii="Times New Roman" w:hAnsi="Times New Roman" w:cs="Times New Roman"/>
                      <w:snapToGrid/>
                      <w:color w:val="auto"/>
                      <w:kern w:val="0"/>
                      <w:sz w:val="21"/>
                      <w:szCs w:val="21"/>
                      <w:lang w:val="en-US" w:eastAsia="zh-CN" w:bidi="ar"/>
                    </w:rPr>
                    <w:t>属于其中鼓励类项目</w:t>
                  </w:r>
                  <w:r>
                    <w:rPr>
                      <w:rFonts w:hint="default" w:ascii="Times New Roman" w:hAnsi="Times New Roman" w:cs="Times New Roman"/>
                      <w:snapToGrid/>
                      <w:color w:val="auto"/>
                      <w:kern w:val="0"/>
                      <w:sz w:val="21"/>
                      <w:szCs w:val="21"/>
                      <w:lang w:val="en-US" w:eastAsia="zh-CN" w:bidi="ar"/>
                    </w:rPr>
                    <w:t>；项目采购国内先进设备，</w:t>
                  </w:r>
                  <w:r>
                    <w:rPr>
                      <w:rFonts w:hint="eastAsia" w:ascii="Times New Roman" w:hAnsi="Times New Roman" w:cs="Times New Roman"/>
                      <w:snapToGrid/>
                      <w:color w:val="auto"/>
                      <w:kern w:val="0"/>
                      <w:sz w:val="21"/>
                      <w:szCs w:val="21"/>
                      <w:lang w:val="en-US" w:eastAsia="zh-CN" w:bidi="ar"/>
                    </w:rPr>
                    <w:t>使用</w:t>
                  </w:r>
                  <w:r>
                    <w:rPr>
                      <w:rFonts w:hint="default" w:ascii="Times New Roman" w:hAnsi="Times New Roman" w:cs="Times New Roman"/>
                      <w:snapToGrid/>
                      <w:color w:val="auto"/>
                      <w:kern w:val="0"/>
                      <w:sz w:val="21"/>
                      <w:szCs w:val="21"/>
                      <w:lang w:val="en-US" w:eastAsia="zh-CN" w:bidi="ar"/>
                    </w:rPr>
                    <w:t>电能作为能源供应。</w:t>
                  </w:r>
                </w:p>
              </w:tc>
              <w:tc>
                <w:tcPr>
                  <w:tcW w:w="717" w:type="dxa"/>
                  <w:tcBorders>
                    <w:top w:val="single" w:color="auto" w:sz="4" w:space="0"/>
                    <w:left w:val="nil"/>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56" w:lineRule="auto"/>
                    <w:ind w:left="0" w:leftChars="0" w:right="0" w:firstLine="0" w:firstLineChars="0"/>
                    <w:jc w:val="center"/>
                    <w:rPr>
                      <w:rFonts w:hint="default" w:ascii="Times New Roman" w:hAnsi="Times New Roman" w:eastAsia="宋体" w:cs="Times New Roman"/>
                      <w:snapToGrid/>
                      <w:color w:val="auto"/>
                      <w:kern w:val="0"/>
                      <w:sz w:val="21"/>
                      <w:szCs w:val="21"/>
                      <w:lang w:val="en-US" w:eastAsia="zh-CN" w:bidi="ar"/>
                    </w:rPr>
                  </w:pPr>
                  <w:r>
                    <w:rPr>
                      <w:rFonts w:hint="default" w:ascii="Times New Roman" w:hAnsi="Times New Roman" w:eastAsia="宋体" w:cs="Times New Roman"/>
                      <w:snapToGrid/>
                      <w:color w:val="auto"/>
                      <w:kern w:val="0"/>
                      <w:sz w:val="21"/>
                      <w:szCs w:val="21"/>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op w:val="single" w:color="auto" w:sz="4" w:space="0"/>
                    <w:left w:val="single" w:color="auto" w:sz="4" w:space="0"/>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56" w:lineRule="auto"/>
                    <w:ind w:left="0" w:right="0" w:firstLine="0" w:firstLineChars="0"/>
                    <w:jc w:val="center"/>
                    <w:rPr>
                      <w:rFonts w:hint="default" w:ascii="Times New Roman" w:hAnsi="Times New Roman" w:cs="Times New Roman"/>
                      <w:b/>
                      <w:bCs/>
                      <w:snapToGrid/>
                      <w:color w:val="auto"/>
                      <w:kern w:val="0"/>
                      <w:sz w:val="21"/>
                      <w:szCs w:val="21"/>
                      <w:lang w:val="en-US" w:eastAsia="zh-CN" w:bidi="ar"/>
                    </w:rPr>
                  </w:pPr>
                  <w:r>
                    <w:rPr>
                      <w:rFonts w:hint="default" w:ascii="Times New Roman" w:hAnsi="Times New Roman" w:cs="Times New Roman"/>
                      <w:b/>
                      <w:bCs/>
                      <w:snapToGrid/>
                      <w:color w:val="auto"/>
                      <w:kern w:val="0"/>
                      <w:sz w:val="21"/>
                      <w:szCs w:val="21"/>
                      <w:lang w:val="en-US" w:eastAsia="zh-CN" w:bidi="ar"/>
                    </w:rPr>
                    <w:t>3</w:t>
                  </w:r>
                </w:p>
              </w:tc>
              <w:tc>
                <w:tcPr>
                  <w:tcW w:w="3339" w:type="dxa"/>
                  <w:tcBorders>
                    <w:top w:val="single" w:color="auto" w:sz="4" w:space="0"/>
                    <w:left w:val="nil"/>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60" w:lineRule="exact"/>
                    <w:ind w:left="0" w:right="0" w:firstLine="0" w:firstLineChars="0"/>
                    <w:jc w:val="both"/>
                    <w:rPr>
                      <w:rFonts w:hint="default" w:ascii="Times New Roman" w:hAnsi="Times New Roman" w:eastAsia="宋体" w:cs="Times New Roman"/>
                      <w:snapToGrid/>
                      <w:color w:val="auto"/>
                      <w:kern w:val="0"/>
                      <w:sz w:val="21"/>
                      <w:szCs w:val="21"/>
                      <w:lang w:val="en-US" w:eastAsia="zh-CN" w:bidi="ar"/>
                    </w:rPr>
                  </w:pPr>
                  <w:r>
                    <w:rPr>
                      <w:rFonts w:hint="default" w:ascii="Times New Roman" w:hAnsi="Times New Roman" w:eastAsia="宋体" w:cs="Times New Roman"/>
                      <w:snapToGrid/>
                      <w:color w:val="auto"/>
                      <w:kern w:val="0"/>
                      <w:sz w:val="21"/>
                      <w:szCs w:val="21"/>
                      <w:lang w:val="en-US" w:eastAsia="zh-CN" w:bidi="ar"/>
                    </w:rPr>
                    <w:t>高水平打造皖北等承接产业转移集聚区，持续加强产业集群环境治理。结合“绿岛”项目等因地制宜建设集中供热中心、集中涂装中心、有机溶剂集中回收中心、活性炭再生中心；推进建设钣喷共享中心，配套建设适宜高效VOCs治理设施。</w:t>
                  </w:r>
                </w:p>
              </w:tc>
              <w:tc>
                <w:tcPr>
                  <w:tcW w:w="1988" w:type="dxa"/>
                  <w:tcBorders>
                    <w:top w:val="single" w:color="auto" w:sz="4" w:space="0"/>
                    <w:left w:val="nil"/>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60" w:lineRule="exact"/>
                    <w:ind w:left="0" w:right="0" w:firstLine="0" w:firstLineChars="0"/>
                    <w:jc w:val="both"/>
                    <w:rPr>
                      <w:rFonts w:hint="default" w:ascii="Times New Roman" w:hAnsi="Times New Roman" w:cs="Times New Roman"/>
                      <w:snapToGrid/>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项目</w:t>
                  </w:r>
                  <w:r>
                    <w:rPr>
                      <w:rFonts w:hint="eastAsia" w:cs="Times New Roman"/>
                      <w:color w:val="auto"/>
                      <w:sz w:val="21"/>
                      <w:szCs w:val="21"/>
                      <w:lang w:val="en-US" w:eastAsia="zh-CN"/>
                    </w:rPr>
                    <w:t>加热熔化</w:t>
                  </w:r>
                  <w:r>
                    <w:rPr>
                      <w:rFonts w:hint="eastAsia" w:ascii="Times New Roman" w:hAnsi="Times New Roman" w:eastAsia="宋体" w:cs="Times New Roman"/>
                      <w:color w:val="auto"/>
                      <w:sz w:val="21"/>
                      <w:szCs w:val="21"/>
                      <w:lang w:val="en-US" w:eastAsia="zh-CN"/>
                    </w:rPr>
                    <w:t>过程产生的</w:t>
                  </w:r>
                  <w:r>
                    <w:rPr>
                      <w:rFonts w:hint="default" w:ascii="Times New Roman" w:hAnsi="Times New Roman" w:eastAsia="宋体" w:cs="Times New Roman"/>
                      <w:color w:val="auto"/>
                      <w:sz w:val="21"/>
                      <w:szCs w:val="21"/>
                      <w:lang w:val="en-US" w:eastAsia="zh-CN"/>
                    </w:rPr>
                    <w:t>废气</w:t>
                  </w:r>
                  <w:r>
                    <w:rPr>
                      <w:rFonts w:hint="default" w:ascii="Times New Roman" w:hAnsi="Times New Roman" w:cs="Times New Roman"/>
                      <w:color w:val="000000"/>
                      <w:kern w:val="0"/>
                      <w:sz w:val="21"/>
                      <w:szCs w:val="21"/>
                      <w:lang w:val="en-US" w:eastAsia="zh-CN" w:bidi="ar"/>
                    </w:rPr>
                    <w:t>经集气罩收集，</w:t>
                  </w:r>
                  <w:r>
                    <w:rPr>
                      <w:rFonts w:hint="eastAsia" w:ascii="Times New Roman" w:hAnsi="Times New Roman" w:cs="Times New Roman"/>
                      <w:color w:val="000000"/>
                      <w:kern w:val="0"/>
                      <w:sz w:val="21"/>
                      <w:szCs w:val="21"/>
                      <w:lang w:val="en-US" w:eastAsia="zh-CN" w:bidi="ar"/>
                    </w:rPr>
                    <w:t>通过喷淋塔降温后由二级活性炭吸附装置处理</w:t>
                  </w:r>
                  <w:r>
                    <w:rPr>
                      <w:rFonts w:hint="default" w:ascii="Times New Roman" w:hAnsi="Times New Roman" w:cs="Times New Roman"/>
                      <w:color w:val="000000"/>
                      <w:kern w:val="0"/>
                      <w:sz w:val="21"/>
                      <w:szCs w:val="21"/>
                      <w:lang w:val="en-US" w:eastAsia="zh-CN" w:bidi="ar"/>
                    </w:rPr>
                    <w:t>达标</w:t>
                  </w:r>
                  <w:r>
                    <w:rPr>
                      <w:rFonts w:hint="default" w:ascii="Times New Roman" w:hAnsi="Times New Roman" w:eastAsia="宋体" w:cs="Times New Roman"/>
                      <w:color w:val="000000"/>
                      <w:kern w:val="0"/>
                      <w:sz w:val="21"/>
                      <w:szCs w:val="21"/>
                      <w:lang w:val="en-US" w:eastAsia="zh-CN" w:bidi="ar"/>
                    </w:rPr>
                    <w:t>后通过15m高排气筒</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DA001</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排放</w:t>
                  </w:r>
                  <w:r>
                    <w:rPr>
                      <w:rFonts w:hint="eastAsia" w:ascii="Times New Roman" w:hAnsi="Times New Roman" w:eastAsia="宋体" w:cs="Times New Roman"/>
                      <w:color w:val="auto"/>
                      <w:sz w:val="21"/>
                      <w:szCs w:val="21"/>
                      <w:lang w:val="en-US" w:eastAsia="zh-CN"/>
                    </w:rPr>
                    <w:t>；废气收集效率90%，</w:t>
                  </w:r>
                  <w:r>
                    <w:rPr>
                      <w:rFonts w:hint="default" w:ascii="Times New Roman" w:hAnsi="Times New Roman" w:eastAsia="宋体" w:cs="Times New Roman"/>
                      <w:color w:val="auto"/>
                      <w:sz w:val="21"/>
                      <w:szCs w:val="21"/>
                      <w:lang w:val="en-US" w:eastAsia="zh-CN"/>
                    </w:rPr>
                    <w:t>处理效率为90%</w:t>
                  </w:r>
                  <w:r>
                    <w:rPr>
                      <w:rFonts w:hint="eastAsia" w:ascii="Times New Roman" w:hAnsi="Times New Roman" w:eastAsia="宋体" w:cs="Times New Roman"/>
                      <w:color w:val="auto"/>
                      <w:sz w:val="21"/>
                      <w:szCs w:val="21"/>
                      <w:lang w:val="en-US" w:eastAsia="zh-CN"/>
                    </w:rPr>
                    <w:t>。</w:t>
                  </w:r>
                  <w:r>
                    <w:rPr>
                      <w:rFonts w:hint="default" w:ascii="Times New Roman" w:hAnsi="Times New Roman" w:cs="Times New Roman"/>
                      <w:snapToGrid/>
                      <w:color w:val="auto"/>
                      <w:kern w:val="0"/>
                      <w:sz w:val="21"/>
                      <w:szCs w:val="21"/>
                      <w:lang w:val="en-US" w:eastAsia="zh-CN" w:bidi="ar"/>
                    </w:rPr>
                    <w:t>。</w:t>
                  </w:r>
                </w:p>
              </w:tc>
              <w:tc>
                <w:tcPr>
                  <w:tcW w:w="717" w:type="dxa"/>
                  <w:tcBorders>
                    <w:top w:val="single" w:color="auto" w:sz="4" w:space="0"/>
                    <w:left w:val="nil"/>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56" w:lineRule="auto"/>
                    <w:ind w:left="0" w:leftChars="0" w:right="0" w:firstLine="0" w:firstLineChars="0"/>
                    <w:jc w:val="center"/>
                    <w:rPr>
                      <w:rFonts w:hint="default" w:ascii="Times New Roman" w:hAnsi="Times New Roman" w:eastAsia="宋体" w:cs="Times New Roman"/>
                      <w:snapToGrid/>
                      <w:color w:val="auto"/>
                      <w:kern w:val="0"/>
                      <w:sz w:val="21"/>
                      <w:szCs w:val="21"/>
                      <w:lang w:val="en-US" w:eastAsia="zh-CN" w:bidi="ar"/>
                    </w:rPr>
                  </w:pPr>
                  <w:r>
                    <w:rPr>
                      <w:rFonts w:hint="default" w:ascii="Times New Roman" w:hAnsi="Times New Roman" w:eastAsia="宋体" w:cs="Times New Roman"/>
                      <w:snapToGrid/>
                      <w:color w:val="auto"/>
                      <w:kern w:val="0"/>
                      <w:sz w:val="21"/>
                      <w:szCs w:val="21"/>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6" w:type="dxa"/>
                  <w:gridSpan w:val="4"/>
                  <w:tcBorders>
                    <w:top w:val="single" w:color="auto" w:sz="4" w:space="0"/>
                    <w:left w:val="single" w:color="auto" w:sz="4" w:space="0"/>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56" w:lineRule="auto"/>
                    <w:ind w:left="0" w:leftChars="0" w:right="0" w:firstLine="0" w:firstLineChars="0"/>
                    <w:jc w:val="center"/>
                    <w:rPr>
                      <w:rFonts w:hint="default" w:ascii="Times New Roman" w:hAnsi="Times New Roman" w:eastAsia="宋体" w:cs="Times New Roman"/>
                      <w:snapToGrid/>
                      <w:color w:val="auto"/>
                      <w:kern w:val="0"/>
                      <w:sz w:val="21"/>
                      <w:szCs w:val="21"/>
                      <w:lang w:val="en-US" w:eastAsia="zh-CN" w:bidi="ar"/>
                    </w:rPr>
                  </w:pPr>
                  <w:r>
                    <w:rPr>
                      <w:rFonts w:hint="default" w:ascii="Times New Roman" w:hAnsi="Times New Roman" w:eastAsia="宋体" w:cs="Times New Roman"/>
                      <w:snapToGrid/>
                      <w:color w:val="auto"/>
                      <w:kern w:val="0"/>
                      <w:sz w:val="21"/>
                      <w:szCs w:val="21"/>
                      <w:lang w:val="en-US" w:eastAsia="zh-CN" w:bidi="ar"/>
                    </w:rPr>
                    <w:t>推动重点行业领域污染物减排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op w:val="single" w:color="auto" w:sz="4" w:space="0"/>
                    <w:left w:val="single" w:color="auto" w:sz="4" w:space="0"/>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56" w:lineRule="auto"/>
                    <w:ind w:left="0" w:right="0" w:firstLine="0" w:firstLineChars="0"/>
                    <w:jc w:val="center"/>
                    <w:rPr>
                      <w:rFonts w:hint="default" w:ascii="Times New Roman" w:hAnsi="Times New Roman" w:cs="Times New Roman"/>
                      <w:b/>
                      <w:bCs/>
                      <w:snapToGrid/>
                      <w:color w:val="auto"/>
                      <w:kern w:val="0"/>
                      <w:sz w:val="21"/>
                      <w:szCs w:val="21"/>
                      <w:lang w:val="en-US" w:eastAsia="zh-CN" w:bidi="ar"/>
                    </w:rPr>
                  </w:pPr>
                  <w:r>
                    <w:rPr>
                      <w:rFonts w:hint="eastAsia" w:ascii="Times New Roman" w:hAnsi="Times New Roman" w:cs="Times New Roman"/>
                      <w:b/>
                      <w:bCs/>
                      <w:snapToGrid/>
                      <w:color w:val="auto"/>
                      <w:kern w:val="0"/>
                      <w:sz w:val="21"/>
                      <w:szCs w:val="21"/>
                      <w:lang w:val="en-US" w:eastAsia="zh-CN" w:bidi="ar"/>
                    </w:rPr>
                    <w:t>4</w:t>
                  </w:r>
                </w:p>
              </w:tc>
              <w:tc>
                <w:tcPr>
                  <w:tcW w:w="3339" w:type="dxa"/>
                  <w:tcBorders>
                    <w:top w:val="single" w:color="auto" w:sz="4" w:space="0"/>
                    <w:left w:val="nil"/>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60" w:lineRule="exact"/>
                    <w:ind w:left="0" w:right="0" w:firstLine="0" w:firstLineChars="0"/>
                    <w:jc w:val="both"/>
                    <w:rPr>
                      <w:rFonts w:hint="default" w:ascii="Times New Roman" w:hAnsi="Times New Roman" w:eastAsia="宋体" w:cs="Times New Roman"/>
                      <w:snapToGrid/>
                      <w:color w:val="auto"/>
                      <w:kern w:val="0"/>
                      <w:sz w:val="21"/>
                      <w:szCs w:val="21"/>
                      <w:lang w:val="en-US" w:eastAsia="zh-CN" w:bidi="ar"/>
                    </w:rPr>
                  </w:pPr>
                  <w:r>
                    <w:rPr>
                      <w:rFonts w:hint="default" w:ascii="Times New Roman" w:hAnsi="Times New Roman" w:eastAsia="宋体" w:cs="Times New Roman"/>
                      <w:snapToGrid/>
                      <w:color w:val="auto"/>
                      <w:kern w:val="0"/>
                      <w:sz w:val="21"/>
                      <w:szCs w:val="21"/>
                      <w:lang w:val="en-US" w:eastAsia="zh-CN" w:bidi="ar"/>
                    </w:rPr>
                    <w:t>加强VOCs综合治理。鼓励储罐使用低泄漏的呼吸阀、紧急泄压阀。汽车罐车推广使用密封式快速接头。污水处理场所高浓度有机废气单独收集处理；含VOCs有机废水储罐、装置区集水井（池）有机废气密闭收集处理。</w:t>
                  </w:r>
                </w:p>
              </w:tc>
              <w:tc>
                <w:tcPr>
                  <w:tcW w:w="1988" w:type="dxa"/>
                  <w:tcBorders>
                    <w:top w:val="single" w:color="auto" w:sz="4" w:space="0"/>
                    <w:left w:val="nil"/>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60" w:lineRule="exact"/>
                    <w:ind w:left="0" w:right="0" w:firstLine="0" w:firstLineChars="0"/>
                    <w:jc w:val="center"/>
                    <w:rPr>
                      <w:rFonts w:hint="default" w:ascii="Times New Roman" w:hAnsi="Times New Roman" w:cs="Times New Roman"/>
                      <w:snapToGrid/>
                      <w:color w:val="auto"/>
                      <w:kern w:val="0"/>
                      <w:sz w:val="21"/>
                      <w:szCs w:val="21"/>
                      <w:lang w:val="en-US" w:eastAsia="zh-CN" w:bidi="ar"/>
                    </w:rPr>
                  </w:pPr>
                  <w:r>
                    <w:rPr>
                      <w:rFonts w:hint="eastAsia" w:ascii="Times New Roman" w:hAnsi="Times New Roman" w:cs="Times New Roman"/>
                      <w:snapToGrid/>
                      <w:color w:val="auto"/>
                      <w:kern w:val="0"/>
                      <w:sz w:val="21"/>
                      <w:szCs w:val="21"/>
                      <w:lang w:val="en-US" w:eastAsia="zh-CN" w:bidi="ar"/>
                    </w:rPr>
                    <w:t>不涉及</w:t>
                  </w:r>
                </w:p>
              </w:tc>
              <w:tc>
                <w:tcPr>
                  <w:tcW w:w="717" w:type="dxa"/>
                  <w:tcBorders>
                    <w:top w:val="single" w:color="auto" w:sz="4" w:space="0"/>
                    <w:left w:val="nil"/>
                    <w:bottom w:val="single" w:color="auto" w:sz="4" w:space="0"/>
                    <w:right w:val="single" w:color="auto" w:sz="4" w:space="0"/>
                  </w:tcBorders>
                  <w:noWrap w:val="0"/>
                  <w:vAlign w:val="center"/>
                </w:tcPr>
                <w:p>
                  <w:pPr>
                    <w:pStyle w:val="32"/>
                    <w:keepNext w:val="0"/>
                    <w:keepLines w:val="0"/>
                    <w:widowControl w:val="0"/>
                    <w:suppressLineNumbers w:val="0"/>
                    <w:autoSpaceDE w:val="0"/>
                    <w:autoSpaceDN/>
                    <w:adjustRightInd w:val="0"/>
                    <w:snapToGrid w:val="0"/>
                    <w:spacing w:before="0" w:beforeLines="0" w:beforeAutospacing="0" w:after="0" w:afterLines="0" w:afterAutospacing="0" w:line="256" w:lineRule="auto"/>
                    <w:ind w:left="0" w:leftChars="0" w:right="0" w:firstLine="0" w:firstLineChars="0"/>
                    <w:jc w:val="center"/>
                    <w:rPr>
                      <w:rFonts w:hint="default" w:ascii="Times New Roman" w:hAnsi="Times New Roman" w:eastAsia="宋体" w:cs="Times New Roman"/>
                      <w:snapToGrid/>
                      <w:color w:val="auto"/>
                      <w:kern w:val="0"/>
                      <w:sz w:val="21"/>
                      <w:szCs w:val="21"/>
                      <w:lang w:val="en-US" w:eastAsia="zh-CN" w:bidi="ar"/>
                    </w:rPr>
                  </w:pPr>
                  <w:r>
                    <w:rPr>
                      <w:rFonts w:hint="default" w:ascii="Times New Roman" w:hAnsi="Times New Roman" w:eastAsia="宋体" w:cs="Times New Roman"/>
                      <w:color w:val="auto"/>
                      <w:sz w:val="21"/>
                      <w:szCs w:val="16"/>
                      <w:highlight w:val="none"/>
                    </w:rPr>
                    <w:t>符合</w:t>
                  </w:r>
                </w:p>
              </w:tc>
            </w:tr>
          </w:tbl>
          <w:p>
            <w:pPr>
              <w:keepNext w:val="0"/>
              <w:keepLines w:val="0"/>
              <w:pageBreakBefore w:val="0"/>
              <w:widowControl w:val="0"/>
              <w:kinsoku/>
              <w:wordWrap/>
              <w:overflowPunct w:val="0"/>
              <w:topLinePunct w:val="0"/>
              <w:autoSpaceDE/>
              <w:autoSpaceDN/>
              <w:bidi w:val="0"/>
              <w:adjustRightInd/>
              <w:snapToGrid/>
              <w:spacing w:line="360" w:lineRule="auto"/>
              <w:ind w:left="0" w:leftChars="0" w:firstLine="420" w:firstLineChars="200"/>
              <w:textAlignment w:val="auto"/>
              <w:rPr>
                <w:rFonts w:hint="default"/>
                <w:color w:val="auto"/>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right="0"/>
              <w:jc w:val="both"/>
              <w:textAlignment w:val="auto"/>
              <w:outlineLvl w:val="9"/>
              <w:rPr>
                <w:rFonts w:hint="default" w:ascii="Times New Roman" w:hAnsi="Times New Roman" w:eastAsia="宋体" w:cs="Times New Roman"/>
                <w:color w:val="000000" w:themeColor="text1"/>
                <w:sz w:val="24"/>
                <w:lang w:eastAsia="zh-CN"/>
                <w14:textFill>
                  <w14:solidFill>
                    <w14:schemeClr w14:val="tx1"/>
                  </w14:solidFill>
                </w14:textFill>
              </w:rPr>
            </w:pPr>
          </w:p>
          <w:p>
            <w:pPr>
              <w:jc w:val="center"/>
              <w:rPr>
                <w:rFonts w:hint="default" w:ascii="Times New Roman" w:hAnsi="Times New Roman" w:eastAsia="宋体" w:cs="Times New Roman"/>
                <w:color w:val="auto"/>
                <w:lang w:val="en-US" w:eastAsia="zh-CN"/>
              </w:rPr>
            </w:pPr>
          </w:p>
        </w:tc>
      </w:tr>
    </w:tbl>
    <w:p>
      <w:pPr>
        <w:rPr>
          <w:rFonts w:hint="default" w:ascii="Times New Roman" w:hAnsi="Times New Roman" w:eastAsia="黑体" w:cs="Times New Roman"/>
          <w:snapToGrid w:val="0"/>
          <w:color w:val="auto"/>
          <w:sz w:val="30"/>
          <w:szCs w:val="30"/>
        </w:rPr>
      </w:pPr>
      <w:bookmarkStart w:id="4" w:name="_Toc26642"/>
      <w:r>
        <w:rPr>
          <w:rFonts w:hint="default" w:ascii="Times New Roman" w:hAnsi="Times New Roman" w:eastAsia="黑体" w:cs="Times New Roman"/>
          <w:snapToGrid w:val="0"/>
          <w:color w:val="auto"/>
          <w:sz w:val="30"/>
          <w:szCs w:val="30"/>
        </w:rPr>
        <w:br w:type="page"/>
      </w:r>
    </w:p>
    <w:p>
      <w:pPr>
        <w:pStyle w:val="32"/>
        <w:spacing w:before="0" w:beforeAutospacing="0" w:after="0" w:afterAutospacing="0" w:line="240" w:lineRule="auto"/>
        <w:jc w:val="center"/>
        <w:outlineLvl w:val="0"/>
        <w:rPr>
          <w:rFonts w:hint="default" w:ascii="Times New Roman" w:hAnsi="Times New Roman" w:cs="Times New Roman"/>
          <w:snapToGrid w:val="0"/>
          <w:color w:val="auto"/>
          <w:sz w:val="36"/>
          <w:szCs w:val="36"/>
        </w:rPr>
      </w:pPr>
      <w:r>
        <w:rPr>
          <w:rFonts w:hint="default" w:ascii="Times New Roman" w:hAnsi="Times New Roman" w:eastAsia="黑体" w:cs="Times New Roman"/>
          <w:snapToGrid w:val="0"/>
          <w:color w:val="auto"/>
          <w:sz w:val="30"/>
          <w:szCs w:val="30"/>
        </w:rPr>
        <w:t>二、建设项目工程分析</w:t>
      </w:r>
      <w:bookmarkEnd w:id="4"/>
    </w:p>
    <w:tbl>
      <w:tblPr>
        <w:tblStyle w:val="33"/>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6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91" w:hRule="atLeast"/>
          <w:jc w:val="center"/>
        </w:trPr>
        <w:tc>
          <w:tcPr>
            <w:tcW w:w="229" w:type="pct"/>
            <w:noWrap w:val="0"/>
            <w:vAlign w:val="center"/>
          </w:tcPr>
          <w:p>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Cs w:val="24"/>
                <w:lang w:val="en-US" w:eastAsia="zh-CN"/>
              </w:rPr>
              <w:t>建设内容</w:t>
            </w:r>
          </w:p>
        </w:tc>
        <w:tc>
          <w:tcPr>
            <w:tcW w:w="4770" w:type="pct"/>
            <w:noWrap w:val="0"/>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textAlignment w:val="auto"/>
              <w:rPr>
                <w:rFonts w:hint="default" w:ascii="Times New Roman" w:hAnsi="Times New Roman" w:cs="Times New Roman"/>
                <w:b/>
                <w:bCs/>
                <w:color w:val="auto"/>
                <w:sz w:val="24"/>
              </w:rPr>
            </w:pPr>
            <w:r>
              <w:rPr>
                <w:rFonts w:hint="default" w:ascii="Times New Roman" w:hAnsi="Times New Roman" w:eastAsia="宋体" w:cs="Times New Roman"/>
                <w:b/>
                <w:bCs/>
                <w:color w:val="auto"/>
                <w:kern w:val="2"/>
                <w:sz w:val="24"/>
                <w:szCs w:val="24"/>
                <w:lang w:val="en-US" w:eastAsia="zh-CN" w:bidi="ar-SA"/>
              </w:rPr>
              <w:t>1、</w:t>
            </w:r>
            <w:r>
              <w:rPr>
                <w:rFonts w:hint="default" w:ascii="Times New Roman" w:hAnsi="Times New Roman" w:cs="Times New Roman"/>
                <w:b/>
                <w:bCs/>
                <w:color w:val="auto"/>
                <w:sz w:val="24"/>
              </w:rPr>
              <w:t>工程建设规模及内容</w:t>
            </w:r>
          </w:p>
          <w:p>
            <w:pPr>
              <w:pStyle w:val="60"/>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0"/>
                <w:lang w:eastAsia="zh-CN"/>
              </w:rPr>
            </w:pPr>
            <w:r>
              <w:rPr>
                <w:rFonts w:hint="default" w:ascii="Times New Roman" w:hAnsi="Times New Roman" w:cs="Times New Roman"/>
                <w:color w:val="auto"/>
                <w:sz w:val="24"/>
                <w:szCs w:val="20"/>
                <w:lang w:eastAsia="zh-CN"/>
              </w:rPr>
              <w:t>（</w:t>
            </w:r>
            <w:r>
              <w:rPr>
                <w:rFonts w:hint="default" w:ascii="Times New Roman" w:hAnsi="Times New Roman" w:cs="Times New Roman"/>
                <w:color w:val="auto"/>
                <w:sz w:val="24"/>
                <w:szCs w:val="20"/>
                <w:lang w:val="en-US" w:eastAsia="zh-CN"/>
              </w:rPr>
              <w:t>1</w:t>
            </w:r>
            <w:r>
              <w:rPr>
                <w:rFonts w:hint="default" w:ascii="Times New Roman" w:hAnsi="Times New Roman" w:cs="Times New Roman"/>
                <w:color w:val="auto"/>
                <w:sz w:val="24"/>
                <w:szCs w:val="20"/>
                <w:lang w:eastAsia="zh-CN"/>
              </w:rPr>
              <w:t>）项目</w:t>
            </w:r>
            <w:r>
              <w:rPr>
                <w:rFonts w:hint="eastAsia" w:ascii="Times New Roman" w:hAnsi="Times New Roman" w:cs="Times New Roman"/>
                <w:color w:val="auto"/>
                <w:sz w:val="24"/>
                <w:szCs w:val="20"/>
                <w:lang w:val="en-US" w:eastAsia="zh-CN"/>
              </w:rPr>
              <w:t>由来</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六安喜达再生资源有限公司位于</w:t>
            </w:r>
            <w:r>
              <w:rPr>
                <w:rFonts w:hint="default" w:ascii="Times New Roman" w:hAnsi="Times New Roman" w:cs="Times New Roman"/>
                <w:sz w:val="24"/>
                <w:szCs w:val="24"/>
                <w:lang w:eastAsia="zh-CN"/>
              </w:rPr>
              <w:t>安徽金寨经济开发区</w:t>
            </w:r>
            <w:r>
              <w:rPr>
                <w:rFonts w:hint="default" w:ascii="Times New Roman" w:hAnsi="Times New Roman" w:eastAsia="宋体" w:cs="Times New Roman"/>
                <w:sz w:val="24"/>
                <w:szCs w:val="24"/>
              </w:rPr>
              <w:t>清水路与新四路交叉口</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地理中心坐标为</w:t>
            </w:r>
            <w:r>
              <w:rPr>
                <w:rFonts w:hint="default" w:ascii="Times New Roman" w:hAnsi="Times New Roman" w:eastAsia="Helvetica" w:cs="Times New Roman"/>
                <w:i w:val="0"/>
                <w:iCs w:val="0"/>
                <w:caps w:val="0"/>
                <w:color w:val="000000"/>
                <w:spacing w:val="0"/>
                <w:sz w:val="24"/>
                <w:szCs w:val="24"/>
                <w:shd w:val="clear" w:fill="FFFFFF"/>
              </w:rPr>
              <w:t>115°59'47.995",31°45'57</w:t>
            </w:r>
            <w:r>
              <w:rPr>
                <w:rFonts w:hint="default" w:ascii="Times New Roman" w:hAnsi="Times New Roman" w:eastAsia="宋体" w:cs="Times New Roman"/>
                <w:i w:val="0"/>
                <w:iCs w:val="0"/>
                <w:caps w:val="0"/>
                <w:color w:val="000000"/>
                <w:spacing w:val="0"/>
                <w:sz w:val="24"/>
                <w:szCs w:val="24"/>
                <w:shd w:val="clear" w:fill="FFFFFF"/>
                <w:lang w:val="en-US" w:eastAsia="zh-CN"/>
              </w:rPr>
              <w:t>.</w:t>
            </w:r>
            <w:r>
              <w:rPr>
                <w:rFonts w:hint="default" w:ascii="Times New Roman" w:hAnsi="Times New Roman" w:eastAsia="Helvetica" w:cs="Times New Roman"/>
                <w:i w:val="0"/>
                <w:iCs w:val="0"/>
                <w:caps w:val="0"/>
                <w:color w:val="000000"/>
                <w:spacing w:val="0"/>
                <w:sz w:val="24"/>
                <w:szCs w:val="24"/>
                <w:shd w:val="clear" w:fill="FFFFFF"/>
              </w:rPr>
              <w:t>58</w:t>
            </w:r>
            <w:r>
              <w:rPr>
                <w:rFonts w:hint="default" w:ascii="Times New Roman" w:hAnsi="Times New Roman" w:eastAsia="宋体" w:cs="Times New Roman"/>
                <w:i w:val="0"/>
                <w:iCs w:val="0"/>
                <w:caps w:val="0"/>
                <w:color w:val="000000"/>
                <w:spacing w:val="0"/>
                <w:sz w:val="24"/>
                <w:szCs w:val="24"/>
                <w:shd w:val="clear" w:fill="FFFFFF"/>
                <w:lang w:val="en-US" w:eastAsia="zh-CN"/>
              </w:rPr>
              <w:t>2</w:t>
            </w:r>
            <w:r>
              <w:rPr>
                <w:rFonts w:hint="default" w:ascii="Times New Roman" w:hAnsi="Times New Roman" w:eastAsia="Helvetica" w:cs="Times New Roman"/>
                <w:i w:val="0"/>
                <w:iCs w:val="0"/>
                <w:caps w:val="0"/>
                <w:color w:val="000000"/>
                <w:spacing w:val="0"/>
                <w:sz w:val="24"/>
                <w:szCs w:val="24"/>
                <w:shd w:val="clear" w:fill="FFFFFF"/>
              </w:rPr>
              <w:t>"</w:t>
            </w:r>
            <w:r>
              <w:rPr>
                <w:rFonts w:hint="default" w:ascii="Times New Roman" w:hAnsi="Times New Roman" w:eastAsia="宋体" w:cs="Times New Roman"/>
                <w:i w:val="0"/>
                <w:iCs w:val="0"/>
                <w:caps w:val="0"/>
                <w:color w:val="000000"/>
                <w:spacing w:val="0"/>
                <w:sz w:val="24"/>
                <w:szCs w:val="24"/>
                <w:shd w:val="clear" w:fill="FFFFFF"/>
                <w:lang w:eastAsia="zh-CN"/>
              </w:rPr>
              <w:t>，</w:t>
            </w:r>
            <w:r>
              <w:rPr>
                <w:rFonts w:hint="default" w:ascii="Times New Roman" w:hAnsi="Times New Roman" w:eastAsia="宋体" w:cs="Times New Roman"/>
                <w:i w:val="0"/>
                <w:iCs w:val="0"/>
                <w:caps w:val="0"/>
                <w:color w:val="000000"/>
                <w:spacing w:val="0"/>
                <w:sz w:val="24"/>
                <w:szCs w:val="24"/>
                <w:shd w:val="clear" w:fill="FFFFFF"/>
                <w:lang w:val="en-US" w:eastAsia="zh-CN"/>
              </w:rPr>
              <w:t>公司</w:t>
            </w:r>
            <w:r>
              <w:rPr>
                <w:rFonts w:hint="default" w:ascii="Times New Roman" w:hAnsi="Times New Roman" w:cs="Times New Roman"/>
                <w:color w:val="auto"/>
                <w:sz w:val="24"/>
                <w:szCs w:val="24"/>
                <w:lang w:eastAsia="zh-CN"/>
              </w:rPr>
              <w:t>租赁安徽中鑫宏伟科技有限公司1＃综合厂房二楼东南侧</w:t>
            </w:r>
            <w:r>
              <w:rPr>
                <w:rFonts w:hint="default" w:ascii="Times New Roman" w:hAnsi="Times New Roman" w:cs="Times New Roman"/>
                <w:color w:val="auto"/>
                <w:sz w:val="24"/>
                <w:szCs w:val="24"/>
                <w:lang w:val="en-US" w:eastAsia="zh-CN"/>
              </w:rPr>
              <w:t>建筑面积</w:t>
            </w:r>
            <w:r>
              <w:rPr>
                <w:rFonts w:hint="eastAsia" w:ascii="Times New Roman" w:hAnsi="Times New Roman" w:cs="Times New Roman"/>
                <w:color w:val="auto"/>
                <w:sz w:val="24"/>
                <w:szCs w:val="24"/>
                <w:lang w:val="en-US" w:eastAsia="zh-CN"/>
              </w:rPr>
              <w:t>约3500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sz w:val="24"/>
                <w:szCs w:val="24"/>
                <w:lang w:val="en-US" w:eastAsia="zh-CN"/>
              </w:rPr>
              <w:t>作为生产及办公场所</w:t>
            </w:r>
            <w:r>
              <w:rPr>
                <w:rFonts w:hint="default" w:ascii="Times New Roman" w:hAnsi="Times New Roman" w:cs="Times New Roman"/>
              </w:rPr>
              <w:t>，</w:t>
            </w:r>
            <w:r>
              <w:rPr>
                <w:rFonts w:hint="default" w:ascii="Times New Roman" w:hAnsi="Times New Roman" w:cs="Times New Roman"/>
                <w:color w:val="auto"/>
                <w:sz w:val="24"/>
                <w:szCs w:val="24"/>
                <w:lang w:eastAsia="zh-CN"/>
              </w:rPr>
              <w:t>建设3条</w:t>
            </w:r>
            <w:r>
              <w:rPr>
                <w:rFonts w:hint="eastAsia" w:ascii="Times New Roman" w:hAnsi="Times New Roman" w:cs="Times New Roman"/>
                <w:color w:val="auto"/>
                <w:sz w:val="24"/>
                <w:szCs w:val="24"/>
                <w:lang w:val="en-US" w:eastAsia="zh-CN"/>
              </w:rPr>
              <w:t>废塑料综合利用</w:t>
            </w:r>
            <w:r>
              <w:rPr>
                <w:rFonts w:hint="default" w:ascii="Times New Roman" w:hAnsi="Times New Roman" w:cs="Times New Roman"/>
                <w:color w:val="auto"/>
                <w:sz w:val="24"/>
                <w:szCs w:val="24"/>
                <w:lang w:eastAsia="zh-CN"/>
              </w:rPr>
              <w:t>生产线，</w:t>
            </w:r>
            <w:r>
              <w:rPr>
                <w:rFonts w:hint="default" w:ascii="Times New Roman" w:hAnsi="Times New Roman" w:cs="Times New Roman"/>
                <w:color w:val="auto"/>
                <w:sz w:val="24"/>
                <w:szCs w:val="24"/>
                <w:lang w:val="en-US" w:eastAsia="zh-CN"/>
              </w:rPr>
              <w:t>以废塑料为原料，经</w:t>
            </w:r>
            <w:r>
              <w:rPr>
                <w:rFonts w:hint="default" w:ascii="Times New Roman" w:hAnsi="Times New Roman" w:cs="Times New Roman"/>
                <w:color w:val="auto"/>
                <w:sz w:val="24"/>
                <w:szCs w:val="24"/>
                <w:lang w:eastAsia="zh-CN"/>
              </w:rPr>
              <w:t>熔熔、搅拌、挤压等工序，生产聚乙烯蜡颗粒，配套相应的环保工程、公用工程，</w:t>
            </w:r>
            <w:r>
              <w:rPr>
                <w:rFonts w:hint="default" w:ascii="Times New Roman" w:hAnsi="Times New Roman" w:cs="Times New Roman"/>
                <w:color w:val="auto"/>
                <w:sz w:val="24"/>
                <w:szCs w:val="24"/>
                <w:lang w:val="en-US" w:eastAsia="zh-CN"/>
              </w:rPr>
              <w:t>建成后可形成</w:t>
            </w:r>
            <w:r>
              <w:rPr>
                <w:rFonts w:hint="default" w:ascii="Times New Roman" w:hAnsi="Times New Roman" w:cs="Times New Roman"/>
                <w:color w:val="auto"/>
                <w:sz w:val="24"/>
                <w:szCs w:val="24"/>
                <w:lang w:eastAsia="zh-CN"/>
              </w:rPr>
              <w:t>年产5000吨聚乙烯蜡颗粒</w:t>
            </w:r>
            <w:r>
              <w:rPr>
                <w:rFonts w:hint="default" w:ascii="Times New Roman" w:hAnsi="Times New Roman" w:cs="Times New Roman"/>
                <w:color w:val="auto"/>
                <w:sz w:val="24"/>
                <w:szCs w:val="24"/>
                <w:lang w:val="en-US" w:eastAsia="zh-CN"/>
              </w:rPr>
              <w:t>的生产规模</w:t>
            </w:r>
            <w:r>
              <w:rPr>
                <w:rFonts w:hint="default" w:ascii="Times New Roman" w:hAnsi="Times New Roman" w:cs="Times New Roman"/>
                <w:color w:val="auto"/>
                <w:sz w:val="24"/>
                <w:szCs w:val="24"/>
                <w:lang w:eastAsia="zh-CN"/>
              </w:rPr>
              <w:t>。</w:t>
            </w:r>
          </w:p>
          <w:p>
            <w:pPr>
              <w:pStyle w:val="14"/>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color w:val="auto"/>
                <w:kern w:val="2"/>
                <w:sz w:val="24"/>
                <w:szCs w:val="24"/>
                <w:lang w:val="en-US" w:eastAsia="zh-CN"/>
              </w:rPr>
            </w:pPr>
            <w:r>
              <w:rPr>
                <w:rFonts w:hint="default" w:ascii="Times New Roman" w:hAnsi="Times New Roman" w:eastAsia="宋体" w:cs="Times New Roman"/>
                <w:color w:val="auto"/>
                <w:sz w:val="24"/>
                <w:szCs w:val="24"/>
                <w:lang w:val="en-US" w:eastAsia="zh-CN"/>
              </w:rPr>
              <w:t>根据《中华人民共和国环境保护法》、《中华人民共和国环境影响评价法》及国务院第682号令《建设项目环境保护管理条例》等法律法规，本项目需开展环境影响评价工作；本项目使用废塑料作为原料生产，产品为聚乙烯蜡颗粒，生产产品的主要用途为</w:t>
            </w:r>
            <w:r>
              <w:rPr>
                <w:rFonts w:hint="default" w:ascii="Times New Roman" w:hAnsi="Times New Roman" w:eastAsia="宋体" w:cs="Times New Roman"/>
                <w:sz w:val="24"/>
                <w:szCs w:val="24"/>
                <w:lang w:eastAsia="zh-CN"/>
              </w:rPr>
              <w:t>填充母粒、色母粒，</w:t>
            </w:r>
            <w:r>
              <w:rPr>
                <w:rFonts w:hint="default" w:ascii="Times New Roman" w:hAnsi="Times New Roman" w:eastAsia="宋体" w:cs="Times New Roman"/>
                <w:sz w:val="24"/>
                <w:szCs w:val="24"/>
                <w:lang w:val="en-US" w:eastAsia="zh-CN"/>
              </w:rPr>
              <w:t>不作为化工助剂使用，因此判定</w:t>
            </w:r>
            <w:r>
              <w:rPr>
                <w:rFonts w:hint="default" w:ascii="Times New Roman" w:hAnsi="Times New Roman" w:eastAsia="宋体" w:cs="Times New Roman"/>
                <w:color w:val="auto"/>
                <w:sz w:val="24"/>
                <w:szCs w:val="24"/>
                <w:lang w:val="en-US" w:eastAsia="zh-CN"/>
              </w:rPr>
              <w:t>本项目行业类别属于《国民经济行业分类》（GB/T 4754-2017）中的“</w:t>
            </w:r>
            <w:r>
              <w:rPr>
                <w:rFonts w:hint="default" w:ascii="Times New Roman" w:hAnsi="Times New Roman" w:eastAsia="宋体" w:cs="Times New Roman"/>
                <w:color w:val="000000"/>
                <w:kern w:val="0"/>
                <w:sz w:val="24"/>
                <w:szCs w:val="24"/>
                <w:lang w:val="en-US" w:eastAsia="zh-CN" w:bidi="ar"/>
              </w:rPr>
              <w:t>三十九、废弃资源综合利用业42——85非金属废料和碎屑加工处理422（不含原料为危险废物的，均不含仅分拣、破碎的）”中的“废塑料加工处理”类别</w:t>
            </w:r>
            <w:r>
              <w:rPr>
                <w:rFonts w:hint="default" w:ascii="Times New Roman" w:hAnsi="Times New Roman" w:eastAsia="宋体" w:cs="Times New Roman"/>
                <w:color w:val="auto"/>
                <w:sz w:val="24"/>
                <w:szCs w:val="24"/>
                <w:lang w:val="en-US" w:eastAsia="zh-CN"/>
              </w:rPr>
              <w:t>。对照《建设项目环境影响评价分类管理名录》（2021年版）（2021年1月1日实施），本项目应编写环境影响报告表，环境影响评价类别判定情况见下表2.1</w:t>
            </w:r>
            <w:r>
              <w:rPr>
                <w:rFonts w:hint="default" w:ascii="Times New Roman" w:hAnsi="Times New Roman" w:cs="Times New Roman"/>
                <w:color w:val="auto"/>
                <w:sz w:val="24"/>
                <w:szCs w:val="24"/>
                <w:lang w:val="en-US" w:eastAsia="zh-CN"/>
              </w:rPr>
              <w:t>：</w:t>
            </w:r>
          </w:p>
          <w:p>
            <w:pPr>
              <w:pStyle w:val="58"/>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kern w:val="2"/>
                <w:sz w:val="24"/>
                <w:szCs w:val="24"/>
                <w:lang w:val="en-US" w:eastAsia="zh-CN"/>
              </w:rPr>
            </w:pPr>
            <w:r>
              <w:rPr>
                <w:rFonts w:hint="default" w:ascii="Times New Roman" w:hAnsi="Times New Roman" w:cs="Times New Roman"/>
                <w:b/>
                <w:bCs/>
                <w:color w:val="auto"/>
                <w:kern w:val="2"/>
                <w:sz w:val="24"/>
                <w:szCs w:val="24"/>
                <w:lang w:val="en-US" w:eastAsia="zh-CN"/>
              </w:rPr>
              <w:t>表2.1项目环评类别判定表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2333"/>
              <w:gridCol w:w="793"/>
              <w:gridCol w:w="2722"/>
              <w:gridCol w:w="467"/>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0" w:type="auto"/>
                  <w:gridSpan w:val="2"/>
                  <w:vMerge w:val="restart"/>
                  <w:tcBorders>
                    <w:tl2br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right="0" w:firstLine="1686" w:firstLineChars="800"/>
                    <w:rPr>
                      <w:rFonts w:hint="default" w:ascii="Times New Roman" w:hAnsi="Times New Roman" w:eastAsia="宋体" w:cs="Times New Roman"/>
                      <w:b/>
                      <w:bCs/>
                      <w:position w:val="6"/>
                      <w:sz w:val="21"/>
                      <w:szCs w:val="21"/>
                    </w:rPr>
                  </w:pPr>
                  <w:r>
                    <w:rPr>
                      <w:rFonts w:hint="default" w:ascii="Times New Roman" w:hAnsi="Times New Roman" w:eastAsia="宋体" w:cs="Times New Roman"/>
                      <w:b/>
                      <w:bCs/>
                      <w:position w:val="6"/>
                      <w:sz w:val="21"/>
                      <w:szCs w:val="21"/>
                    </w:rPr>
                    <w:t>环评类别</w:t>
                  </w:r>
                </w:p>
                <w:p>
                  <w:pPr>
                    <w:keepNext w:val="0"/>
                    <w:keepLines w:val="0"/>
                    <w:suppressLineNumbers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b/>
                      <w:bCs/>
                      <w:position w:val="6"/>
                      <w:sz w:val="21"/>
                      <w:szCs w:val="21"/>
                    </w:rPr>
                  </w:pPr>
                  <w:r>
                    <w:rPr>
                      <w:rFonts w:hint="default" w:ascii="Times New Roman" w:hAnsi="Times New Roman" w:eastAsia="宋体" w:cs="Times New Roman"/>
                      <w:b/>
                      <w:bCs/>
                      <w:position w:val="6"/>
                      <w:sz w:val="21"/>
                      <w:szCs w:val="21"/>
                    </w:rPr>
                    <w:t>项目类别</w:t>
                  </w:r>
                </w:p>
              </w:tc>
              <w:tc>
                <w:tcPr>
                  <w:tcW w:w="0" w:type="auto"/>
                  <w:gridSpan w:val="3"/>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position w:val="6"/>
                      <w:sz w:val="21"/>
                      <w:szCs w:val="21"/>
                    </w:rPr>
                  </w:pPr>
                  <w:r>
                    <w:rPr>
                      <w:rFonts w:hint="default" w:ascii="Times New Roman" w:hAnsi="Times New Roman" w:eastAsia="宋体" w:cs="Times New Roman"/>
                      <w:b/>
                      <w:bCs/>
                      <w:position w:val="6"/>
                      <w:sz w:val="21"/>
                      <w:szCs w:val="21"/>
                    </w:rPr>
                    <w:t>环境影响评价类别</w:t>
                  </w:r>
                </w:p>
              </w:tc>
              <w:tc>
                <w:tcPr>
                  <w:tcW w:w="0" w:type="auto"/>
                  <w:vMerge w:val="restar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position w:val="6"/>
                      <w:sz w:val="21"/>
                      <w:szCs w:val="21"/>
                    </w:rPr>
                  </w:pPr>
                  <w:r>
                    <w:rPr>
                      <w:rFonts w:hint="default" w:ascii="Times New Roman" w:hAnsi="Times New Roman" w:eastAsia="宋体" w:cs="Times New Roman"/>
                      <w:b/>
                      <w:bCs/>
                      <w:position w:val="6"/>
                      <w:sz w:val="21"/>
                      <w:szCs w:val="21"/>
                    </w:rPr>
                    <w:t>项目环评类别判定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0" w:type="auto"/>
                  <w:gridSpan w:val="2"/>
                  <w:vMerge w:val="continue"/>
                  <w:tcBorders>
                    <w:tl2br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position w:val="6"/>
                      <w:sz w:val="21"/>
                      <w:szCs w:val="21"/>
                    </w:rPr>
                  </w:pPr>
                </w:p>
              </w:tc>
              <w:tc>
                <w:tcPr>
                  <w:tcW w:w="0" w:type="auto"/>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position w:val="6"/>
                      <w:sz w:val="21"/>
                      <w:szCs w:val="21"/>
                    </w:rPr>
                  </w:pPr>
                  <w:r>
                    <w:rPr>
                      <w:rFonts w:hint="default" w:ascii="Times New Roman" w:hAnsi="Times New Roman" w:eastAsia="宋体" w:cs="Times New Roman"/>
                      <w:b/>
                      <w:bCs/>
                      <w:position w:val="6"/>
                      <w:sz w:val="21"/>
                      <w:szCs w:val="21"/>
                    </w:rPr>
                    <w:t>报告书</w:t>
                  </w:r>
                </w:p>
              </w:tc>
              <w:tc>
                <w:tcPr>
                  <w:tcW w:w="0" w:type="auto"/>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position w:val="6"/>
                      <w:sz w:val="21"/>
                      <w:szCs w:val="21"/>
                    </w:rPr>
                  </w:pPr>
                  <w:r>
                    <w:rPr>
                      <w:rFonts w:hint="default" w:ascii="Times New Roman" w:hAnsi="Times New Roman" w:eastAsia="宋体" w:cs="Times New Roman"/>
                      <w:b/>
                      <w:bCs/>
                      <w:position w:val="6"/>
                      <w:sz w:val="21"/>
                      <w:szCs w:val="21"/>
                    </w:rPr>
                    <w:t>报告表</w:t>
                  </w:r>
                </w:p>
              </w:tc>
              <w:tc>
                <w:tcPr>
                  <w:tcW w:w="0" w:type="auto"/>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position w:val="6"/>
                      <w:sz w:val="21"/>
                      <w:szCs w:val="21"/>
                    </w:rPr>
                  </w:pPr>
                  <w:r>
                    <w:rPr>
                      <w:rFonts w:hint="default" w:ascii="Times New Roman" w:hAnsi="Times New Roman" w:eastAsia="宋体" w:cs="Times New Roman"/>
                      <w:b/>
                      <w:bCs/>
                      <w:position w:val="6"/>
                      <w:sz w:val="21"/>
                      <w:szCs w:val="21"/>
                    </w:rPr>
                    <w:t>登记表</w:t>
                  </w:r>
                </w:p>
              </w:tc>
              <w:tc>
                <w:tcPr>
                  <w:tcW w:w="0" w:type="auto"/>
                  <w:vMerge w:val="continue"/>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position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0" w:type="auto"/>
                  <w:noWrap w:val="0"/>
                  <w:vAlign w:val="center"/>
                </w:tcPr>
                <w:p>
                  <w:pPr>
                    <w:keepNext w:val="0"/>
                    <w:keepLines w:val="0"/>
                    <w:widowControl/>
                    <w:suppressLineNumbers w:val="0"/>
                    <w:jc w:val="left"/>
                    <w:rPr>
                      <w:rFonts w:hint="default" w:ascii="Times New Roman" w:hAnsi="Times New Roman" w:eastAsia="宋体" w:cs="Times New Roman"/>
                      <w:position w:val="6"/>
                      <w:sz w:val="21"/>
                      <w:szCs w:val="21"/>
                      <w:lang w:val="en-US" w:eastAsia="zh-CN"/>
                    </w:rPr>
                  </w:pPr>
                  <w:r>
                    <w:rPr>
                      <w:rFonts w:hint="default" w:ascii="Times New Roman" w:hAnsi="Times New Roman" w:eastAsia="宋体" w:cs="Times New Roman"/>
                      <w:color w:val="000000"/>
                      <w:kern w:val="0"/>
                      <w:sz w:val="21"/>
                      <w:szCs w:val="21"/>
                      <w:lang w:val="en-US" w:eastAsia="zh-CN" w:bidi="ar"/>
                    </w:rPr>
                    <w:t>三十九、废弃资源综合利用业42</w:t>
                  </w:r>
                </w:p>
              </w:tc>
              <w:tc>
                <w:tcPr>
                  <w:tcW w:w="0" w:type="auto"/>
                  <w:noWrap w:val="0"/>
                  <w:vAlign w:val="center"/>
                </w:tcPr>
                <w:p>
                  <w:pPr>
                    <w:keepNext w:val="0"/>
                    <w:keepLines w:val="0"/>
                    <w:widowControl/>
                    <w:suppressLineNumbers w:val="0"/>
                    <w:jc w:val="left"/>
                    <w:rPr>
                      <w:rFonts w:hint="default" w:ascii="Times New Roman" w:hAnsi="Times New Roman" w:eastAsia="宋体" w:cs="Times New Roman"/>
                      <w:b w:val="0"/>
                      <w:bCs w:val="0"/>
                      <w:position w:val="6"/>
                      <w:sz w:val="21"/>
                      <w:szCs w:val="21"/>
                      <w:lang w:val="en-US" w:eastAsia="zh-CN"/>
                    </w:rPr>
                  </w:pPr>
                  <w:r>
                    <w:rPr>
                      <w:rFonts w:hint="default" w:ascii="Times New Roman" w:hAnsi="Times New Roman" w:eastAsia="宋体" w:cs="Times New Roman"/>
                      <w:color w:val="000000"/>
                      <w:kern w:val="0"/>
                      <w:sz w:val="21"/>
                      <w:szCs w:val="21"/>
                      <w:lang w:val="en-US" w:eastAsia="zh-CN" w:bidi="ar"/>
                    </w:rPr>
                    <w:t>85金属废料和碎屑加工处理421；非金属废料和碎屑加工处理422（421和422均不含原料为危险废物的，均不含仅分拣、破碎的）</w:t>
                  </w:r>
                </w:p>
              </w:tc>
              <w:tc>
                <w:tcPr>
                  <w:tcW w:w="0" w:type="auto"/>
                  <w:noWrap w:val="0"/>
                  <w:vAlign w:val="center"/>
                </w:tcPr>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废电池、废油加工处理</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position w:val="6"/>
                      <w:sz w:val="21"/>
                      <w:szCs w:val="21"/>
                    </w:rPr>
                  </w:pPr>
                </w:p>
              </w:tc>
              <w:tc>
                <w:tcPr>
                  <w:tcW w:w="0" w:type="auto"/>
                  <w:noWrap w:val="0"/>
                  <w:vAlign w:val="center"/>
                </w:tcPr>
                <w:p>
                  <w:pPr>
                    <w:keepNext w:val="0"/>
                    <w:keepLines w:val="0"/>
                    <w:widowControl/>
                    <w:suppressLineNumbers w:val="0"/>
                    <w:jc w:val="left"/>
                    <w:rPr>
                      <w:rFonts w:hint="default" w:ascii="Times New Roman" w:hAnsi="Times New Roman" w:eastAsia="宋体" w:cs="Times New Roman"/>
                      <w:b w:val="0"/>
                      <w:bCs w:val="0"/>
                      <w:position w:val="6"/>
                      <w:sz w:val="21"/>
                      <w:szCs w:val="21"/>
                      <w:lang w:eastAsia="zh-CN"/>
                    </w:rPr>
                  </w:pPr>
                  <w:r>
                    <w:rPr>
                      <w:rFonts w:hint="default" w:ascii="Times New Roman" w:hAnsi="Times New Roman" w:eastAsia="宋体" w:cs="Times New Roman"/>
                      <w:color w:val="000000"/>
                      <w:kern w:val="0"/>
                      <w:sz w:val="21"/>
                      <w:szCs w:val="21"/>
                      <w:lang w:val="en-US" w:eastAsia="zh-CN" w:bidi="ar"/>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p>
              </w:tc>
              <w:tc>
                <w:tcPr>
                  <w:tcW w:w="0" w:type="auto"/>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position w:val="6"/>
                      <w:sz w:val="21"/>
                      <w:szCs w:val="21"/>
                    </w:rPr>
                  </w:pPr>
                  <w:r>
                    <w:rPr>
                      <w:rFonts w:hint="default" w:ascii="Times New Roman" w:hAnsi="Times New Roman" w:eastAsia="宋体" w:cs="Times New Roman"/>
                      <w:position w:val="6"/>
                      <w:sz w:val="21"/>
                      <w:szCs w:val="21"/>
                    </w:rPr>
                    <w:t>/</w:t>
                  </w:r>
                </w:p>
              </w:tc>
              <w:tc>
                <w:tcPr>
                  <w:tcW w:w="0" w:type="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position w:val="6"/>
                      <w:sz w:val="21"/>
                      <w:szCs w:val="21"/>
                    </w:rPr>
                  </w:pPr>
                  <w:r>
                    <w:rPr>
                      <w:rFonts w:hint="default" w:ascii="Times New Roman" w:hAnsi="Times New Roman" w:eastAsia="宋体" w:cs="Times New Roman"/>
                      <w:color w:val="000000"/>
                      <w:kern w:val="0"/>
                      <w:sz w:val="21"/>
                      <w:szCs w:val="21"/>
                      <w:lang w:val="en-US" w:eastAsia="zh-CN" w:bidi="ar"/>
                    </w:rPr>
                    <w:t>本项目属于废塑料加工处理，应该编制报告表</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val="en-US" w:eastAsia="zh-CN"/>
              </w:rPr>
            </w:pPr>
            <w:bookmarkStart w:id="5" w:name="OLE_LINK99"/>
            <w:r>
              <w:rPr>
                <w:rFonts w:hint="default" w:ascii="Times New Roman" w:hAnsi="Times New Roman" w:eastAsia="宋体" w:cs="Times New Roman"/>
                <w:color w:val="auto"/>
                <w:sz w:val="24"/>
                <w:szCs w:val="24"/>
                <w:lang w:val="en-US" w:eastAsia="zh-CN"/>
              </w:rPr>
              <w:t>根据《固定污染源排污许可分类管理名录》（2019年版）其中</w:t>
            </w:r>
            <w:r>
              <w:rPr>
                <w:rFonts w:hint="default"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color w:val="000000"/>
                <w:kern w:val="0"/>
                <w:sz w:val="24"/>
                <w:szCs w:val="24"/>
                <w:lang w:val="en-US" w:eastAsia="zh-CN" w:bidi="ar"/>
              </w:rPr>
              <w:t>三十</w:t>
            </w:r>
            <w:r>
              <w:rPr>
                <w:rFonts w:hint="eastAsia" w:cs="Times New Roman"/>
                <w:color w:val="000000"/>
                <w:kern w:val="0"/>
                <w:sz w:val="24"/>
                <w:szCs w:val="24"/>
                <w:lang w:val="en-US" w:eastAsia="zh-CN" w:bidi="ar"/>
              </w:rPr>
              <w:t>七</w:t>
            </w:r>
            <w:r>
              <w:rPr>
                <w:rFonts w:hint="default" w:ascii="Times New Roman" w:hAnsi="Times New Roman" w:eastAsia="宋体" w:cs="Times New Roman"/>
                <w:color w:val="000000"/>
                <w:kern w:val="0"/>
                <w:sz w:val="24"/>
                <w:szCs w:val="24"/>
                <w:lang w:val="en-US" w:eastAsia="zh-CN" w:bidi="ar"/>
              </w:rPr>
              <w:t>、废弃资源综合利用业42</w:t>
            </w:r>
            <w:r>
              <w:rPr>
                <w:rFonts w:hint="default" w:ascii="Times New Roman" w:hAnsi="Times New Roman" w:eastAsia="宋体" w:cs="Times New Roman"/>
                <w:b w:val="0"/>
                <w:bCs w:val="0"/>
                <w:sz w:val="24"/>
                <w:szCs w:val="24"/>
                <w:highlight w:val="none"/>
                <w:lang w:val="en-US" w:eastAsia="zh-CN"/>
              </w:rPr>
              <w:t>”中“</w:t>
            </w:r>
            <w:r>
              <w:rPr>
                <w:rFonts w:hint="eastAsia" w:cs="Times New Roman"/>
                <w:b w:val="0"/>
                <w:bCs w:val="0"/>
                <w:sz w:val="24"/>
                <w:szCs w:val="24"/>
                <w:highlight w:val="none"/>
                <w:lang w:val="en-US" w:eastAsia="zh-CN"/>
              </w:rPr>
              <w:t>93.</w:t>
            </w:r>
            <w:r>
              <w:rPr>
                <w:rFonts w:hint="default" w:ascii="Times New Roman" w:hAnsi="Times New Roman" w:eastAsia="宋体" w:cs="Times New Roman"/>
                <w:color w:val="000000"/>
                <w:kern w:val="0"/>
                <w:sz w:val="24"/>
                <w:szCs w:val="24"/>
                <w:lang w:val="en-US" w:eastAsia="zh-CN" w:bidi="ar"/>
              </w:rPr>
              <w:t>非金属废料和碎屑加工处理422</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本项目年产5000吨聚乙烯蜡颗粒，</w:t>
            </w:r>
            <w:r>
              <w:rPr>
                <w:rFonts w:hint="eastAsia" w:cs="Times New Roman"/>
                <w:b w:val="0"/>
                <w:bCs w:val="0"/>
                <w:sz w:val="24"/>
                <w:szCs w:val="24"/>
                <w:highlight w:val="none"/>
                <w:vertAlign w:val="baseline"/>
                <w:lang w:val="en-US" w:eastAsia="zh-CN"/>
              </w:rPr>
              <w:t>在排污管理类别中属于</w:t>
            </w:r>
            <w:r>
              <w:rPr>
                <w:rFonts w:hint="eastAsia" w:cs="Times New Roman"/>
                <w:color w:val="auto"/>
                <w:sz w:val="24"/>
                <w:szCs w:val="24"/>
                <w:lang w:val="en-US" w:eastAsia="zh-CN"/>
              </w:rPr>
              <w:t>简化</w:t>
            </w:r>
            <w:r>
              <w:rPr>
                <w:rFonts w:hint="default" w:ascii="Times New Roman" w:hAnsi="Times New Roman" w:eastAsia="宋体" w:cs="Times New Roman"/>
                <w:color w:val="auto"/>
                <w:sz w:val="24"/>
                <w:szCs w:val="24"/>
                <w:lang w:val="en-US" w:eastAsia="zh-CN"/>
              </w:rPr>
              <w:t>管理，具体判定如下表2.2。</w:t>
            </w:r>
            <w:bookmarkEnd w:id="5"/>
          </w:p>
          <w:p>
            <w:pPr>
              <w:pStyle w:val="58"/>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kern w:val="2"/>
                <w:sz w:val="24"/>
                <w:szCs w:val="24"/>
                <w:lang w:val="en-US" w:eastAsia="zh-CN"/>
              </w:rPr>
            </w:pPr>
            <w:r>
              <w:rPr>
                <w:rFonts w:hint="default" w:ascii="Times New Roman" w:hAnsi="Times New Roman" w:cs="Times New Roman"/>
                <w:b/>
                <w:bCs/>
                <w:color w:val="auto"/>
                <w:kern w:val="2"/>
                <w:sz w:val="24"/>
                <w:szCs w:val="24"/>
                <w:lang w:val="en-US" w:eastAsia="zh-CN"/>
              </w:rPr>
              <w:t>表2.2排污管理类别分析</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1932"/>
              <w:gridCol w:w="1168"/>
              <w:gridCol w:w="2677"/>
              <w:gridCol w:w="561"/>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序号</w:t>
                  </w:r>
                </w:p>
              </w:tc>
              <w:tc>
                <w:tcPr>
                  <w:tcW w:w="0" w:type="auto"/>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行业类别</w:t>
                  </w:r>
                </w:p>
              </w:tc>
              <w:tc>
                <w:tcPr>
                  <w:tcW w:w="0" w:type="auto"/>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重点管理</w:t>
                  </w:r>
                </w:p>
              </w:tc>
              <w:tc>
                <w:tcPr>
                  <w:tcW w:w="0" w:type="auto"/>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简化管理</w:t>
                  </w:r>
                </w:p>
              </w:tc>
              <w:tc>
                <w:tcPr>
                  <w:tcW w:w="0" w:type="auto"/>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登记管理</w:t>
                  </w:r>
                </w:p>
              </w:tc>
              <w:tc>
                <w:tcPr>
                  <w:tcW w:w="0" w:type="auto"/>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本项目情况</w:t>
                  </w:r>
                </w:p>
                <w:p>
                  <w:pPr>
                    <w:pStyle w:val="19"/>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6"/>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三十</w:t>
                  </w:r>
                  <w:r>
                    <w:rPr>
                      <w:rFonts w:hint="eastAsia" w:cs="Times New Roman"/>
                      <w:color w:val="000000"/>
                      <w:kern w:val="0"/>
                      <w:sz w:val="21"/>
                      <w:szCs w:val="21"/>
                      <w:lang w:val="en-US" w:eastAsia="zh-CN" w:bidi="ar"/>
                    </w:rPr>
                    <w:t>七</w:t>
                  </w:r>
                  <w:r>
                    <w:rPr>
                      <w:rFonts w:hint="default" w:ascii="Times New Roman" w:hAnsi="Times New Roman" w:eastAsia="宋体" w:cs="Times New Roman"/>
                      <w:color w:val="000000"/>
                      <w:kern w:val="0"/>
                      <w:sz w:val="21"/>
                      <w:szCs w:val="21"/>
                      <w:lang w:val="en-US" w:eastAsia="zh-CN" w:bidi="ar"/>
                    </w:rPr>
                    <w:t>、废弃资源综合利用业42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 w:val="0"/>
                      <w:bCs w:val="0"/>
                      <w:sz w:val="21"/>
                      <w:szCs w:val="21"/>
                      <w:highlight w:val="none"/>
                      <w:vertAlign w:val="baseline"/>
                      <w:lang w:val="en-US" w:eastAsia="zh-CN"/>
                    </w:rPr>
                  </w:pPr>
                  <w:bookmarkStart w:id="6" w:name="OLE_LINK193" w:colFirst="1" w:colLast="5"/>
                  <w:r>
                    <w:rPr>
                      <w:rFonts w:hint="eastAsia" w:cs="Times New Roman"/>
                      <w:b w:val="0"/>
                      <w:bCs w:val="0"/>
                      <w:sz w:val="21"/>
                      <w:szCs w:val="21"/>
                      <w:highlight w:val="none"/>
                      <w:vertAlign w:val="baseline"/>
                      <w:lang w:val="en-US" w:eastAsia="zh-CN"/>
                    </w:rPr>
                    <w:t>93</w:t>
                  </w:r>
                </w:p>
              </w:tc>
              <w:tc>
                <w:tcPr>
                  <w:tcW w:w="0" w:type="auto"/>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金属废料和碎屑加工处理421；非金属废料和碎屑加工处理422</w:t>
                  </w:r>
                </w:p>
              </w:tc>
              <w:tc>
                <w:tcPr>
                  <w:tcW w:w="0" w:type="auto"/>
                  <w:noWrap w:val="0"/>
                  <w:vAlign w:val="center"/>
                </w:tcPr>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废电池、废油</w:t>
                  </w:r>
                  <w:r>
                    <w:rPr>
                      <w:rFonts w:hint="eastAsia" w:cs="Times New Roman"/>
                      <w:color w:val="000000"/>
                      <w:kern w:val="0"/>
                      <w:sz w:val="21"/>
                      <w:szCs w:val="21"/>
                      <w:lang w:val="en-US" w:eastAsia="zh-CN" w:bidi="ar"/>
                    </w:rPr>
                    <w:t>、废轮胎</w:t>
                  </w:r>
                  <w:r>
                    <w:rPr>
                      <w:rFonts w:hint="default" w:ascii="Times New Roman" w:hAnsi="Times New Roman" w:eastAsia="宋体" w:cs="Times New Roman"/>
                      <w:color w:val="000000"/>
                      <w:kern w:val="0"/>
                      <w:sz w:val="21"/>
                      <w:szCs w:val="21"/>
                      <w:lang w:val="en-US" w:eastAsia="zh-CN" w:bidi="ar"/>
                    </w:rPr>
                    <w:t>加工处理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 w:val="0"/>
                      <w:bCs w:val="0"/>
                      <w:sz w:val="21"/>
                      <w:szCs w:val="21"/>
                      <w:highlight w:val="none"/>
                      <w:vertAlign w:val="baseline"/>
                      <w:lang w:val="en-US" w:eastAsia="zh-CN"/>
                    </w:rPr>
                  </w:pPr>
                </w:p>
              </w:tc>
              <w:tc>
                <w:tcPr>
                  <w:tcW w:w="0" w:type="auto"/>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废弃电器电子产品、废机动车、废电机、废电线电缆、废塑料、废船、含水洗工艺的其他废料和碎屑加工处理</w:t>
                  </w:r>
                </w:p>
              </w:tc>
              <w:tc>
                <w:tcPr>
                  <w:tcW w:w="0" w:type="auto"/>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其他</w:t>
                  </w:r>
                </w:p>
              </w:tc>
              <w:tc>
                <w:tcPr>
                  <w:tcW w:w="0" w:type="auto"/>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本项目属于“废塑料加工处理”，属于</w:t>
                  </w:r>
                  <w:r>
                    <w:rPr>
                      <w:rFonts w:hint="eastAsia" w:cs="Times New Roman"/>
                      <w:b w:val="0"/>
                      <w:bCs w:val="0"/>
                      <w:sz w:val="21"/>
                      <w:szCs w:val="21"/>
                      <w:highlight w:val="none"/>
                      <w:vertAlign w:val="baseline"/>
                      <w:lang w:val="en-US" w:eastAsia="zh-CN"/>
                    </w:rPr>
                    <w:t>简化</w:t>
                  </w:r>
                  <w:r>
                    <w:rPr>
                      <w:rFonts w:hint="default" w:ascii="Times New Roman" w:hAnsi="Times New Roman" w:cs="Times New Roman"/>
                      <w:b w:val="0"/>
                      <w:bCs w:val="0"/>
                      <w:sz w:val="21"/>
                      <w:szCs w:val="21"/>
                      <w:highlight w:val="none"/>
                      <w:vertAlign w:val="baseline"/>
                      <w:lang w:val="en-US" w:eastAsia="zh-CN"/>
                    </w:rPr>
                    <w:t>管理</w:t>
                  </w:r>
                </w:p>
              </w:tc>
            </w:tr>
            <w:bookmarkEnd w:id="6"/>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sz w:val="24"/>
                <w:szCs w:val="24"/>
                <w:lang w:val="en-US" w:eastAsia="zh-CN"/>
              </w:rPr>
              <w:t>根据《中华人民共和国环境保护法》、《中华人民共和国环境影响评价法》、《国务院关于修改&lt;建设项目环境保护管理条例&gt;的决定》（国务院682号）等法律法规有关规定，</w:t>
            </w:r>
            <w:r>
              <w:rPr>
                <w:rFonts w:hint="eastAsia" w:cs="Times New Roman"/>
                <w:color w:val="auto"/>
                <w:sz w:val="24"/>
                <w:szCs w:val="24"/>
                <w:lang w:val="en-US" w:eastAsia="zh-CN"/>
              </w:rPr>
              <w:t>六安喜达再生资源</w:t>
            </w:r>
            <w:r>
              <w:rPr>
                <w:rFonts w:hint="default" w:ascii="Times New Roman" w:hAnsi="Times New Roman" w:cs="Times New Roman"/>
                <w:color w:val="auto"/>
                <w:sz w:val="24"/>
                <w:szCs w:val="24"/>
                <w:lang w:val="en-US" w:eastAsia="zh-CN"/>
              </w:rPr>
              <w:t>有限公司委托安徽</w:t>
            </w:r>
            <w:r>
              <w:rPr>
                <w:rFonts w:hint="eastAsia" w:cs="Times New Roman"/>
                <w:color w:val="auto"/>
                <w:sz w:val="24"/>
                <w:szCs w:val="24"/>
                <w:lang w:val="en-US" w:eastAsia="zh-CN"/>
              </w:rPr>
              <w:t>锦环</w:t>
            </w:r>
            <w:r>
              <w:rPr>
                <w:rFonts w:hint="default" w:ascii="Times New Roman" w:hAnsi="Times New Roman" w:cs="Times New Roman"/>
                <w:color w:val="auto"/>
                <w:sz w:val="24"/>
                <w:szCs w:val="24"/>
                <w:lang w:val="en-US" w:eastAsia="zh-CN"/>
              </w:rPr>
              <w:t>环境科技有限公司开展该项目的环境影响评价工作。评价单位接受委托后，对建设地进行现场踏勘、收集材料，依据国家有关法规文件、</w:t>
            </w:r>
            <w:r>
              <w:rPr>
                <w:rFonts w:hint="default" w:ascii="Times New Roman" w:hAnsi="Times New Roman" w:eastAsia="宋体" w:cs="Times New Roman"/>
                <w:color w:val="auto"/>
                <w:sz w:val="24"/>
              </w:rPr>
              <w:t>《建设项目环境影响报告表编制技术指南（污染影响类）（试行）》</w:t>
            </w:r>
            <w:r>
              <w:rPr>
                <w:rFonts w:hint="default" w:ascii="Times New Roman" w:hAnsi="Times New Roman" w:cs="Times New Roman"/>
                <w:color w:val="auto"/>
                <w:sz w:val="24"/>
                <w:szCs w:val="24"/>
                <w:lang w:val="en-US" w:eastAsia="zh-CN"/>
              </w:rPr>
              <w:t>（环办环评[2020]33号）要求，编制了该环境影响报告表。</w:t>
            </w:r>
          </w:p>
          <w:p>
            <w:pPr>
              <w:pStyle w:val="30"/>
              <w:keepNext w:val="0"/>
              <w:keepLines w:val="0"/>
              <w:numPr>
                <w:ilvl w:val="0"/>
                <w:numId w:val="0"/>
              </w:numPr>
              <w:suppressLineNumbers w:val="0"/>
              <w:spacing w:before="0" w:beforeAutospacing="0" w:after="0" w:afterAutospacing="0" w:line="360" w:lineRule="auto"/>
              <w:ind w:left="0" w:leftChars="0" w:right="0" w:rightChars="0"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kern w:val="0"/>
                <w:sz w:val="24"/>
                <w:szCs w:val="24"/>
                <w:lang w:val="en-US" w:eastAsia="zh-CN" w:bidi="ar-SA"/>
              </w:rPr>
              <w:t>（2）</w:t>
            </w:r>
            <w:r>
              <w:rPr>
                <w:rFonts w:hint="default" w:ascii="Times New Roman" w:hAnsi="Times New Roman" w:cs="Times New Roman"/>
                <w:color w:val="auto"/>
                <w:sz w:val="24"/>
                <w:szCs w:val="24"/>
                <w:lang w:eastAsia="zh-CN"/>
              </w:rPr>
              <w:t>项目</w:t>
            </w:r>
            <w:r>
              <w:rPr>
                <w:rFonts w:hint="eastAsia"/>
                <w:sz w:val="24"/>
                <w:szCs w:val="24"/>
                <w:lang w:val="en-US" w:eastAsia="zh-CN"/>
              </w:rPr>
              <w:t>主要建设内容及规模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
                <w:bCs/>
                <w:color w:val="auto"/>
                <w:kern w:val="2"/>
                <w:sz w:val="24"/>
                <w:szCs w:val="24"/>
                <w:highlight w:val="none"/>
                <w:lang w:val="en-US"/>
              </w:rPr>
            </w:pPr>
            <w:r>
              <w:rPr>
                <w:rFonts w:hint="eastAsia" w:cs="Times New Roman"/>
                <w:color w:val="auto"/>
                <w:sz w:val="24"/>
                <w:szCs w:val="24"/>
                <w:u w:val="none"/>
                <w:lang w:val="en-US" w:eastAsia="zh-CN"/>
              </w:rPr>
              <w:t>项目租赁安徽中鑫宏伟科技有限公司西北侧现有厂房作为生产场所，布设3条废塑料综合利用生产线，配套熔蜡机、冷却罐、造粒机等生产设备，以废塑料为原料，生产聚乙烯蜡颗粒，建成后可实现年加工5000t/a聚乙烯蜡颗粒的生产能力</w:t>
            </w:r>
            <w:r>
              <w:rPr>
                <w:rFonts w:hint="default" w:ascii="Times New Roman" w:hAnsi="Times New Roman" w:cs="Times New Roman"/>
                <w:color w:val="auto"/>
                <w:sz w:val="24"/>
                <w:szCs w:val="24"/>
                <w:lang w:val="en-US" w:eastAsia="zh-CN"/>
              </w:rPr>
              <w:t>。具体建设内容见下表。</w:t>
            </w:r>
          </w:p>
          <w:p>
            <w:pPr>
              <w:pStyle w:val="58"/>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kern w:val="2"/>
                <w:sz w:val="24"/>
                <w:szCs w:val="24"/>
                <w:highlight w:val="none"/>
                <w:lang w:val="en-US"/>
              </w:rPr>
            </w:pPr>
            <w:r>
              <w:rPr>
                <w:rFonts w:hint="default" w:ascii="Times New Roman" w:hAnsi="Times New Roman" w:cs="Times New Roman"/>
                <w:b/>
                <w:bCs/>
                <w:color w:val="auto"/>
                <w:kern w:val="2"/>
                <w:sz w:val="24"/>
                <w:szCs w:val="24"/>
                <w:highlight w:val="none"/>
                <w:lang w:val="en-US"/>
              </w:rPr>
              <w:t>表2</w:t>
            </w:r>
            <w:r>
              <w:rPr>
                <w:rFonts w:hint="eastAsia" w:ascii="Times New Roman" w:hAnsi="Times New Roman" w:cs="Times New Roman"/>
                <w:b/>
                <w:bCs/>
                <w:color w:val="auto"/>
                <w:kern w:val="2"/>
                <w:sz w:val="24"/>
                <w:szCs w:val="24"/>
                <w:highlight w:val="none"/>
                <w:lang w:val="en-US" w:eastAsia="zh-CN"/>
              </w:rPr>
              <w:t>.</w:t>
            </w:r>
            <w:r>
              <w:rPr>
                <w:rFonts w:hint="default" w:ascii="Times New Roman" w:hAnsi="Times New Roman" w:cs="Times New Roman"/>
                <w:b/>
                <w:bCs/>
                <w:color w:val="auto"/>
                <w:kern w:val="2"/>
                <w:sz w:val="24"/>
                <w:szCs w:val="24"/>
                <w:highlight w:val="none"/>
                <w:lang w:val="en-US" w:eastAsia="zh-CN"/>
              </w:rPr>
              <w:t>3</w:t>
            </w:r>
            <w:r>
              <w:rPr>
                <w:rFonts w:hint="default" w:ascii="Times New Roman" w:hAnsi="Times New Roman" w:cs="Times New Roman"/>
                <w:b/>
                <w:bCs/>
                <w:color w:val="auto"/>
                <w:kern w:val="2"/>
                <w:sz w:val="24"/>
                <w:szCs w:val="24"/>
                <w:highlight w:val="none"/>
                <w:lang w:val="en-US"/>
              </w:rPr>
              <w:t>建设组成一览表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79"/>
              <w:gridCol w:w="1002"/>
              <w:gridCol w:w="5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507" w:type="pct"/>
                  <w:noWrap w:val="0"/>
                  <w:vAlign w:val="center"/>
                </w:tcPr>
                <w:p>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工程</w:t>
                  </w:r>
                </w:p>
                <w:p>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类别</w:t>
                  </w:r>
                </w:p>
              </w:tc>
              <w:tc>
                <w:tcPr>
                  <w:tcW w:w="644" w:type="pct"/>
                  <w:noWrap w:val="0"/>
                  <w:vAlign w:val="center"/>
                </w:tcPr>
                <w:p>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单项工程</w:t>
                  </w:r>
                </w:p>
              </w:tc>
              <w:tc>
                <w:tcPr>
                  <w:tcW w:w="3848" w:type="pct"/>
                  <w:gridSpan w:val="2"/>
                  <w:noWrap w:val="0"/>
                  <w:vAlign w:val="center"/>
                </w:tcPr>
                <w:p>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工程内容及规模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主体</w:t>
                  </w:r>
                </w:p>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工程</w:t>
                  </w:r>
                </w:p>
              </w:tc>
              <w:tc>
                <w:tcPr>
                  <w:tcW w:w="644" w:type="pct"/>
                  <w:shd w:val="clear" w:color="auto" w:fill="auto"/>
                  <w:noWrap w:val="0"/>
                  <w:vAlign w:val="center"/>
                </w:tcPr>
                <w:p>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废塑料综合利用生产线</w:t>
                  </w:r>
                </w:p>
              </w:tc>
              <w:tc>
                <w:tcPr>
                  <w:tcW w:w="3848" w:type="pct"/>
                  <w:gridSpan w:val="2"/>
                  <w:shd w:val="clear" w:color="auto" w:fill="auto"/>
                  <w:noWrap w:val="0"/>
                  <w:vAlign w:val="center"/>
                </w:tcPr>
                <w:p>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sz w:val="21"/>
                      <w:szCs w:val="21"/>
                      <w:lang w:val="en-US" w:eastAsia="zh-CN"/>
                    </w:rPr>
                    <w:t>项目</w:t>
                  </w:r>
                  <w:r>
                    <w:rPr>
                      <w:rFonts w:hint="default" w:ascii="Times New Roman" w:hAnsi="Times New Roman" w:cs="Times New Roman"/>
                      <w:bCs/>
                      <w:color w:val="auto"/>
                      <w:kern w:val="2"/>
                      <w:sz w:val="21"/>
                      <w:szCs w:val="21"/>
                      <w:lang w:val="en-US" w:eastAsia="zh-CN" w:bidi="ar-SA"/>
                    </w:rPr>
                    <w:t>总建筑面积</w:t>
                  </w:r>
                  <w:r>
                    <w:rPr>
                      <w:rFonts w:hint="default" w:cs="Times New Roman"/>
                      <w:bCs/>
                      <w:color w:val="auto"/>
                      <w:kern w:val="2"/>
                      <w:sz w:val="21"/>
                      <w:szCs w:val="21"/>
                      <w:lang w:eastAsia="zh-CN" w:bidi="ar-SA"/>
                    </w:rPr>
                    <w:t>3500</w:t>
                  </w:r>
                  <w:r>
                    <w:rPr>
                      <w:rFonts w:hint="default" w:ascii="Times New Roman" w:hAnsi="Times New Roman" w:cs="Times New Roman"/>
                      <w:bCs/>
                      <w:color w:val="auto"/>
                      <w:kern w:val="2"/>
                      <w:sz w:val="21"/>
                      <w:szCs w:val="21"/>
                      <w:lang w:val="en-US" w:eastAsia="zh-CN" w:bidi="ar-SA"/>
                    </w:rPr>
                    <w:t>m</w:t>
                  </w:r>
                  <w:r>
                    <w:rPr>
                      <w:rFonts w:hint="default" w:ascii="Times New Roman" w:hAnsi="Times New Roman" w:cs="Times New Roman"/>
                      <w:bCs/>
                      <w:color w:val="auto"/>
                      <w:kern w:val="2"/>
                      <w:sz w:val="21"/>
                      <w:szCs w:val="21"/>
                      <w:vertAlign w:val="superscript"/>
                      <w:lang w:val="en-US" w:eastAsia="zh-CN" w:bidi="ar-SA"/>
                    </w:rPr>
                    <w:t>2</w:t>
                  </w:r>
                  <w:r>
                    <w:rPr>
                      <w:rFonts w:hint="default" w:ascii="Times New Roman" w:hAnsi="Times New Roman" w:cs="Times New Roman"/>
                      <w:bCs/>
                      <w:color w:val="auto"/>
                      <w:sz w:val="21"/>
                      <w:szCs w:val="21"/>
                      <w:lang w:val="en-US" w:eastAsia="zh-CN"/>
                    </w:rPr>
                    <w:t>，生产线位于厂房内东侧，建筑面积</w:t>
                  </w:r>
                  <w:r>
                    <w:rPr>
                      <w:rFonts w:hint="eastAsia" w:ascii="Times New Roman" w:hAnsi="Times New Roman" w:cs="Times New Roman"/>
                      <w:bCs/>
                      <w:color w:val="auto"/>
                      <w:sz w:val="21"/>
                      <w:szCs w:val="21"/>
                      <w:lang w:val="en-US" w:eastAsia="zh-CN"/>
                    </w:rPr>
                    <w:t>10</w:t>
                  </w:r>
                  <w:r>
                    <w:rPr>
                      <w:rFonts w:hint="default" w:ascii="Times New Roman" w:hAnsi="Times New Roman" w:cs="Times New Roman"/>
                      <w:bCs/>
                      <w:color w:val="auto"/>
                      <w:sz w:val="21"/>
                      <w:szCs w:val="21"/>
                      <w:lang w:val="en-US" w:eastAsia="zh-CN"/>
                    </w:rPr>
                    <w:t>00m</w:t>
                  </w:r>
                  <w:r>
                    <w:rPr>
                      <w:rFonts w:hint="default" w:ascii="Times New Roman" w:hAnsi="Times New Roman" w:cs="Times New Roman"/>
                      <w:bCs/>
                      <w:color w:val="auto"/>
                      <w:sz w:val="21"/>
                      <w:szCs w:val="21"/>
                      <w:vertAlign w:val="superscript"/>
                      <w:lang w:val="en-US" w:eastAsia="zh-CN"/>
                    </w:rPr>
                    <w:t>2</w:t>
                  </w:r>
                  <w:r>
                    <w:rPr>
                      <w:rFonts w:hint="default" w:ascii="Times New Roman" w:hAnsi="Times New Roman" w:cs="Times New Roman"/>
                      <w:bCs/>
                      <w:color w:val="auto"/>
                      <w:sz w:val="21"/>
                      <w:szCs w:val="21"/>
                      <w:lang w:val="en-US" w:eastAsia="zh-CN"/>
                    </w:rPr>
                    <w:t>，布设3条</w:t>
                  </w:r>
                  <w:r>
                    <w:rPr>
                      <w:rFonts w:hint="eastAsia" w:cs="Times New Roman"/>
                      <w:bCs/>
                      <w:color w:val="auto"/>
                      <w:sz w:val="21"/>
                      <w:szCs w:val="21"/>
                      <w:lang w:val="en-US" w:eastAsia="zh-CN"/>
                    </w:rPr>
                    <w:t>废塑料综合利用</w:t>
                  </w:r>
                  <w:r>
                    <w:rPr>
                      <w:rFonts w:hint="default" w:ascii="Times New Roman" w:hAnsi="Times New Roman" w:cs="Times New Roman"/>
                      <w:bCs/>
                      <w:color w:val="auto"/>
                      <w:sz w:val="21"/>
                      <w:szCs w:val="21"/>
                      <w:lang w:val="en-US" w:eastAsia="zh-CN"/>
                    </w:rPr>
                    <w:t>生产线，配套</w:t>
                  </w:r>
                  <w:r>
                    <w:rPr>
                      <w:rFonts w:hint="default" w:ascii="Times New Roman" w:hAnsi="Times New Roman" w:cs="Times New Roman"/>
                      <w:color w:val="auto"/>
                      <w:sz w:val="21"/>
                      <w:szCs w:val="21"/>
                      <w:u w:val="none"/>
                      <w:lang w:val="en-US" w:eastAsia="zh-CN"/>
                    </w:rPr>
                    <w:t>熔蜡机、冷却罐、造粒机</w:t>
                  </w:r>
                  <w:r>
                    <w:rPr>
                      <w:rFonts w:hint="default" w:ascii="Times New Roman" w:hAnsi="Times New Roman" w:cs="Times New Roman"/>
                      <w:bCs/>
                      <w:color w:val="auto"/>
                      <w:sz w:val="21"/>
                      <w:szCs w:val="21"/>
                      <w:lang w:val="en-US" w:eastAsia="zh-CN"/>
                    </w:rPr>
                    <w:t>等生产设备，建成后可实现年加工</w:t>
                  </w:r>
                  <w:r>
                    <w:rPr>
                      <w:rFonts w:hint="default" w:ascii="Times New Roman" w:hAnsi="Times New Roman" w:cs="Times New Roman"/>
                      <w:color w:val="auto"/>
                      <w:sz w:val="21"/>
                      <w:szCs w:val="21"/>
                      <w:u w:val="none"/>
                      <w:lang w:val="en-US" w:eastAsia="zh-CN"/>
                    </w:rPr>
                    <w:t>聚乙烯蜡</w:t>
                  </w:r>
                  <w:r>
                    <w:rPr>
                      <w:rFonts w:hint="eastAsia" w:cs="Times New Roman"/>
                      <w:color w:val="auto"/>
                      <w:sz w:val="21"/>
                      <w:szCs w:val="21"/>
                      <w:u w:val="none"/>
                      <w:lang w:val="en-US" w:eastAsia="zh-CN"/>
                    </w:rPr>
                    <w:t>颗粒</w:t>
                  </w:r>
                  <w:r>
                    <w:rPr>
                      <w:rFonts w:hint="default" w:ascii="Times New Roman" w:hAnsi="Times New Roman" w:cs="Times New Roman"/>
                      <w:color w:val="auto"/>
                      <w:sz w:val="21"/>
                      <w:szCs w:val="21"/>
                      <w:u w:val="none"/>
                      <w:lang w:val="en-US" w:eastAsia="zh-CN"/>
                    </w:rPr>
                    <w:t>5000t/a</w:t>
                  </w:r>
                  <w:r>
                    <w:rPr>
                      <w:rFonts w:hint="default" w:ascii="Times New Roman" w:hAnsi="Times New Roman" w:cs="Times New Roman"/>
                      <w:bCs/>
                      <w:color w:val="auto"/>
                      <w:sz w:val="21"/>
                      <w:szCs w:val="21"/>
                      <w:lang w:val="en-US" w:eastAsia="zh-CN"/>
                    </w:rPr>
                    <w:t>的生产能力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Merge w:val="restart"/>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储运工程</w:t>
                  </w:r>
                </w:p>
              </w:tc>
              <w:tc>
                <w:tcPr>
                  <w:tcW w:w="644" w:type="pct"/>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原料区</w:t>
                  </w:r>
                </w:p>
              </w:tc>
              <w:tc>
                <w:tcPr>
                  <w:tcW w:w="3848" w:type="pct"/>
                  <w:gridSpan w:val="2"/>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厂房内西南侧，建筑面积4</w:t>
                  </w:r>
                  <w:r>
                    <w:rPr>
                      <w:rFonts w:hint="eastAsia" w:ascii="Times New Roman" w:hAnsi="Times New Roman" w:cs="Times New Roman"/>
                      <w:bCs/>
                      <w:color w:val="auto"/>
                      <w:kern w:val="2"/>
                      <w:sz w:val="21"/>
                      <w:szCs w:val="21"/>
                      <w:lang w:val="en-US" w:eastAsia="zh-CN" w:bidi="ar-SA"/>
                    </w:rPr>
                    <w:t>2</w:t>
                  </w:r>
                  <w:r>
                    <w:rPr>
                      <w:rFonts w:hint="default" w:ascii="Times New Roman" w:hAnsi="Times New Roman" w:cs="Times New Roman"/>
                      <w:bCs/>
                      <w:color w:val="auto"/>
                      <w:kern w:val="2"/>
                      <w:sz w:val="21"/>
                      <w:szCs w:val="21"/>
                      <w:lang w:val="en-US" w:eastAsia="zh-CN" w:bidi="ar-SA"/>
                    </w:rPr>
                    <w:t>0m</w:t>
                  </w:r>
                  <w:r>
                    <w:rPr>
                      <w:rFonts w:hint="default" w:ascii="Times New Roman" w:hAnsi="Times New Roman" w:cs="Times New Roman"/>
                      <w:bCs/>
                      <w:color w:val="auto"/>
                      <w:kern w:val="2"/>
                      <w:sz w:val="21"/>
                      <w:szCs w:val="21"/>
                      <w:vertAlign w:val="superscript"/>
                      <w:lang w:val="en-US" w:eastAsia="zh-CN" w:bidi="ar-SA"/>
                    </w:rPr>
                    <w:t>2</w:t>
                  </w:r>
                  <w:r>
                    <w:rPr>
                      <w:rFonts w:hint="default" w:ascii="Times New Roman" w:hAnsi="Times New Roman" w:cs="Times New Roman"/>
                      <w:bCs/>
                      <w:color w:val="auto"/>
                      <w:kern w:val="2"/>
                      <w:sz w:val="21"/>
                      <w:szCs w:val="21"/>
                      <w:lang w:val="en-US" w:eastAsia="zh-CN" w:bidi="ar-SA"/>
                    </w:rPr>
                    <w:t>，用于</w:t>
                  </w:r>
                  <w:r>
                    <w:rPr>
                      <w:rFonts w:hint="eastAsia" w:cs="Times New Roman"/>
                      <w:bCs/>
                      <w:color w:val="auto"/>
                      <w:kern w:val="2"/>
                      <w:sz w:val="21"/>
                      <w:szCs w:val="21"/>
                      <w:lang w:val="en-US" w:eastAsia="zh-CN" w:bidi="ar-SA"/>
                    </w:rPr>
                    <w:t>废塑料</w:t>
                  </w:r>
                  <w:r>
                    <w:rPr>
                      <w:rFonts w:hint="default" w:ascii="Times New Roman" w:hAnsi="Times New Roman" w:cs="Times New Roman"/>
                      <w:bCs/>
                      <w:color w:val="auto"/>
                      <w:kern w:val="2"/>
                      <w:sz w:val="21"/>
                      <w:szCs w:val="21"/>
                      <w:lang w:val="en-US" w:eastAsia="zh-CN" w:bidi="ar-SA"/>
                    </w:rPr>
                    <w:t>原料堆放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Merge w:val="continue"/>
                  <w:noWrap w:val="0"/>
                  <w:vAlign w:val="center"/>
                </w:tcPr>
                <w:p>
                  <w:pPr>
                    <w:adjustRightInd w:val="0"/>
                    <w:snapToGrid w:val="0"/>
                    <w:jc w:val="center"/>
                    <w:rPr>
                      <w:rFonts w:hint="default" w:ascii="Times New Roman" w:hAnsi="Times New Roman" w:cs="Times New Roman"/>
                      <w:bCs/>
                      <w:color w:val="auto"/>
                      <w:sz w:val="21"/>
                      <w:szCs w:val="21"/>
                    </w:rPr>
                  </w:pPr>
                </w:p>
              </w:tc>
              <w:tc>
                <w:tcPr>
                  <w:tcW w:w="644" w:type="pct"/>
                  <w:noWrap w:val="0"/>
                  <w:vAlign w:val="center"/>
                </w:tcPr>
                <w:p>
                  <w:pPr>
                    <w:adjustRightInd w:val="0"/>
                    <w:snapToGrid w:val="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成品区</w:t>
                  </w:r>
                </w:p>
              </w:tc>
              <w:tc>
                <w:tcPr>
                  <w:tcW w:w="3848" w:type="pct"/>
                  <w:gridSpan w:val="2"/>
                  <w:noWrap w:val="0"/>
                  <w:vAlign w:val="center"/>
                </w:tcPr>
                <w:p>
                  <w:pPr>
                    <w:adjustRightInd w:val="0"/>
                    <w:snapToGrid w:val="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厂房内西北侧，建筑面积3</w:t>
                  </w:r>
                  <w:r>
                    <w:rPr>
                      <w:rFonts w:hint="eastAsia" w:ascii="Times New Roman" w:hAnsi="Times New Roman" w:cs="Times New Roman"/>
                      <w:bCs/>
                      <w:color w:val="auto"/>
                      <w:kern w:val="2"/>
                      <w:sz w:val="21"/>
                      <w:szCs w:val="21"/>
                      <w:lang w:val="en-US" w:eastAsia="zh-CN" w:bidi="ar-SA"/>
                    </w:rPr>
                    <w:t>5</w:t>
                  </w:r>
                  <w:r>
                    <w:rPr>
                      <w:rFonts w:hint="default" w:ascii="Times New Roman" w:hAnsi="Times New Roman" w:cs="Times New Roman"/>
                      <w:bCs/>
                      <w:color w:val="auto"/>
                      <w:kern w:val="2"/>
                      <w:sz w:val="21"/>
                      <w:szCs w:val="21"/>
                      <w:lang w:val="en-US" w:eastAsia="zh-CN" w:bidi="ar-SA"/>
                    </w:rPr>
                    <w:t>0m</w:t>
                  </w:r>
                  <w:r>
                    <w:rPr>
                      <w:rFonts w:hint="default" w:ascii="Times New Roman" w:hAnsi="Times New Roman" w:cs="Times New Roman"/>
                      <w:bCs/>
                      <w:color w:val="auto"/>
                      <w:kern w:val="2"/>
                      <w:sz w:val="21"/>
                      <w:szCs w:val="21"/>
                      <w:vertAlign w:val="superscript"/>
                      <w:lang w:val="en-US" w:eastAsia="zh-CN" w:bidi="ar-SA"/>
                    </w:rPr>
                    <w:t>2</w:t>
                  </w:r>
                  <w:r>
                    <w:rPr>
                      <w:rFonts w:hint="default" w:ascii="Times New Roman" w:hAnsi="Times New Roman" w:cs="Times New Roman"/>
                      <w:bCs/>
                      <w:color w:val="auto"/>
                      <w:kern w:val="2"/>
                      <w:sz w:val="21"/>
                      <w:szCs w:val="21"/>
                      <w:lang w:val="en-US" w:eastAsia="zh-CN" w:bidi="ar-SA"/>
                    </w:rPr>
                    <w:t>，用于</w:t>
                  </w:r>
                  <w:r>
                    <w:rPr>
                      <w:rFonts w:hint="eastAsia" w:cs="Times New Roman"/>
                      <w:bCs/>
                      <w:color w:val="auto"/>
                      <w:kern w:val="2"/>
                      <w:sz w:val="21"/>
                      <w:szCs w:val="21"/>
                      <w:lang w:val="en-US" w:eastAsia="zh-CN" w:bidi="ar-SA"/>
                    </w:rPr>
                    <w:t>成品</w:t>
                  </w:r>
                  <w:r>
                    <w:rPr>
                      <w:rFonts w:hint="default" w:ascii="Times New Roman" w:hAnsi="Times New Roman" w:cs="Times New Roman"/>
                      <w:bCs/>
                      <w:color w:val="auto"/>
                      <w:kern w:val="2"/>
                      <w:sz w:val="21"/>
                      <w:szCs w:val="21"/>
                      <w:lang w:val="en-US" w:eastAsia="zh-CN" w:bidi="ar-SA"/>
                    </w:rPr>
                    <w:t>聚乙烯蜡颗粒堆放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noWrap w:val="0"/>
                  <w:vAlign w:val="center"/>
                </w:tcPr>
                <w:p>
                  <w:pPr>
                    <w:adjustRightInd w:val="0"/>
                    <w:snapToGrid w:val="0"/>
                    <w:jc w:val="center"/>
                    <w:rPr>
                      <w:rFonts w:hint="default" w:ascii="Times New Roman" w:hAnsi="Times New Roman" w:cs="Times New Roman"/>
                      <w:bCs/>
                      <w:color w:val="auto"/>
                      <w:sz w:val="21"/>
                      <w:szCs w:val="21"/>
                    </w:rPr>
                  </w:pPr>
                  <w:bookmarkStart w:id="7" w:name="OLE_LINK128" w:colFirst="1" w:colLast="3"/>
                  <w:r>
                    <w:rPr>
                      <w:rFonts w:hint="default" w:ascii="Times New Roman" w:hAnsi="Times New Roman" w:cs="Times New Roman"/>
                      <w:bCs/>
                      <w:color w:val="auto"/>
                      <w:sz w:val="21"/>
                      <w:szCs w:val="21"/>
                    </w:rPr>
                    <w:t>辅助</w:t>
                  </w:r>
                </w:p>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工程</w:t>
                  </w:r>
                </w:p>
              </w:tc>
              <w:tc>
                <w:tcPr>
                  <w:tcW w:w="644" w:type="pct"/>
                  <w:shd w:val="clear" w:color="auto" w:fill="auto"/>
                  <w:noWrap w:val="0"/>
                  <w:vAlign w:val="center"/>
                </w:tcPr>
                <w:p>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办公</w:t>
                  </w:r>
                  <w:r>
                    <w:rPr>
                      <w:rFonts w:hint="default" w:ascii="Times New Roman" w:hAnsi="Times New Roman" w:cs="Times New Roman"/>
                      <w:bCs/>
                      <w:color w:val="auto"/>
                      <w:sz w:val="21"/>
                      <w:szCs w:val="21"/>
                      <w:lang w:val="en-US" w:eastAsia="zh-CN"/>
                    </w:rPr>
                    <w:t>区域</w:t>
                  </w:r>
                </w:p>
              </w:tc>
              <w:tc>
                <w:tcPr>
                  <w:tcW w:w="3848" w:type="pct"/>
                  <w:gridSpan w:val="2"/>
                  <w:shd w:val="clear" w:color="auto" w:fill="auto"/>
                  <w:noWrap w:val="0"/>
                  <w:vAlign w:val="center"/>
                </w:tcPr>
                <w:p>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厂房内西北侧</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建筑面积</w:t>
                  </w:r>
                  <w:r>
                    <w:rPr>
                      <w:rFonts w:hint="eastAsia" w:ascii="Times New Roman" w:hAnsi="Times New Roman" w:cs="Times New Roman"/>
                      <w:bCs/>
                      <w:color w:val="auto"/>
                      <w:sz w:val="21"/>
                      <w:szCs w:val="21"/>
                      <w:lang w:val="en-US" w:eastAsia="zh-CN"/>
                    </w:rPr>
                    <w:t>2</w:t>
                  </w:r>
                  <w:r>
                    <w:rPr>
                      <w:rFonts w:hint="default" w:ascii="Times New Roman" w:hAnsi="Times New Roman" w:cs="Times New Roman"/>
                      <w:bCs/>
                      <w:color w:val="auto"/>
                      <w:sz w:val="21"/>
                      <w:szCs w:val="21"/>
                      <w:lang w:val="en-US" w:eastAsia="zh-CN"/>
                    </w:rPr>
                    <w:t>00m</w:t>
                  </w:r>
                  <w:r>
                    <w:rPr>
                      <w:rFonts w:hint="default" w:ascii="Times New Roman" w:hAnsi="Times New Roman" w:cs="Times New Roman"/>
                      <w:bCs/>
                      <w:color w:val="auto"/>
                      <w:sz w:val="21"/>
                      <w:szCs w:val="21"/>
                      <w:vertAlign w:val="superscript"/>
                      <w:lang w:val="en-US" w:eastAsia="zh-CN"/>
                    </w:rPr>
                    <w:t>2</w:t>
                  </w:r>
                  <w:r>
                    <w:rPr>
                      <w:rFonts w:hint="default" w:ascii="Times New Roman" w:hAnsi="Times New Roman" w:cs="Times New Roman"/>
                      <w:bCs/>
                      <w:color w:val="auto"/>
                      <w:sz w:val="21"/>
                      <w:szCs w:val="21"/>
                      <w:lang w:val="en-US" w:eastAsia="zh-CN"/>
                    </w:rPr>
                    <w:t>,</w:t>
                  </w:r>
                  <w:r>
                    <w:rPr>
                      <w:rFonts w:hint="default" w:ascii="Times New Roman" w:hAnsi="Times New Roman" w:cs="Times New Roman"/>
                      <w:bCs/>
                      <w:color w:val="auto"/>
                      <w:sz w:val="21"/>
                      <w:szCs w:val="21"/>
                    </w:rPr>
                    <w:t>主要为员工办公</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lang w:val="en-US" w:eastAsia="zh-CN"/>
                    </w:rPr>
                    <w:t>休息</w:t>
                  </w:r>
                </w:p>
              </w:tc>
            </w:tr>
            <w:bookmarkEnd w:id="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Merge w:val="restart"/>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环保</w:t>
                  </w:r>
                </w:p>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工程</w:t>
                  </w:r>
                </w:p>
              </w:tc>
              <w:tc>
                <w:tcPr>
                  <w:tcW w:w="644" w:type="pct"/>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供水</w:t>
                  </w:r>
                </w:p>
              </w:tc>
              <w:tc>
                <w:tcPr>
                  <w:tcW w:w="3848" w:type="pct"/>
                  <w:gridSpan w:val="2"/>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市政供水系统提供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Merge w:val="continue"/>
                  <w:noWrap w:val="0"/>
                  <w:vAlign w:val="center"/>
                </w:tcPr>
                <w:p>
                  <w:pPr>
                    <w:adjustRightInd w:val="0"/>
                    <w:snapToGrid w:val="0"/>
                    <w:jc w:val="center"/>
                    <w:rPr>
                      <w:rFonts w:hint="default" w:ascii="Times New Roman" w:hAnsi="Times New Roman" w:cs="Times New Roman"/>
                      <w:bCs/>
                      <w:color w:val="auto"/>
                      <w:sz w:val="21"/>
                      <w:szCs w:val="21"/>
                    </w:rPr>
                  </w:pPr>
                </w:p>
              </w:tc>
              <w:tc>
                <w:tcPr>
                  <w:tcW w:w="644" w:type="pct"/>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排水</w:t>
                  </w:r>
                </w:p>
              </w:tc>
              <w:tc>
                <w:tcPr>
                  <w:tcW w:w="3848" w:type="pct"/>
                  <w:gridSpan w:val="2"/>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rPr>
                    <w:t>排水采用雨、污分流制，</w:t>
                  </w:r>
                  <w:r>
                    <w:rPr>
                      <w:rFonts w:hint="default" w:ascii="Times New Roman" w:hAnsi="Times New Roman" w:cs="Times New Roman"/>
                      <w:bCs/>
                      <w:color w:val="auto"/>
                      <w:sz w:val="21"/>
                      <w:szCs w:val="21"/>
                      <w:lang w:eastAsia="zh-CN"/>
                    </w:rPr>
                    <w:t>雨水排入雨水管网，</w:t>
                  </w:r>
                  <w:r>
                    <w:rPr>
                      <w:rFonts w:hint="default" w:ascii="Times New Roman" w:hAnsi="Times New Roman" w:cs="Times New Roman"/>
                      <w:sz w:val="21"/>
                      <w:szCs w:val="21"/>
                      <w:lang w:val="en-US" w:eastAsia="zh-CN"/>
                    </w:rPr>
                    <w:t>废水接入市政污水管网纳入金寨现代产业园污水处理厂处理，尾水排入史河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Merge w:val="continue"/>
                  <w:noWrap w:val="0"/>
                  <w:vAlign w:val="center"/>
                </w:tcPr>
                <w:p>
                  <w:pPr>
                    <w:adjustRightInd w:val="0"/>
                    <w:snapToGrid w:val="0"/>
                    <w:jc w:val="center"/>
                    <w:rPr>
                      <w:rFonts w:hint="default" w:ascii="Times New Roman" w:hAnsi="Times New Roman" w:cs="Times New Roman"/>
                      <w:bCs/>
                      <w:color w:val="auto"/>
                      <w:sz w:val="21"/>
                      <w:szCs w:val="21"/>
                    </w:rPr>
                  </w:pPr>
                </w:p>
              </w:tc>
              <w:tc>
                <w:tcPr>
                  <w:tcW w:w="644" w:type="pct"/>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供电</w:t>
                  </w:r>
                </w:p>
              </w:tc>
              <w:tc>
                <w:tcPr>
                  <w:tcW w:w="3848" w:type="pct"/>
                  <w:gridSpan w:val="2"/>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用电由市政供电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Merge w:val="continue"/>
                  <w:noWrap w:val="0"/>
                  <w:vAlign w:val="center"/>
                </w:tcPr>
                <w:p>
                  <w:pPr>
                    <w:adjustRightInd w:val="0"/>
                    <w:snapToGrid w:val="0"/>
                    <w:jc w:val="center"/>
                    <w:rPr>
                      <w:rFonts w:hint="default" w:ascii="Times New Roman" w:hAnsi="Times New Roman" w:cs="Times New Roman"/>
                      <w:bCs/>
                      <w:color w:val="auto"/>
                      <w:sz w:val="21"/>
                      <w:szCs w:val="21"/>
                    </w:rPr>
                  </w:pPr>
                </w:p>
              </w:tc>
              <w:tc>
                <w:tcPr>
                  <w:tcW w:w="644" w:type="pct"/>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废气治理</w:t>
                  </w:r>
                </w:p>
              </w:tc>
              <w:tc>
                <w:tcPr>
                  <w:tcW w:w="3848" w:type="pct"/>
                  <w:gridSpan w:val="2"/>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color w:val="000000"/>
                      <w:kern w:val="0"/>
                      <w:sz w:val="21"/>
                      <w:szCs w:val="21"/>
                      <w:lang w:val="en-US" w:eastAsia="zh-CN" w:bidi="ar"/>
                    </w:rPr>
                    <w:t>经集气罩收集，</w:t>
                  </w:r>
                  <w:r>
                    <w:rPr>
                      <w:rFonts w:hint="eastAsia" w:cs="Times New Roman"/>
                      <w:color w:val="000000"/>
                      <w:kern w:val="0"/>
                      <w:sz w:val="21"/>
                      <w:szCs w:val="21"/>
                      <w:lang w:val="en-US" w:eastAsia="zh-CN" w:bidi="ar"/>
                    </w:rPr>
                    <w:t>通过喷淋塔降温后由二级活性炭吸附装置处理</w:t>
                  </w:r>
                  <w:r>
                    <w:rPr>
                      <w:rFonts w:hint="default" w:ascii="Times New Roman" w:hAnsi="Times New Roman" w:cs="Times New Roman"/>
                      <w:color w:val="000000"/>
                      <w:kern w:val="0"/>
                      <w:sz w:val="21"/>
                      <w:szCs w:val="21"/>
                      <w:lang w:val="en-US" w:eastAsia="zh-CN" w:bidi="ar"/>
                    </w:rPr>
                    <w:t>达标</w:t>
                  </w:r>
                  <w:r>
                    <w:rPr>
                      <w:rFonts w:hint="default" w:ascii="Times New Roman" w:hAnsi="Times New Roman" w:eastAsia="宋体" w:cs="Times New Roman"/>
                      <w:color w:val="000000"/>
                      <w:kern w:val="0"/>
                      <w:sz w:val="21"/>
                      <w:szCs w:val="21"/>
                      <w:lang w:val="en-US" w:eastAsia="zh-CN" w:bidi="ar"/>
                    </w:rPr>
                    <w:t>后通过15m高排气筒</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DA001</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Merge w:val="continue"/>
                  <w:noWrap w:val="0"/>
                  <w:vAlign w:val="center"/>
                </w:tcPr>
                <w:p>
                  <w:pPr>
                    <w:adjustRightInd w:val="0"/>
                    <w:snapToGrid w:val="0"/>
                    <w:jc w:val="center"/>
                    <w:rPr>
                      <w:rFonts w:hint="default" w:ascii="Times New Roman" w:hAnsi="Times New Roman" w:cs="Times New Roman"/>
                      <w:bCs/>
                      <w:color w:val="auto"/>
                      <w:sz w:val="21"/>
                      <w:szCs w:val="21"/>
                    </w:rPr>
                  </w:pPr>
                </w:p>
              </w:tc>
              <w:tc>
                <w:tcPr>
                  <w:tcW w:w="644" w:type="pct"/>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废水</w:t>
                  </w:r>
                </w:p>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治理</w:t>
                  </w:r>
                </w:p>
              </w:tc>
              <w:tc>
                <w:tcPr>
                  <w:tcW w:w="3848" w:type="pct"/>
                  <w:gridSpan w:val="2"/>
                  <w:noWrap w:val="0"/>
                  <w:vAlign w:val="center"/>
                </w:tcPr>
                <w:p>
                  <w:pPr>
                    <w:pStyle w:val="14"/>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rPr>
                    <w:t>排水采用雨、污分流制，</w:t>
                  </w:r>
                  <w:r>
                    <w:rPr>
                      <w:rFonts w:hint="default" w:ascii="Times New Roman" w:hAnsi="Times New Roman" w:cs="Times New Roman"/>
                      <w:bCs/>
                      <w:color w:val="auto"/>
                      <w:sz w:val="21"/>
                      <w:szCs w:val="21"/>
                      <w:lang w:eastAsia="zh-CN"/>
                    </w:rPr>
                    <w:t>雨水排入雨水管网，</w:t>
                  </w:r>
                  <w:r>
                    <w:rPr>
                      <w:rFonts w:hint="default" w:ascii="Times New Roman" w:hAnsi="Times New Roman" w:cs="Times New Roman"/>
                      <w:sz w:val="21"/>
                      <w:szCs w:val="21"/>
                      <w:lang w:val="en-US" w:eastAsia="zh-CN"/>
                    </w:rPr>
                    <w:t>生活污水</w:t>
                  </w:r>
                  <w:r>
                    <w:rPr>
                      <w:rFonts w:hint="eastAsia" w:cs="Times New Roman"/>
                      <w:sz w:val="21"/>
                      <w:szCs w:val="21"/>
                      <w:lang w:val="en-US" w:eastAsia="zh-CN"/>
                    </w:rPr>
                    <w:t>经化粪池</w:t>
                  </w:r>
                  <w:r>
                    <w:rPr>
                      <w:rFonts w:hint="default" w:ascii="Times New Roman" w:hAnsi="Times New Roman" w:cs="Times New Roman"/>
                      <w:sz w:val="21"/>
                      <w:szCs w:val="21"/>
                      <w:lang w:val="en-US" w:eastAsia="zh-CN"/>
                    </w:rPr>
                    <w:t>收集</w:t>
                  </w:r>
                  <w:r>
                    <w:rPr>
                      <w:rFonts w:hint="eastAsia" w:cs="Times New Roman"/>
                      <w:sz w:val="21"/>
                      <w:szCs w:val="21"/>
                      <w:lang w:val="en-US" w:eastAsia="zh-CN"/>
                    </w:rPr>
                    <w:t>预处理</w:t>
                  </w:r>
                  <w:r>
                    <w:rPr>
                      <w:rFonts w:hint="default" w:ascii="Times New Roman" w:hAnsi="Times New Roman" w:cs="Times New Roman"/>
                      <w:sz w:val="21"/>
                      <w:szCs w:val="21"/>
                      <w:lang w:val="en-US" w:eastAsia="zh-CN"/>
                    </w:rPr>
                    <w:t>后接入市政污水管网纳入金寨现代产业园污水处理厂处理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07" w:type="pct"/>
                  <w:vMerge w:val="continue"/>
                  <w:noWrap w:val="0"/>
                  <w:vAlign w:val="center"/>
                </w:tcPr>
                <w:p>
                  <w:pPr>
                    <w:adjustRightInd w:val="0"/>
                    <w:snapToGrid w:val="0"/>
                    <w:jc w:val="center"/>
                    <w:rPr>
                      <w:rFonts w:hint="default" w:ascii="Times New Roman" w:hAnsi="Times New Roman" w:cs="Times New Roman"/>
                      <w:bCs/>
                      <w:color w:val="auto"/>
                      <w:sz w:val="21"/>
                      <w:szCs w:val="21"/>
                    </w:rPr>
                  </w:pPr>
                </w:p>
              </w:tc>
              <w:tc>
                <w:tcPr>
                  <w:tcW w:w="644" w:type="pct"/>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噪声</w:t>
                  </w:r>
                </w:p>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治理</w:t>
                  </w:r>
                </w:p>
              </w:tc>
              <w:tc>
                <w:tcPr>
                  <w:tcW w:w="3848" w:type="pct"/>
                  <w:gridSpan w:val="2"/>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选用低噪声设备，基础减振、车间隔声、风机隔声罩等措施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7" w:type="pct"/>
                  <w:vMerge w:val="continue"/>
                  <w:noWrap w:val="0"/>
                  <w:vAlign w:val="center"/>
                </w:tcPr>
                <w:p>
                  <w:pPr>
                    <w:adjustRightInd w:val="0"/>
                    <w:snapToGrid w:val="0"/>
                    <w:jc w:val="center"/>
                    <w:rPr>
                      <w:rFonts w:hint="default" w:ascii="Times New Roman" w:hAnsi="Times New Roman" w:cs="Times New Roman"/>
                      <w:bCs/>
                      <w:color w:val="auto"/>
                      <w:sz w:val="21"/>
                      <w:szCs w:val="21"/>
                    </w:rPr>
                  </w:pPr>
                </w:p>
              </w:tc>
              <w:tc>
                <w:tcPr>
                  <w:tcW w:w="644" w:type="pct"/>
                  <w:vMerge w:val="restart"/>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固废</w:t>
                  </w:r>
                </w:p>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治理</w:t>
                  </w:r>
                </w:p>
              </w:tc>
              <w:tc>
                <w:tcPr>
                  <w:tcW w:w="598" w:type="pct"/>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一般工业固废</w:t>
                  </w:r>
                </w:p>
              </w:tc>
              <w:tc>
                <w:tcPr>
                  <w:tcW w:w="3249" w:type="pct"/>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sz w:val="21"/>
                      <w:szCs w:val="21"/>
                      <w:lang w:val="en-US" w:eastAsia="zh-CN"/>
                    </w:rPr>
                    <w:t>厂房内西南侧，建筑面积10m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w:t>
                  </w:r>
                  <w:r>
                    <w:rPr>
                      <w:rFonts w:hint="default" w:ascii="Times New Roman" w:hAnsi="Times New Roman" w:cs="Times New Roman"/>
                      <w:bCs/>
                      <w:color w:val="auto"/>
                      <w:sz w:val="21"/>
                      <w:szCs w:val="21"/>
                      <w:lang w:val="en-US" w:eastAsia="zh-CN"/>
                    </w:rPr>
                    <w:t>设置一般固废场所用于存储一般工业固废，其中，废包装袋</w:t>
                  </w:r>
                  <w:r>
                    <w:rPr>
                      <w:rFonts w:hint="default" w:ascii="Times New Roman" w:hAnsi="Times New Roman" w:cs="Times New Roman"/>
                      <w:bCs/>
                      <w:color w:val="auto"/>
                      <w:sz w:val="21"/>
                      <w:szCs w:val="21"/>
                      <w:lang w:eastAsia="zh-CN"/>
                    </w:rPr>
                    <w:t>等</w:t>
                  </w:r>
                  <w:r>
                    <w:rPr>
                      <w:rFonts w:hint="default" w:ascii="Times New Roman" w:hAnsi="Times New Roman" w:cs="Times New Roman"/>
                      <w:bCs/>
                      <w:color w:val="auto"/>
                      <w:sz w:val="21"/>
                      <w:szCs w:val="21"/>
                    </w:rPr>
                    <w:t>集中收集于一般固废</w:t>
                  </w:r>
                  <w:r>
                    <w:rPr>
                      <w:rFonts w:hint="default" w:ascii="Times New Roman" w:hAnsi="Times New Roman" w:cs="Times New Roman"/>
                      <w:bCs/>
                      <w:color w:val="auto"/>
                      <w:sz w:val="21"/>
                      <w:szCs w:val="21"/>
                      <w:lang w:eastAsia="zh-CN"/>
                    </w:rPr>
                    <w:t>场所</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定期</w:t>
                  </w:r>
                  <w:r>
                    <w:rPr>
                      <w:rFonts w:hint="default" w:ascii="Times New Roman" w:hAnsi="Times New Roman" w:cs="Times New Roman"/>
                      <w:color w:val="auto"/>
                      <w:sz w:val="21"/>
                      <w:szCs w:val="21"/>
                    </w:rPr>
                    <w:t>资源外售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Merge w:val="continue"/>
                  <w:noWrap w:val="0"/>
                  <w:vAlign w:val="center"/>
                </w:tcPr>
                <w:p>
                  <w:pPr>
                    <w:adjustRightInd w:val="0"/>
                    <w:snapToGrid w:val="0"/>
                    <w:jc w:val="center"/>
                    <w:rPr>
                      <w:rFonts w:hint="default" w:ascii="Times New Roman" w:hAnsi="Times New Roman" w:cs="Times New Roman"/>
                      <w:color w:val="auto"/>
                      <w:sz w:val="21"/>
                      <w:szCs w:val="21"/>
                    </w:rPr>
                  </w:pPr>
                </w:p>
              </w:tc>
              <w:tc>
                <w:tcPr>
                  <w:tcW w:w="644" w:type="pct"/>
                  <w:vMerge w:val="continue"/>
                  <w:noWrap w:val="0"/>
                  <w:vAlign w:val="center"/>
                </w:tcPr>
                <w:p>
                  <w:pPr>
                    <w:adjustRightInd w:val="0"/>
                    <w:snapToGrid w:val="0"/>
                    <w:jc w:val="center"/>
                    <w:rPr>
                      <w:rFonts w:hint="default" w:ascii="Times New Roman" w:hAnsi="Times New Roman" w:cs="Times New Roman"/>
                      <w:color w:val="auto"/>
                      <w:sz w:val="21"/>
                      <w:szCs w:val="21"/>
                    </w:rPr>
                  </w:pPr>
                </w:p>
              </w:tc>
              <w:tc>
                <w:tcPr>
                  <w:tcW w:w="598" w:type="pct"/>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危险废物</w:t>
                  </w:r>
                </w:p>
              </w:tc>
              <w:tc>
                <w:tcPr>
                  <w:tcW w:w="3249" w:type="pct"/>
                  <w:noWrap w:val="0"/>
                  <w:vAlign w:val="center"/>
                </w:tcPr>
                <w:p>
                  <w:pPr>
                    <w:adjustRightInd w:val="0"/>
                    <w:snapToGrid w:val="0"/>
                    <w:jc w:val="center"/>
                    <w:rPr>
                      <w:rFonts w:hint="default" w:ascii="Times New Roman" w:hAnsi="Times New Roman" w:cs="Times New Roman"/>
                      <w:bCs/>
                      <w:color w:val="auto"/>
                      <w:sz w:val="21"/>
                      <w:szCs w:val="21"/>
                      <w:lang w:val="en-US"/>
                    </w:rPr>
                  </w:pPr>
                  <w:r>
                    <w:rPr>
                      <w:rFonts w:hint="default" w:ascii="Times New Roman" w:hAnsi="Times New Roman" w:cs="Times New Roman"/>
                      <w:sz w:val="21"/>
                      <w:szCs w:val="21"/>
                      <w:lang w:val="en-US" w:eastAsia="zh-CN"/>
                    </w:rPr>
                    <w:t>厂房内西南侧，建筑面积</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lang w:val="en-US" w:eastAsia="zh-CN"/>
                    </w:rPr>
                    <w:t>0m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w:t>
                  </w:r>
                  <w:r>
                    <w:rPr>
                      <w:rFonts w:hint="default" w:ascii="Times New Roman" w:hAnsi="Times New Roman" w:cs="Times New Roman"/>
                      <w:bCs/>
                      <w:color w:val="auto"/>
                      <w:sz w:val="21"/>
                      <w:szCs w:val="21"/>
                      <w:lang w:val="en-US" w:eastAsia="zh-CN"/>
                    </w:rPr>
                    <w:t>设置危废贮存库用于存储危险废物，其中，</w:t>
                  </w:r>
                  <w:r>
                    <w:rPr>
                      <w:rFonts w:hint="eastAsia" w:cs="Times New Roman"/>
                      <w:bCs/>
                      <w:color w:val="auto"/>
                      <w:sz w:val="21"/>
                      <w:szCs w:val="21"/>
                      <w:lang w:val="en-US" w:eastAsia="zh-CN"/>
                    </w:rPr>
                    <w:t>废活性炭、</w:t>
                  </w:r>
                  <w:r>
                    <w:rPr>
                      <w:rFonts w:hint="default" w:ascii="Times New Roman" w:hAnsi="Times New Roman" w:cs="Times New Roman"/>
                      <w:bCs/>
                      <w:color w:val="auto"/>
                      <w:sz w:val="21"/>
                      <w:szCs w:val="21"/>
                      <w:lang w:val="en-US" w:eastAsia="zh-CN"/>
                    </w:rPr>
                    <w:t>废机油和废油桶集中收集于危废贮存库，定期委托有资质的单位处置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Merge w:val="continue"/>
                  <w:noWrap w:val="0"/>
                  <w:vAlign w:val="center"/>
                </w:tcPr>
                <w:p>
                  <w:pPr>
                    <w:adjustRightInd w:val="0"/>
                    <w:snapToGrid w:val="0"/>
                    <w:jc w:val="center"/>
                    <w:rPr>
                      <w:rFonts w:hint="default" w:ascii="Times New Roman" w:hAnsi="Times New Roman" w:cs="Times New Roman"/>
                      <w:color w:val="auto"/>
                      <w:sz w:val="21"/>
                      <w:szCs w:val="21"/>
                    </w:rPr>
                  </w:pPr>
                </w:p>
              </w:tc>
              <w:tc>
                <w:tcPr>
                  <w:tcW w:w="644" w:type="pct"/>
                  <w:vMerge w:val="continue"/>
                  <w:noWrap w:val="0"/>
                  <w:vAlign w:val="center"/>
                </w:tcPr>
                <w:p>
                  <w:pPr>
                    <w:adjustRightInd w:val="0"/>
                    <w:snapToGrid w:val="0"/>
                    <w:jc w:val="center"/>
                    <w:rPr>
                      <w:rFonts w:hint="default" w:ascii="Times New Roman" w:hAnsi="Times New Roman" w:cs="Times New Roman"/>
                      <w:color w:val="auto"/>
                      <w:sz w:val="21"/>
                      <w:szCs w:val="21"/>
                    </w:rPr>
                  </w:pPr>
                </w:p>
              </w:tc>
              <w:tc>
                <w:tcPr>
                  <w:tcW w:w="598" w:type="pct"/>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生活垃圾</w:t>
                  </w:r>
                </w:p>
              </w:tc>
              <w:tc>
                <w:tcPr>
                  <w:tcW w:w="3249" w:type="pct"/>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厂区垃圾桶（4个）分类收集后交由环卫部门清运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507" w:type="pct"/>
                  <w:vMerge w:val="continue"/>
                  <w:noWrap w:val="0"/>
                  <w:vAlign w:val="center"/>
                </w:tcPr>
                <w:p>
                  <w:pPr>
                    <w:adjustRightInd w:val="0"/>
                    <w:snapToGrid w:val="0"/>
                    <w:jc w:val="center"/>
                    <w:rPr>
                      <w:rFonts w:hint="default" w:ascii="Times New Roman" w:hAnsi="Times New Roman" w:cs="Times New Roman"/>
                      <w:color w:val="auto"/>
                      <w:sz w:val="21"/>
                      <w:szCs w:val="21"/>
                    </w:rPr>
                  </w:pPr>
                </w:p>
              </w:tc>
              <w:tc>
                <w:tcPr>
                  <w:tcW w:w="644" w:type="pc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土壤和地下水治理</w:t>
                  </w:r>
                </w:p>
              </w:tc>
              <w:tc>
                <w:tcPr>
                  <w:tcW w:w="3848" w:type="pct"/>
                  <w:gridSpan w:val="2"/>
                  <w:noWrap w:val="0"/>
                  <w:vAlign w:val="center"/>
                </w:tcPr>
                <w:p>
                  <w:pPr>
                    <w:adjustRightInd w:val="0"/>
                    <w:snapToGrid w:val="0"/>
                    <w:jc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color w:val="auto"/>
                      <w:sz w:val="21"/>
                      <w:szCs w:val="21"/>
                      <w:highlight w:val="none"/>
                    </w:rPr>
                    <w:t>按分区防渗要求，落实不同区域的防渗措施；</w:t>
                  </w:r>
                  <w:r>
                    <w:rPr>
                      <w:rFonts w:hint="default" w:ascii="Times New Roman" w:hAnsi="Times New Roman" w:eastAsia="宋体" w:cs="Times New Roman"/>
                      <w:color w:val="auto"/>
                      <w:sz w:val="21"/>
                      <w:szCs w:val="21"/>
                      <w:highlight w:val="none"/>
                      <w:lang w:val="en-US" w:eastAsia="zh-CN"/>
                    </w:rPr>
                    <w:t>其中重点防渗区为：</w:t>
                  </w:r>
                  <w:r>
                    <w:rPr>
                      <w:rFonts w:hint="default" w:ascii="Times New Roman" w:hAnsi="Times New Roman" w:cs="Times New Roman"/>
                      <w:color w:val="auto"/>
                      <w:sz w:val="21"/>
                      <w:szCs w:val="21"/>
                      <w:highlight w:val="none"/>
                      <w:lang w:val="en-US" w:eastAsia="zh-CN"/>
                    </w:rPr>
                    <w:t>危废贮存库</w:t>
                  </w:r>
                  <w:r>
                    <w:rPr>
                      <w:rFonts w:hint="default" w:ascii="Times New Roman" w:hAnsi="Times New Roman" w:eastAsia="宋体" w:cs="Times New Roman"/>
                      <w:color w:val="auto"/>
                      <w:kern w:val="2"/>
                      <w:sz w:val="21"/>
                      <w:szCs w:val="21"/>
                      <w:lang w:val="en-US" w:eastAsia="zh-CN" w:bidi="ar-SA"/>
                    </w:rPr>
                    <w:t>；一般防渗区为：一般生产区域；简单防渗区为：办公区域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Merge w:val="continue"/>
                  <w:noWrap w:val="0"/>
                  <w:vAlign w:val="center"/>
                </w:tcPr>
                <w:p>
                  <w:pPr>
                    <w:adjustRightInd w:val="0"/>
                    <w:snapToGrid w:val="0"/>
                    <w:jc w:val="center"/>
                    <w:rPr>
                      <w:rFonts w:hint="default" w:ascii="Times New Roman" w:hAnsi="Times New Roman" w:cs="Times New Roman"/>
                      <w:color w:val="auto"/>
                      <w:sz w:val="21"/>
                      <w:szCs w:val="21"/>
                    </w:rPr>
                  </w:pPr>
                </w:p>
              </w:tc>
              <w:tc>
                <w:tcPr>
                  <w:tcW w:w="644" w:type="pct"/>
                  <w:noWrap w:val="0"/>
                  <w:vAlign w:val="center"/>
                </w:tcPr>
                <w:p>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highlight w:val="none"/>
                    </w:rPr>
                    <w:t>环境风险防范和应急</w:t>
                  </w:r>
                </w:p>
              </w:tc>
              <w:tc>
                <w:tcPr>
                  <w:tcW w:w="3848" w:type="pct"/>
                  <w:gridSpan w:val="2"/>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需</w:t>
                  </w:r>
                  <w:r>
                    <w:rPr>
                      <w:rFonts w:hint="default" w:ascii="Times New Roman" w:hAnsi="Times New Roman" w:eastAsia="宋体" w:cs="Times New Roman"/>
                      <w:color w:val="auto"/>
                      <w:sz w:val="21"/>
                      <w:szCs w:val="21"/>
                      <w:highlight w:val="none"/>
                      <w:lang w:val="en-US" w:eastAsia="zh-CN"/>
                    </w:rPr>
                    <w:t>配套相关应急物资，</w:t>
                  </w:r>
                  <w:r>
                    <w:rPr>
                      <w:rFonts w:hint="default" w:ascii="Times New Roman" w:hAnsi="Times New Roman" w:eastAsia="宋体" w:cs="Times New Roman"/>
                      <w:color w:val="auto"/>
                      <w:sz w:val="21"/>
                      <w:szCs w:val="21"/>
                      <w:highlight w:val="none"/>
                    </w:rPr>
                    <w:t>加强应急演练和培训</w:t>
                  </w:r>
                </w:p>
              </w:tc>
            </w:tr>
          </w:tbl>
          <w:p>
            <w:pPr>
              <w:keepNext w:val="0"/>
              <w:keepLines w:val="0"/>
              <w:suppressLineNumbers w:val="0"/>
              <w:autoSpaceDE w:val="0"/>
              <w:autoSpaceDN w:val="0"/>
              <w:adjustRightInd w:val="0"/>
              <w:snapToGrid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2、产品</w:t>
            </w:r>
            <w:r>
              <w:rPr>
                <w:rFonts w:hint="default" w:ascii="Times New Roman" w:hAnsi="Times New Roman" w:cs="Times New Roman"/>
                <w:b/>
                <w:bCs/>
                <w:color w:val="auto"/>
                <w:sz w:val="24"/>
                <w:lang w:eastAsia="zh-CN"/>
              </w:rPr>
              <w:t>方案</w:t>
            </w:r>
            <w:r>
              <w:rPr>
                <w:rFonts w:hint="default" w:ascii="Times New Roman" w:hAnsi="Times New Roman" w:cs="Times New Roman"/>
                <w:b/>
                <w:bCs/>
                <w:color w:val="auto"/>
                <w:sz w:val="24"/>
              </w:rPr>
              <w:t>及产能</w:t>
            </w:r>
          </w:p>
          <w:p>
            <w:pPr>
              <w:keepNext w:val="0"/>
              <w:keepLines w:val="0"/>
              <w:suppressLineNumbers w:val="0"/>
              <w:spacing w:before="0" w:beforeAutospacing="0" w:after="0" w:afterAutospacing="0" w:line="360" w:lineRule="auto"/>
              <w:ind w:left="0" w:right="0"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具体产品方案详见下表：</w:t>
            </w:r>
          </w:p>
          <w:p>
            <w:pPr>
              <w:pStyle w:val="58"/>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kern w:val="2"/>
                <w:sz w:val="24"/>
                <w:szCs w:val="24"/>
                <w:lang w:val="en-US"/>
              </w:rPr>
            </w:pPr>
            <w:r>
              <w:rPr>
                <w:rFonts w:hint="default" w:ascii="Times New Roman" w:hAnsi="Times New Roman" w:cs="Times New Roman"/>
                <w:b/>
                <w:bCs/>
                <w:color w:val="auto"/>
                <w:kern w:val="2"/>
                <w:sz w:val="24"/>
                <w:szCs w:val="24"/>
                <w:lang w:val="en-US"/>
              </w:rPr>
              <w:t>表2</w:t>
            </w:r>
            <w:r>
              <w:rPr>
                <w:rFonts w:hint="eastAsia" w:ascii="Times New Roman" w:hAnsi="Times New Roman" w:cs="Times New Roman"/>
                <w:b/>
                <w:bCs/>
                <w:color w:val="auto"/>
                <w:kern w:val="2"/>
                <w:sz w:val="24"/>
                <w:szCs w:val="24"/>
                <w:lang w:val="en-US" w:eastAsia="zh-CN"/>
              </w:rPr>
              <w:t>.</w:t>
            </w:r>
            <w:r>
              <w:rPr>
                <w:rFonts w:hint="default" w:ascii="Times New Roman" w:hAnsi="Times New Roman" w:cs="Times New Roman"/>
                <w:b/>
                <w:bCs/>
                <w:color w:val="auto"/>
                <w:kern w:val="2"/>
                <w:sz w:val="24"/>
                <w:szCs w:val="24"/>
                <w:lang w:val="en-US" w:eastAsia="zh-CN"/>
              </w:rPr>
              <w:t>4</w:t>
            </w:r>
            <w:r>
              <w:rPr>
                <w:rFonts w:hint="default" w:ascii="Times New Roman" w:hAnsi="Times New Roman" w:cs="Times New Roman"/>
                <w:b/>
                <w:bCs/>
                <w:color w:val="auto"/>
                <w:kern w:val="2"/>
                <w:sz w:val="24"/>
                <w:szCs w:val="24"/>
                <w:lang w:val="en-US"/>
              </w:rPr>
              <w:t>主要产品方案一览表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887"/>
              <w:gridCol w:w="2317"/>
              <w:gridCol w:w="2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84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color w:val="000000" w:themeColor="text1"/>
                      <w:szCs w:val="21"/>
                      <w:lang w:eastAsia="zh-CN"/>
                      <w14:textFill>
                        <w14:solidFill>
                          <w14:schemeClr w14:val="tx1"/>
                        </w14:solidFill>
                      </w14:textFill>
                    </w:rPr>
                  </w:pPr>
                  <w:r>
                    <w:rPr>
                      <w:rFonts w:hint="default" w:ascii="Times New Roman" w:hAnsi="Times New Roman" w:cs="Times New Roman"/>
                      <w:b/>
                      <w:bCs w:val="0"/>
                      <w:color w:val="000000" w:themeColor="text1"/>
                      <w:szCs w:val="21"/>
                      <w:lang w:eastAsia="zh-CN"/>
                      <w14:textFill>
                        <w14:solidFill>
                          <w14:schemeClr w14:val="tx1"/>
                        </w14:solidFill>
                      </w14:textFill>
                    </w:rPr>
                    <w:t>序号</w:t>
                  </w:r>
                </w:p>
              </w:tc>
              <w:tc>
                <w:tcPr>
                  <w:tcW w:w="112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color w:val="000000" w:themeColor="text1"/>
                      <w:szCs w:val="21"/>
                      <w:lang w:eastAsia="zh-CN"/>
                      <w14:textFill>
                        <w14:solidFill>
                          <w14:schemeClr w14:val="tx1"/>
                        </w14:solidFill>
                      </w14:textFill>
                    </w:rPr>
                  </w:pPr>
                  <w:r>
                    <w:rPr>
                      <w:rFonts w:hint="default" w:ascii="Times New Roman" w:hAnsi="Times New Roman" w:cs="Times New Roman"/>
                      <w:b/>
                      <w:bCs w:val="0"/>
                      <w:color w:val="000000" w:themeColor="text1"/>
                      <w:szCs w:val="21"/>
                      <w:lang w:eastAsia="zh-CN"/>
                      <w14:textFill>
                        <w14:solidFill>
                          <w14:schemeClr w14:val="tx1"/>
                        </w14:solidFill>
                      </w14:textFill>
                    </w:rPr>
                    <w:t>产品名称</w:t>
                  </w:r>
                </w:p>
              </w:tc>
              <w:tc>
                <w:tcPr>
                  <w:tcW w:w="138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
                      <w:bCs w:val="0"/>
                      <w:color w:val="000000" w:themeColor="text1"/>
                      <w:szCs w:val="21"/>
                      <w:lang w:eastAsia="zh-CN"/>
                      <w14:textFill>
                        <w14:solidFill>
                          <w14:schemeClr w14:val="tx1"/>
                        </w14:solidFill>
                      </w14:textFill>
                    </w:rPr>
                  </w:pPr>
                  <w:r>
                    <w:rPr>
                      <w:rFonts w:hint="default" w:ascii="Times New Roman" w:hAnsi="Times New Roman" w:cs="Times New Roman"/>
                      <w:b/>
                      <w:bCs w:val="0"/>
                      <w:color w:val="000000" w:themeColor="text1"/>
                      <w:szCs w:val="21"/>
                      <w:lang w:eastAsia="zh-CN"/>
                      <w14:textFill>
                        <w14:solidFill>
                          <w14:schemeClr w14:val="tx1"/>
                        </w14:solidFill>
                      </w14:textFill>
                    </w:rPr>
                    <w:t>产品产量</w:t>
                  </w:r>
                </w:p>
              </w:tc>
              <w:tc>
                <w:tcPr>
                  <w:tcW w:w="164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b/>
                      <w:bCs w:val="0"/>
                      <w:color w:val="000000" w:themeColor="text1"/>
                      <w:szCs w:val="21"/>
                      <w:lang w:val="en-US" w:eastAsia="zh-CN"/>
                      <w14:textFill>
                        <w14:solidFill>
                          <w14:schemeClr w14:val="tx1"/>
                        </w14:solidFill>
                      </w14:textFill>
                    </w:rPr>
                  </w:pPr>
                  <w:r>
                    <w:rPr>
                      <w:rFonts w:hint="eastAsia" w:cs="Times New Roman"/>
                      <w:b/>
                      <w:bCs w:val="0"/>
                      <w:color w:val="000000" w:themeColor="text1"/>
                      <w:szCs w:val="2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840" w:type="pct"/>
                  <w:tcBorders>
                    <w:tl2br w:val="nil"/>
                    <w:tr2bl w:val="nil"/>
                  </w:tcBorders>
                  <w:noWrap w:val="0"/>
                  <w:vAlign w:val="center"/>
                </w:tcPr>
                <w:p>
                  <w:pPr>
                    <w:keepNext w:val="0"/>
                    <w:keepLines w:val="0"/>
                    <w:pageBreakBefore w:val="0"/>
                    <w:widowControl w:val="0"/>
                    <w:numPr>
                      <w:ilvl w:val="0"/>
                      <w:numId w:val="0"/>
                    </w:numPr>
                    <w:suppressLineNumbers w:val="0"/>
                    <w:tabs>
                      <w:tab w:val="left" w:pos="420"/>
                    </w:tabs>
                    <w:kinsoku/>
                    <w:wordWrap/>
                    <w:overflowPunct/>
                    <w:topLinePunct w:val="0"/>
                    <w:autoSpaceDE/>
                    <w:autoSpaceDN/>
                    <w:bidi w:val="0"/>
                    <w:adjustRightInd w:val="0"/>
                    <w:snapToGrid w:val="0"/>
                    <w:spacing w:before="0" w:beforeAutospacing="0" w:after="0" w:afterAutospacing="0"/>
                    <w:ind w:right="0" w:rightChars="0"/>
                    <w:jc w:val="center"/>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bookmarkStart w:id="8" w:name="OLE_LINK196" w:colFirst="1" w:colLast="3"/>
                  <w:r>
                    <w:rPr>
                      <w:rFonts w:hint="eastAsia" w:cs="Times New Roman"/>
                      <w:bCs/>
                      <w:color w:val="000000" w:themeColor="text1"/>
                      <w:szCs w:val="21"/>
                      <w:lang w:val="en-US" w:eastAsia="zh-CN"/>
                      <w14:textFill>
                        <w14:solidFill>
                          <w14:schemeClr w14:val="tx1"/>
                        </w14:solidFill>
                      </w14:textFill>
                    </w:rPr>
                    <w:t>1</w:t>
                  </w:r>
                </w:p>
              </w:tc>
              <w:tc>
                <w:tcPr>
                  <w:tcW w:w="112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聚乙烯蜡</w:t>
                  </w:r>
                </w:p>
              </w:tc>
              <w:tc>
                <w:tcPr>
                  <w:tcW w:w="138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5000</w:t>
                  </w:r>
                  <w:r>
                    <w:rPr>
                      <w:rFonts w:hint="default" w:ascii="Times New Roman" w:hAnsi="Times New Roman" w:cs="Times New Roman"/>
                      <w:bCs/>
                      <w:color w:val="000000" w:themeColor="text1"/>
                      <w:sz w:val="21"/>
                      <w:szCs w:val="21"/>
                      <w:lang w:val="en-US" w:eastAsia="zh-CN"/>
                      <w14:textFill>
                        <w14:solidFill>
                          <w14:schemeClr w14:val="tx1"/>
                        </w14:solidFill>
                      </w14:textFill>
                    </w:rPr>
                    <w:t>t/a</w:t>
                  </w:r>
                </w:p>
              </w:tc>
              <w:tc>
                <w:tcPr>
                  <w:tcW w:w="164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颗粒状，</w:t>
                  </w:r>
                  <w:r>
                    <w:rPr>
                      <w:rFonts w:hint="eastAsia" w:ascii="Times New Roman" w:hAnsi="Times New Roman" w:eastAsia="宋体" w:cs="Times New Roman"/>
                      <w:color w:val="auto"/>
                      <w:kern w:val="2"/>
                      <w:sz w:val="21"/>
                      <w:szCs w:val="21"/>
                      <w:highlight w:val="none"/>
                      <w:vertAlign w:val="baseline"/>
                      <w:lang w:val="en-US" w:eastAsia="zh-CN" w:bidi="ar-SA"/>
                    </w:rPr>
                    <w:t>3~5</w:t>
                  </w:r>
                  <w:r>
                    <w:rPr>
                      <w:rFonts w:hint="eastAsia" w:ascii="Times New Roman" w:hAnsi="Times New Roman" w:eastAsia="宋体" w:cs="Times New Roman"/>
                      <w:color w:val="auto"/>
                      <w:sz w:val="21"/>
                      <w:szCs w:val="21"/>
                      <w:highlight w:val="none"/>
                      <w:vertAlign w:val="baseline"/>
                      <w:lang w:val="en-US" w:eastAsia="zh-CN"/>
                    </w:rPr>
                    <w:t>mm</w:t>
                  </w:r>
                </w:p>
              </w:tc>
            </w:tr>
            <w:bookmarkEnd w:id="8"/>
          </w:tbl>
          <w:p>
            <w:pPr>
              <w:keepNext w:val="0"/>
              <w:keepLines w:val="0"/>
              <w:numPr>
                <w:ilvl w:val="0"/>
                <w:numId w:val="0"/>
              </w:numPr>
              <w:suppressLineNumbers w:val="0"/>
              <w:spacing w:before="0" w:beforeAutospacing="0" w:after="0" w:afterAutospacing="0" w:line="360" w:lineRule="auto"/>
              <w:ind w:left="0" w:leftChars="0" w:right="0" w:rightChars="0" w:firstLine="0" w:firstLineChars="0"/>
              <w:rPr>
                <w:rFonts w:hint="default" w:ascii="Times New Roman" w:hAnsi="Times New Roman" w:cs="Times New Roman"/>
                <w:color w:val="auto"/>
              </w:rPr>
            </w:pPr>
            <w:r>
              <w:rPr>
                <w:rFonts w:hint="default" w:ascii="Times New Roman" w:hAnsi="Times New Roman" w:cs="Times New Roman"/>
                <w:b/>
                <w:bCs/>
                <w:color w:val="auto"/>
                <w:kern w:val="2"/>
                <w:sz w:val="21"/>
                <w:szCs w:val="24"/>
                <w:lang w:val="en-US" w:eastAsia="zh-CN" w:bidi="ar-SA"/>
              </w:rPr>
              <w:t>3、</w:t>
            </w:r>
            <w:r>
              <w:rPr>
                <w:rFonts w:hint="default" w:ascii="Times New Roman" w:hAnsi="Times New Roman" w:cs="Times New Roman"/>
                <w:b/>
                <w:bCs/>
                <w:color w:val="auto"/>
                <w:sz w:val="24"/>
              </w:rPr>
              <w:t>主要设备、设施</w:t>
            </w:r>
          </w:p>
          <w:p>
            <w:pPr>
              <w:keepNext w:val="0"/>
              <w:keepLines w:val="0"/>
              <w:pageBreakBefore w:val="0"/>
              <w:widowControl w:val="0"/>
              <w:suppressLineNumbers w:val="0"/>
              <w:tabs>
                <w:tab w:val="left" w:pos="840"/>
                <w:tab w:val="right" w:leader="dot" w:pos="8820"/>
              </w:tabs>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主要设备详见下表：</w:t>
            </w:r>
          </w:p>
          <w:p>
            <w:pPr>
              <w:keepNext w:val="0"/>
              <w:keepLines w:val="0"/>
              <w:suppressLineNumbers w:val="0"/>
              <w:tabs>
                <w:tab w:val="left" w:pos="840"/>
                <w:tab w:val="right" w:leader="dot" w:pos="8820"/>
              </w:tabs>
              <w:spacing w:before="0" w:beforeAutospacing="0" w:after="0" w:afterAutospacing="0"/>
              <w:ind w:left="0" w:right="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表2</w:t>
            </w:r>
            <w:r>
              <w:rPr>
                <w:rFonts w:hint="eastAsia" w:cs="Times New Roman"/>
                <w:b/>
                <w:color w:val="auto"/>
                <w:sz w:val="24"/>
                <w:szCs w:val="24"/>
                <w:lang w:val="en-US" w:eastAsia="zh-CN"/>
              </w:rPr>
              <w:t>.5</w:t>
            </w:r>
            <w:r>
              <w:rPr>
                <w:rFonts w:hint="default" w:ascii="Times New Roman" w:hAnsi="Times New Roman" w:cs="Times New Roman"/>
                <w:b/>
                <w:color w:val="auto"/>
                <w:sz w:val="24"/>
                <w:szCs w:val="24"/>
              </w:rPr>
              <w:t>主要生产设备清单</w:t>
            </w:r>
            <w:r>
              <w:rPr>
                <w:rFonts w:hint="default" w:ascii="Times New Roman" w:hAnsi="Times New Roman" w:cs="Times New Roman"/>
                <w:b/>
                <w:bCs w:val="0"/>
                <w:color w:val="auto"/>
                <w:sz w:val="24"/>
                <w:szCs w:val="24"/>
                <w:lang w:eastAsia="zh-CN"/>
              </w:rPr>
              <w:t>单位：台</w:t>
            </w:r>
          </w:p>
          <w:tbl>
            <w:tblPr>
              <w:tblStyle w:val="3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9"/>
              <w:gridCol w:w="1971"/>
              <w:gridCol w:w="2871"/>
              <w:gridCol w:w="963"/>
              <w:gridCol w:w="995"/>
              <w:gridCol w:w="9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设备名称</w:t>
                  </w:r>
                </w:p>
              </w:tc>
              <w:tc>
                <w:tcPr>
                  <w:tcW w:w="1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Style w:val="84"/>
                      <w:rFonts w:hint="default" w:ascii="Times New Roman" w:hAnsi="Times New Roman" w:eastAsia="宋体" w:cs="Times New Roman"/>
                      <w:b/>
                      <w:bCs/>
                      <w:color w:val="auto"/>
                      <w:sz w:val="21"/>
                      <w:szCs w:val="21"/>
                      <w:lang w:val="en-US" w:eastAsia="zh-CN" w:bidi="ar"/>
                    </w:rPr>
                    <w:t>型号/尺寸规格</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数量(台)</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用途</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所在位置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卧式熔蜡机</w:t>
                  </w:r>
                </w:p>
              </w:tc>
              <w:tc>
                <w:tcPr>
                  <w:tcW w:w="1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Style w:val="84"/>
                      <w:rFonts w:hint="default" w:ascii="Times New Roman" w:hAnsi="Times New Roman" w:eastAsia="宋体" w:cs="Times New Roman"/>
                      <w:color w:val="auto"/>
                      <w:sz w:val="21"/>
                      <w:szCs w:val="21"/>
                      <w:lang w:val="en-US" w:eastAsia="zh-CN" w:bidi="ar"/>
                    </w:rPr>
                    <w:t>4m×0.4m×1.3m</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3</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熔化</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冷却罐</w:t>
                  </w:r>
                </w:p>
              </w:tc>
              <w:tc>
                <w:tcPr>
                  <w:tcW w:w="1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Style w:val="84"/>
                      <w:rFonts w:hint="default" w:ascii="Times New Roman" w:hAnsi="Times New Roman" w:eastAsia="宋体" w:cs="Times New Roman"/>
                      <w:color w:val="auto"/>
                      <w:sz w:val="21"/>
                      <w:szCs w:val="21"/>
                      <w:lang w:val="en-US" w:eastAsia="zh-CN" w:bidi="ar"/>
                    </w:rPr>
                    <w:t>0.7m×0.6m</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9</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4"/>
                      <w:rFonts w:hint="default" w:ascii="Times New Roman" w:hAnsi="Times New Roman" w:eastAsia="宋体" w:cs="Times New Roman"/>
                      <w:color w:val="auto"/>
                      <w:sz w:val="21"/>
                      <w:szCs w:val="21"/>
                      <w:lang w:val="en-US" w:eastAsia="zh-CN" w:bidi="ar"/>
                    </w:rPr>
                    <w:t>储存</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3</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4"/>
                      <w:rFonts w:hint="default" w:ascii="Times New Roman" w:hAnsi="Times New Roman" w:eastAsia="宋体" w:cs="Times New Roman"/>
                      <w:color w:val="auto"/>
                      <w:sz w:val="21"/>
                      <w:szCs w:val="21"/>
                      <w:lang w:val="en-US" w:eastAsia="zh-CN" w:bidi="ar"/>
                    </w:rPr>
                    <w:t>分散搅拌机</w:t>
                  </w:r>
                </w:p>
              </w:tc>
              <w:tc>
                <w:tcPr>
                  <w:tcW w:w="1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Style w:val="84"/>
                      <w:rFonts w:hint="default" w:ascii="Times New Roman" w:hAnsi="Times New Roman" w:eastAsia="宋体" w:cs="Times New Roman"/>
                      <w:color w:val="auto"/>
                      <w:sz w:val="21"/>
                      <w:szCs w:val="21"/>
                      <w:lang w:val="en-US" w:eastAsia="zh-CN" w:bidi="ar"/>
                    </w:rPr>
                    <w:t>2.4m×1m</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3</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分散</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4</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4"/>
                      <w:rFonts w:hint="default" w:ascii="Times New Roman" w:hAnsi="Times New Roman" w:eastAsia="宋体" w:cs="Times New Roman"/>
                      <w:color w:val="auto"/>
                      <w:sz w:val="21"/>
                      <w:szCs w:val="21"/>
                      <w:lang w:val="en-US" w:eastAsia="zh-CN" w:bidi="ar"/>
                    </w:rPr>
                    <w:t>挤压机</w:t>
                  </w:r>
                </w:p>
              </w:tc>
              <w:tc>
                <w:tcPr>
                  <w:tcW w:w="1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Style w:val="84"/>
                      <w:rFonts w:hint="default" w:ascii="Times New Roman" w:hAnsi="Times New Roman" w:eastAsia="宋体" w:cs="Times New Roman"/>
                      <w:color w:val="auto"/>
                      <w:sz w:val="21"/>
                      <w:szCs w:val="21"/>
                      <w:lang w:val="en-US" w:eastAsia="zh-CN" w:bidi="ar"/>
                    </w:rPr>
                    <w:t>5m×0.8m×1.2m</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3</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7"/>
                      <w:rFonts w:hint="default" w:ascii="Times New Roman" w:hAnsi="Times New Roman" w:eastAsia="宋体" w:cs="Times New Roman"/>
                      <w:color w:val="auto"/>
                      <w:sz w:val="21"/>
                      <w:szCs w:val="21"/>
                      <w:lang w:val="en-US" w:eastAsia="zh-CN" w:bidi="ar"/>
                    </w:rPr>
                    <w:t>接枝</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4"/>
                      <w:rFonts w:hint="default" w:ascii="Times New Roman" w:hAnsi="Times New Roman" w:eastAsia="宋体" w:cs="Times New Roman"/>
                      <w:color w:val="auto"/>
                      <w:sz w:val="21"/>
                      <w:szCs w:val="21"/>
                      <w:lang w:val="en-US" w:eastAsia="zh-CN" w:bidi="ar"/>
                    </w:rPr>
                    <w:t>生产车间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5</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8"/>
                      <w:rFonts w:hint="default" w:ascii="Times New Roman" w:hAnsi="Times New Roman" w:eastAsia="宋体" w:cs="Times New Roman"/>
                      <w:color w:val="auto"/>
                      <w:sz w:val="21"/>
                      <w:szCs w:val="21"/>
                      <w:lang w:val="en-US" w:eastAsia="zh-CN" w:bidi="ar"/>
                    </w:rPr>
                    <w:t>造粒机</w:t>
                  </w:r>
                </w:p>
              </w:tc>
              <w:tc>
                <w:tcPr>
                  <w:tcW w:w="17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Style w:val="84"/>
                      <w:rFonts w:hint="default" w:ascii="Times New Roman" w:hAnsi="Times New Roman" w:eastAsia="宋体" w:cs="Times New Roman"/>
                      <w:color w:val="auto"/>
                      <w:sz w:val="21"/>
                      <w:szCs w:val="21"/>
                      <w:lang w:val="en-US" w:eastAsia="zh-CN" w:bidi="ar"/>
                    </w:rPr>
                    <w:t>6m×2m×2m</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3</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4"/>
                      <w:rFonts w:hint="default" w:ascii="Times New Roman" w:hAnsi="Times New Roman" w:eastAsia="宋体" w:cs="Times New Roman"/>
                      <w:color w:val="auto"/>
                      <w:sz w:val="21"/>
                      <w:szCs w:val="21"/>
                      <w:lang w:val="en-US" w:eastAsia="zh-CN" w:bidi="ar"/>
                    </w:rPr>
                    <w:t>造粒</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84"/>
                      <w:rFonts w:hint="default" w:ascii="Times New Roman" w:hAnsi="Times New Roman" w:eastAsia="宋体" w:cs="Times New Roman"/>
                      <w:color w:val="auto"/>
                      <w:sz w:val="21"/>
                      <w:szCs w:val="21"/>
                      <w:lang w:val="en-US" w:eastAsia="zh-CN" w:bidi="ar"/>
                    </w:rPr>
                    <w:t>生产车间</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b/>
                <w:bCs/>
                <w:color w:val="000000" w:themeColor="text1"/>
                <w:sz w:val="24"/>
                <w:szCs w:val="32"/>
                <w14:textFill>
                  <w14:solidFill>
                    <w14:schemeClr w14:val="tx1"/>
                  </w14:solidFill>
                </w14:textFill>
              </w:rPr>
            </w:pPr>
            <w:bookmarkStart w:id="9" w:name="OLE_LINK143"/>
            <w:r>
              <w:rPr>
                <w:rFonts w:hint="default" w:ascii="Times New Roman" w:hAnsi="Times New Roman" w:cs="Times New Roman"/>
                <w:b w:val="0"/>
                <w:bCs w:val="0"/>
                <w:color w:val="000000" w:themeColor="text1"/>
                <w:kern w:val="2"/>
                <w:sz w:val="24"/>
                <w:szCs w:val="24"/>
                <w:highlight w:val="none"/>
                <w:lang w:val="en-US" w:eastAsia="zh-CN" w:bidi="ar-SA"/>
                <w14:textFill>
                  <w14:solidFill>
                    <w14:schemeClr w14:val="tx1"/>
                  </w14:solidFill>
                </w14:textFill>
              </w:rPr>
              <w:t>产能匹配性分析：本项目</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聚乙烯蜡平均生产</w:t>
            </w:r>
            <w:r>
              <w:rPr>
                <w:rFonts w:hint="default" w:ascii="Times New Roman" w:hAnsi="Times New Roman" w:cs="Times New Roman"/>
                <w:b w:val="0"/>
                <w:bCs w:val="0"/>
                <w:color w:val="000000" w:themeColor="text1"/>
                <w:kern w:val="2"/>
                <w:sz w:val="24"/>
                <w:szCs w:val="24"/>
                <w:highlight w:val="none"/>
                <w:lang w:val="en-US" w:eastAsia="zh-CN" w:bidi="ar-SA"/>
                <w14:textFill>
                  <w14:solidFill>
                    <w14:schemeClr w14:val="tx1"/>
                  </w14:solidFill>
                </w14:textFill>
              </w:rPr>
              <w:t>能力为</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0.7</w:t>
            </w:r>
            <w:r>
              <w:rPr>
                <w:rFonts w:hint="default" w:ascii="Times New Roman" w:hAnsi="Times New Roman" w:cs="Times New Roman"/>
                <w:b w:val="0"/>
                <w:bCs w:val="0"/>
                <w:color w:val="000000" w:themeColor="text1"/>
                <w:kern w:val="2"/>
                <w:sz w:val="24"/>
                <w:szCs w:val="24"/>
                <w:highlight w:val="none"/>
                <w:lang w:val="en-US" w:eastAsia="zh-CN" w:bidi="ar-SA"/>
                <w14:textFill>
                  <w14:solidFill>
                    <w14:schemeClr w14:val="tx1"/>
                  </w14:solidFill>
                </w14:textFill>
              </w:rPr>
              <w:t>t/h，年工作时长</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7920</w:t>
            </w:r>
            <w:r>
              <w:rPr>
                <w:rFonts w:hint="default" w:ascii="Times New Roman" w:hAnsi="Times New Roman" w:cs="Times New Roman"/>
                <w:b w:val="0"/>
                <w:bCs w:val="0"/>
                <w:color w:val="000000" w:themeColor="text1"/>
                <w:kern w:val="2"/>
                <w:sz w:val="24"/>
                <w:szCs w:val="24"/>
                <w:highlight w:val="none"/>
                <w:lang w:val="en-US" w:eastAsia="zh-CN" w:bidi="ar-SA"/>
                <w14:textFill>
                  <w14:solidFill>
                    <w14:schemeClr w14:val="tx1"/>
                  </w14:solidFill>
                </w14:textFill>
              </w:rPr>
              <w:t>h/a，则最大负荷</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生产</w:t>
            </w:r>
            <w:r>
              <w:rPr>
                <w:rFonts w:hint="default" w:ascii="Times New Roman" w:hAnsi="Times New Roman" w:cs="Times New Roman"/>
                <w:b w:val="0"/>
                <w:bCs w:val="0"/>
                <w:color w:val="000000" w:themeColor="text1"/>
                <w:kern w:val="2"/>
                <w:sz w:val="24"/>
                <w:szCs w:val="24"/>
                <w:highlight w:val="none"/>
                <w:lang w:val="en-US" w:eastAsia="zh-CN" w:bidi="ar-SA"/>
                <w14:textFill>
                  <w14:solidFill>
                    <w14:schemeClr w14:val="tx1"/>
                  </w14:solidFill>
                </w14:textFill>
              </w:rPr>
              <w:t>量为</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5544</w:t>
            </w:r>
            <w:r>
              <w:rPr>
                <w:rFonts w:hint="default" w:ascii="Times New Roman" w:hAnsi="Times New Roman" w:cs="Times New Roman"/>
                <w:b w:val="0"/>
                <w:bCs w:val="0"/>
                <w:color w:val="000000" w:themeColor="text1"/>
                <w:kern w:val="2"/>
                <w:sz w:val="24"/>
                <w:szCs w:val="24"/>
                <w:highlight w:val="none"/>
                <w:lang w:val="en-US" w:eastAsia="zh-CN" w:bidi="ar-SA"/>
                <w14:textFill>
                  <w14:solidFill>
                    <w14:schemeClr w14:val="tx1"/>
                  </w14:solidFill>
                </w14:textFill>
              </w:rPr>
              <w:t>t/a，</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满足年生产聚乙烯蜡5000吨</w:t>
            </w:r>
            <w:r>
              <w:rPr>
                <w:rFonts w:hint="default" w:ascii="Times New Roman" w:hAnsi="Times New Roman" w:cs="Times New Roman"/>
                <w:b w:val="0"/>
                <w:bCs w:val="0"/>
                <w:color w:val="000000" w:themeColor="text1"/>
                <w:kern w:val="2"/>
                <w:sz w:val="24"/>
                <w:szCs w:val="24"/>
                <w:highlight w:val="none"/>
                <w:lang w:val="en-US" w:eastAsia="zh-CN" w:bidi="ar-SA"/>
                <w14:textFill>
                  <w14:solidFill>
                    <w14:schemeClr w14:val="tx1"/>
                  </w14:solidFill>
                </w14:textFill>
              </w:rPr>
              <w:t>的生产能力要求。</w:t>
            </w:r>
          </w:p>
          <w:bookmarkEnd w:id="9"/>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szCs w:val="32"/>
              </w:rPr>
            </w:pPr>
            <w:r>
              <w:rPr>
                <w:rFonts w:hint="default" w:ascii="Times New Roman" w:hAnsi="Times New Roman" w:cs="Times New Roman"/>
                <w:b/>
                <w:bCs/>
                <w:color w:val="auto"/>
                <w:sz w:val="24"/>
                <w:szCs w:val="32"/>
              </w:rPr>
              <w:t>4、主要原辅料及能源消耗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color w:val="auto"/>
                <w:sz w:val="24"/>
                <w:szCs w:val="24"/>
                <w:highlight w:val="none"/>
              </w:rPr>
            </w:pPr>
            <w:bookmarkStart w:id="10" w:name="OLE_LINK137"/>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rPr>
              <w:t>主要原辅材料组成详见下表：</w:t>
            </w:r>
          </w:p>
          <w:p>
            <w:pPr>
              <w:keepNext w:val="0"/>
              <w:keepLines w:val="0"/>
              <w:pageBreakBefore w:val="0"/>
              <w:widowControl w:val="0"/>
              <w:suppressLineNumbers w:val="0"/>
              <w:tabs>
                <w:tab w:val="left" w:pos="840"/>
                <w:tab w:val="right" w:leader="dot" w:pos="8820"/>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表2</w:t>
            </w:r>
            <w:r>
              <w:rPr>
                <w:rFonts w:hint="eastAsia" w:cs="Times New Roman"/>
                <w:b/>
                <w:color w:val="auto"/>
                <w:sz w:val="24"/>
                <w:szCs w:val="24"/>
                <w:highlight w:val="none"/>
                <w:lang w:val="en-US" w:eastAsia="zh-CN"/>
              </w:rPr>
              <w:t>.6</w:t>
            </w:r>
            <w:r>
              <w:rPr>
                <w:rFonts w:hint="default" w:ascii="Times New Roman" w:hAnsi="Times New Roman" w:cs="Times New Roman"/>
                <w:b/>
                <w:color w:val="auto"/>
                <w:sz w:val="24"/>
                <w:szCs w:val="24"/>
                <w:highlight w:val="none"/>
              </w:rPr>
              <w:t>主要原辅料及能源消耗一览表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1264"/>
              <w:gridCol w:w="936"/>
              <w:gridCol w:w="1018"/>
              <w:gridCol w:w="1859"/>
              <w:gridCol w:w="1018"/>
              <w:gridCol w:w="1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755" w:type="pct"/>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555" w:type="pct"/>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年耗量</w:t>
                  </w:r>
                </w:p>
              </w:tc>
              <w:tc>
                <w:tcPr>
                  <w:tcW w:w="608" w:type="pct"/>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包装规格</w:t>
                  </w:r>
                </w:p>
              </w:tc>
              <w:tc>
                <w:tcPr>
                  <w:tcW w:w="1110" w:type="pct"/>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最大储存量（t）</w:t>
                  </w:r>
                </w:p>
              </w:tc>
              <w:tc>
                <w:tcPr>
                  <w:tcW w:w="608" w:type="pct"/>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储存周期</w:t>
                  </w:r>
                </w:p>
              </w:tc>
              <w:tc>
                <w:tcPr>
                  <w:tcW w:w="1056" w:type="pct"/>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color w:val="auto"/>
                      <w:lang w:val="en-US" w:eastAsia="zh-CN"/>
                    </w:rPr>
                  </w:pPr>
                  <w:bookmarkStart w:id="11" w:name="OLE_LINK197" w:colFirst="1" w:colLast="6"/>
                  <w:r>
                    <w:rPr>
                      <w:rFonts w:hint="eastAsia" w:cs="Times New Roman"/>
                      <w:color w:val="auto"/>
                      <w:lang w:val="en-US" w:eastAsia="zh-CN"/>
                    </w:rPr>
                    <w:t>1</w:t>
                  </w:r>
                </w:p>
              </w:tc>
              <w:tc>
                <w:tcPr>
                  <w:tcW w:w="75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废塑料</w:t>
                  </w:r>
                </w:p>
              </w:tc>
              <w:tc>
                <w:tcPr>
                  <w:tcW w:w="55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bCs/>
                      <w:color w:val="auto"/>
                      <w:kern w:val="0"/>
                      <w:sz w:val="21"/>
                      <w:szCs w:val="21"/>
                      <w:lang w:val="en-US" w:eastAsia="zh-CN"/>
                    </w:rPr>
                  </w:pPr>
                  <w:r>
                    <w:rPr>
                      <w:rFonts w:hint="eastAsia" w:cs="Times New Roman"/>
                      <w:bCs/>
                      <w:color w:val="auto"/>
                      <w:kern w:val="0"/>
                      <w:sz w:val="21"/>
                      <w:szCs w:val="21"/>
                      <w:lang w:val="en-US" w:eastAsia="zh-CN"/>
                    </w:rPr>
                    <w:t>5600t</w:t>
                  </w:r>
                </w:p>
              </w:tc>
              <w:tc>
                <w:tcPr>
                  <w:tcW w:w="608"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11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260</w:t>
                  </w:r>
                </w:p>
              </w:tc>
              <w:tc>
                <w:tcPr>
                  <w:tcW w:w="608"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15天</w:t>
                  </w:r>
                </w:p>
              </w:tc>
              <w:tc>
                <w:tcPr>
                  <w:tcW w:w="1056" w:type="pct"/>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块状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5" w:type="pct"/>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lang w:val="en-US" w:eastAsia="zh-CN"/>
                    </w:rPr>
                  </w:pPr>
                  <w:r>
                    <w:rPr>
                      <w:rFonts w:hint="eastAsia" w:cs="Times New Roman"/>
                      <w:color w:val="auto"/>
                      <w:lang w:val="en-US" w:eastAsia="zh-CN"/>
                    </w:rPr>
                    <w:t>2</w:t>
                  </w:r>
                </w:p>
              </w:tc>
              <w:tc>
                <w:tcPr>
                  <w:tcW w:w="75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机油</w:t>
                  </w:r>
                </w:p>
              </w:tc>
              <w:tc>
                <w:tcPr>
                  <w:tcW w:w="55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105" w:leftChars="-50" w:right="-105" w:rightChars="-50" w:firstLine="0" w:firstLineChars="0"/>
                    <w:jc w:val="center"/>
                    <w:textAlignment w:val="auto"/>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0.5t</w:t>
                  </w:r>
                </w:p>
              </w:tc>
              <w:tc>
                <w:tcPr>
                  <w:tcW w:w="608"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25kg/桶</w:t>
                  </w:r>
                </w:p>
              </w:tc>
              <w:tc>
                <w:tcPr>
                  <w:tcW w:w="111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0.05</w:t>
                  </w:r>
                </w:p>
              </w:tc>
              <w:tc>
                <w:tcPr>
                  <w:tcW w:w="608"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1年</w:t>
                  </w:r>
                </w:p>
              </w:tc>
              <w:tc>
                <w:tcPr>
                  <w:tcW w:w="1056" w:type="pct"/>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lang w:val="en-US" w:eastAsia="zh-CN"/>
                    </w:rPr>
                  </w:pPr>
                  <w:r>
                    <w:rPr>
                      <w:rFonts w:hint="eastAsia" w:cs="Times New Roman"/>
                      <w:color w:val="auto"/>
                      <w:lang w:val="en-US" w:eastAsia="zh-CN"/>
                    </w:rPr>
                    <w:t>3</w:t>
                  </w:r>
                </w:p>
              </w:tc>
              <w:tc>
                <w:tcPr>
                  <w:tcW w:w="75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水</w:t>
                  </w:r>
                </w:p>
              </w:tc>
              <w:tc>
                <w:tcPr>
                  <w:tcW w:w="55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105" w:leftChars="-50" w:right="-105" w:rightChars="-50" w:firstLine="0" w:firstLineChars="0"/>
                    <w:jc w:val="center"/>
                    <w:textAlignment w:val="auto"/>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127t</w:t>
                  </w:r>
                </w:p>
              </w:tc>
              <w:tc>
                <w:tcPr>
                  <w:tcW w:w="608"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11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608"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056"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cs="Times New Roman"/>
                      <w:color w:val="auto"/>
                      <w:sz w:val="21"/>
                      <w:szCs w:val="21"/>
                      <w:lang w:val="en-US" w:eastAsia="zh-CN"/>
                    </w:rPr>
                  </w:pPr>
                  <w:r>
                    <w:rPr>
                      <w:rFonts w:hint="default" w:ascii="Times New Roman" w:hAnsi="Times New Roman" w:cs="Times New Roman"/>
                      <w:color w:val="auto"/>
                      <w:sz w:val="21"/>
                      <w:szCs w:val="21"/>
                      <w:highlight w:val="none"/>
                      <w:vertAlign w:val="baseline"/>
                      <w:lang w:eastAsia="zh-CN"/>
                    </w:rPr>
                    <w:t>市政供水管网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lang w:val="en-US" w:eastAsia="zh-CN"/>
                    </w:rPr>
                  </w:pPr>
                  <w:r>
                    <w:rPr>
                      <w:rFonts w:hint="eastAsia" w:cs="Times New Roman"/>
                      <w:color w:val="auto"/>
                      <w:lang w:val="en-US" w:eastAsia="zh-CN"/>
                    </w:rPr>
                    <w:t>4</w:t>
                  </w:r>
                </w:p>
              </w:tc>
              <w:tc>
                <w:tcPr>
                  <w:tcW w:w="75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电</w:t>
                  </w:r>
                </w:p>
              </w:tc>
              <w:tc>
                <w:tcPr>
                  <w:tcW w:w="55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105" w:leftChars="-50" w:right="-105" w:rightChars="-50" w:firstLine="0" w:firstLineChars="0"/>
                    <w:jc w:val="center"/>
                    <w:textAlignment w:val="auto"/>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75</w:t>
                  </w:r>
                  <w:r>
                    <w:rPr>
                      <w:rFonts w:hint="default" w:ascii="Times New Roman" w:hAnsi="Times New Roman" w:cs="Times New Roman"/>
                      <w:color w:val="auto"/>
                      <w:sz w:val="21"/>
                      <w:szCs w:val="21"/>
                      <w:highlight w:val="none"/>
                      <w:vertAlign w:val="baseline"/>
                      <w:lang w:val="en-US" w:eastAsia="zh-CN"/>
                    </w:rPr>
                    <w:t>kWh/a</w:t>
                  </w:r>
                </w:p>
              </w:tc>
              <w:tc>
                <w:tcPr>
                  <w:tcW w:w="608"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11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608"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105" w:leftChars="-50" w:right="-105" w:rightChars="-5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056" w:type="pc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cs="Times New Roman"/>
                      <w:color w:val="auto"/>
                      <w:sz w:val="21"/>
                      <w:szCs w:val="21"/>
                      <w:lang w:val="en-US" w:eastAsia="zh-CN"/>
                    </w:rPr>
                  </w:pPr>
                  <w:r>
                    <w:rPr>
                      <w:rFonts w:hint="default" w:ascii="Times New Roman" w:hAnsi="Times New Roman" w:cs="Times New Roman"/>
                      <w:color w:val="auto"/>
                      <w:sz w:val="21"/>
                      <w:szCs w:val="21"/>
                      <w:highlight w:val="none"/>
                      <w:vertAlign w:val="baseline"/>
                      <w:lang w:eastAsia="zh-CN"/>
                    </w:rPr>
                    <w:t>市政电网</w:t>
                  </w:r>
                </w:p>
              </w:tc>
            </w:tr>
            <w:bookmarkEnd w:id="10"/>
            <w:bookmarkEnd w:id="11"/>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default" w:ascii="Times New Roman" w:hAnsi="Times New Roman" w:cs="Times New Roman"/>
                <w:bCs/>
                <w:color w:val="auto"/>
                <w:kern w:val="0"/>
                <w:sz w:val="24"/>
                <w:szCs w:val="24"/>
                <w:lang w:val="en-US" w:eastAsia="zh-CN"/>
              </w:rPr>
              <w:t>（2）</w:t>
            </w:r>
            <w:r>
              <w:rPr>
                <w:rFonts w:hint="default" w:ascii="Times New Roman" w:hAnsi="Times New Roman" w:eastAsia="宋体" w:cs="Times New Roman"/>
                <w:bCs/>
                <w:color w:val="auto"/>
                <w:kern w:val="0"/>
                <w:sz w:val="24"/>
                <w:szCs w:val="24"/>
                <w:lang w:val="en-US" w:eastAsia="zh-CN"/>
              </w:rPr>
              <w:t>原料</w:t>
            </w:r>
            <w:r>
              <w:rPr>
                <w:rFonts w:hint="default" w:ascii="Times New Roman" w:hAnsi="Times New Roman" w:eastAsia="宋体" w:cs="Times New Roman"/>
                <w:b w:val="0"/>
                <w:bCs w:val="0"/>
                <w:color w:val="auto"/>
                <w:sz w:val="24"/>
                <w:szCs w:val="24"/>
                <w:lang w:val="en-US" w:eastAsia="zh-CN"/>
              </w:rPr>
              <w:t>理化特性见下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eastAsia" w:cs="Times New Roman"/>
                <w:color w:val="000000"/>
                <w:kern w:val="0"/>
                <w:sz w:val="24"/>
                <w:szCs w:val="24"/>
                <w:lang w:val="en-US" w:eastAsia="zh-CN" w:bidi="ar"/>
              </w:rPr>
              <w:t>机油：</w:t>
            </w:r>
            <w:r>
              <w:rPr>
                <w:rFonts w:hint="default" w:ascii="Times New Roman" w:hAnsi="Times New Roman" w:cs="Times New Roman"/>
                <w:b w:val="0"/>
                <w:bCs w:val="0"/>
                <w:color w:val="auto"/>
                <w:sz w:val="24"/>
                <w:szCs w:val="24"/>
                <w:u w:val="none"/>
                <w:vertAlign w:val="baseline"/>
                <w:lang w:val="en-US" w:eastAsia="zh-CN"/>
              </w:rPr>
              <w:t>机油是一种危险货物，为油状液体，颜色为淡黄色至褐色，无气味或略带异味。其闪点为76℃，可燃，遇明火、高热可燃。消防人员在灭火时应佩戴防毒面具和全身消防服，并在上风向灭火。灭火剂可使用雾状水、泡沫、干粉、二氧化碳、砂</w:t>
            </w:r>
            <w:r>
              <w:rPr>
                <w:rFonts w:hint="eastAsia" w:ascii="Times New Roman" w:hAnsi="Times New Roman" w:cs="Times New Roman"/>
                <w:b w:val="0"/>
                <w:bCs w:val="0"/>
                <w:color w:val="auto"/>
                <w:sz w:val="24"/>
                <w:szCs w:val="24"/>
                <w:u w:val="none"/>
                <w:vertAlign w:val="baseline"/>
                <w:lang w:val="en-US" w:eastAsia="zh-CN"/>
              </w:rPr>
              <w:t>土</w:t>
            </w:r>
            <w:r>
              <w:rPr>
                <w:rFonts w:hint="default" w:ascii="Times New Roman" w:hAnsi="Times New Roman" w:cs="Times New Roman"/>
                <w:b w:val="0"/>
                <w:bCs w:val="0"/>
                <w:color w:val="auto"/>
                <w:sz w:val="24"/>
                <w:szCs w:val="24"/>
                <w:u w:val="none"/>
                <w:vertAlign w:val="baseline"/>
                <w:lang w:val="en-US" w:eastAsia="zh-CN"/>
              </w:rPr>
              <w:t>等。机油的稳定性较好，不易分解。</w:t>
            </w:r>
          </w:p>
          <w:p>
            <w:pPr>
              <w:pStyle w:val="48"/>
              <w:keepNext w:val="0"/>
              <w:keepLines w:val="0"/>
              <w:suppressLineNumbers w:val="0"/>
              <w:spacing w:before="120" w:beforeLines="50" w:beforeAutospacing="0" w:after="0" w:afterAutospacing="0" w:line="360" w:lineRule="auto"/>
              <w:ind w:left="0" w:leftChars="0" w:right="0" w:firstLine="0" w:firstLineChars="0"/>
              <w:rPr>
                <w:rFonts w:hint="default" w:ascii="Times New Roman" w:hAnsi="Times New Roman" w:cs="Times New Roman"/>
                <w:b/>
                <w:bCs/>
                <w:color w:val="auto"/>
                <w:sz w:val="24"/>
                <w:szCs w:val="32"/>
                <w:highlight w:val="none"/>
              </w:rPr>
            </w:pPr>
            <w:r>
              <w:rPr>
                <w:rFonts w:hint="eastAsia" w:ascii="Times New Roman" w:cs="Times New Roman"/>
                <w:b/>
                <w:bCs/>
                <w:color w:val="auto"/>
                <w:sz w:val="24"/>
                <w:szCs w:val="32"/>
                <w:highlight w:val="none"/>
                <w:lang w:val="en-US" w:eastAsia="zh-CN"/>
              </w:rPr>
              <w:t>6</w:t>
            </w:r>
            <w:r>
              <w:rPr>
                <w:rFonts w:hint="default" w:ascii="Times New Roman" w:hAnsi="Times New Roman" w:cs="Times New Roman"/>
                <w:b/>
                <w:bCs/>
                <w:color w:val="auto"/>
                <w:sz w:val="24"/>
                <w:szCs w:val="32"/>
                <w:highlight w:val="none"/>
              </w:rPr>
              <w:t>、水平衡</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项目营运期用水主要</w:t>
            </w:r>
            <w:r>
              <w:rPr>
                <w:rFonts w:hint="eastAsia" w:cs="Times New Roman"/>
                <w:color w:val="auto"/>
                <w:sz w:val="24"/>
                <w:lang w:val="en-US" w:eastAsia="zh-CN"/>
              </w:rPr>
              <w:t>为</w:t>
            </w:r>
            <w:r>
              <w:rPr>
                <w:rFonts w:hint="default" w:ascii="Times New Roman" w:hAnsi="Times New Roman" w:cs="Times New Roman"/>
                <w:color w:val="auto"/>
                <w:sz w:val="24"/>
              </w:rPr>
              <w:t>职工生活用水</w:t>
            </w:r>
            <w:r>
              <w:rPr>
                <w:rFonts w:hint="eastAsia" w:cs="Times New Roman"/>
                <w:color w:val="auto"/>
                <w:sz w:val="24"/>
                <w:lang w:val="en-US" w:eastAsia="zh-CN"/>
              </w:rPr>
              <w:t>及冷却循环用水</w:t>
            </w:r>
            <w:r>
              <w:rPr>
                <w:rFonts w:hint="default" w:ascii="Times New Roman" w:hAnsi="Times New Roman" w:cs="Times New Roman"/>
                <w:color w:val="auto"/>
                <w:sz w:val="24"/>
              </w:rPr>
              <w:t>。项目用水及排水情况分析如下：</w:t>
            </w:r>
          </w:p>
          <w:p>
            <w:pPr>
              <w:keepNext w:val="0"/>
              <w:keepLines w:val="0"/>
              <w:widowControl/>
              <w:suppressLineNumbers w:val="0"/>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职工生活用水</w:t>
            </w:r>
          </w:p>
          <w:p>
            <w:pPr>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项目劳动定员</w:t>
            </w:r>
            <w:r>
              <w:rPr>
                <w:rFonts w:hint="eastAsia" w:cs="Times New Roman"/>
                <w:bCs/>
                <w:color w:val="auto"/>
                <w:sz w:val="24"/>
                <w:lang w:val="en-US" w:eastAsia="zh-CN"/>
              </w:rPr>
              <w:t>8</w:t>
            </w:r>
            <w:r>
              <w:rPr>
                <w:rFonts w:hint="default" w:ascii="Times New Roman" w:hAnsi="Times New Roman" w:cs="Times New Roman"/>
                <w:bCs/>
                <w:color w:val="auto"/>
                <w:sz w:val="24"/>
              </w:rPr>
              <w:t>人，</w:t>
            </w:r>
            <w:r>
              <w:rPr>
                <w:rFonts w:hint="default" w:ascii="Times New Roman" w:hAnsi="Times New Roman" w:cs="Times New Roman"/>
                <w:bCs/>
                <w:color w:val="auto"/>
                <w:sz w:val="24"/>
                <w:lang w:eastAsia="zh-CN"/>
              </w:rPr>
              <w:t>食堂</w:t>
            </w:r>
            <w:r>
              <w:rPr>
                <w:rFonts w:hint="default" w:ascii="Times New Roman" w:hAnsi="Times New Roman" w:cs="Times New Roman"/>
                <w:bCs/>
                <w:color w:val="auto"/>
                <w:sz w:val="24"/>
                <w:lang w:val="en-US" w:eastAsia="zh-CN"/>
              </w:rPr>
              <w:t>和宿舍</w:t>
            </w:r>
            <w:r>
              <w:rPr>
                <w:rFonts w:hint="eastAsia" w:cs="Times New Roman"/>
                <w:bCs/>
                <w:color w:val="auto"/>
                <w:sz w:val="24"/>
                <w:lang w:val="en-US" w:eastAsia="zh-CN"/>
              </w:rPr>
              <w:t>依托</w:t>
            </w:r>
            <w:r>
              <w:rPr>
                <w:rFonts w:hint="eastAsia" w:cs="Times New Roman"/>
                <w:bCs/>
                <w:color w:val="auto"/>
                <w:sz w:val="24"/>
                <w:lang w:eastAsia="zh-CN"/>
              </w:rPr>
              <w:t>园区现有</w:t>
            </w:r>
            <w:r>
              <w:rPr>
                <w:rFonts w:hint="default" w:ascii="Times New Roman" w:hAnsi="Times New Roman" w:cs="Times New Roman"/>
                <w:bCs/>
                <w:color w:val="auto"/>
                <w:sz w:val="24"/>
              </w:rPr>
              <w:t>，职工生活用水按照</w:t>
            </w:r>
            <w:r>
              <w:rPr>
                <w:rFonts w:hint="default" w:ascii="Times New Roman" w:hAnsi="Times New Roman" w:cs="Times New Roman"/>
                <w:bCs/>
                <w:color w:val="auto"/>
                <w:sz w:val="24"/>
                <w:lang w:val="en-US" w:eastAsia="zh-CN"/>
              </w:rPr>
              <w:t>6</w:t>
            </w:r>
            <w:r>
              <w:rPr>
                <w:rFonts w:hint="default" w:ascii="Times New Roman" w:hAnsi="Times New Roman" w:cs="Times New Roman"/>
                <w:bCs/>
                <w:color w:val="auto"/>
                <w:sz w:val="24"/>
              </w:rPr>
              <w:t>0L/</w:t>
            </w:r>
            <w:r>
              <w:rPr>
                <w:rFonts w:hint="eastAsia" w:cs="Times New Roman"/>
                <w:bCs/>
                <w:color w:val="auto"/>
                <w:sz w:val="24"/>
                <w:lang w:eastAsia="zh-CN"/>
              </w:rPr>
              <w:t>（</w:t>
            </w:r>
            <w:r>
              <w:rPr>
                <w:rFonts w:hint="default" w:ascii="Times New Roman" w:hAnsi="Times New Roman" w:cs="Times New Roman"/>
                <w:bCs/>
                <w:color w:val="auto"/>
                <w:sz w:val="24"/>
              </w:rPr>
              <w:t>人.d</w:t>
            </w:r>
            <w:r>
              <w:rPr>
                <w:rFonts w:hint="eastAsia" w:cs="Times New Roman"/>
                <w:bCs/>
                <w:color w:val="auto"/>
                <w:sz w:val="24"/>
                <w:lang w:eastAsia="zh-CN"/>
              </w:rPr>
              <w:t>）</w:t>
            </w:r>
            <w:r>
              <w:rPr>
                <w:rFonts w:hint="default" w:ascii="Times New Roman" w:hAnsi="Times New Roman" w:cs="Times New Roman"/>
                <w:bCs/>
                <w:color w:val="auto"/>
                <w:sz w:val="24"/>
              </w:rPr>
              <w:t>计，经计算，项目生活用水量为</w:t>
            </w:r>
            <w:r>
              <w:rPr>
                <w:rFonts w:hint="eastAsia" w:cs="Times New Roman"/>
                <w:bCs/>
                <w:color w:val="auto"/>
                <w:sz w:val="24"/>
                <w:lang w:val="en-US" w:eastAsia="zh-CN"/>
              </w:rPr>
              <w:t>0.48</w:t>
            </w:r>
            <w:r>
              <w:rPr>
                <w:rFonts w:hint="default" w:ascii="Times New Roman" w:hAnsi="Times New Roman" w:cs="Times New Roman"/>
                <w:bCs/>
                <w:color w:val="auto"/>
                <w:sz w:val="24"/>
              </w:rPr>
              <w:t>t/d</w:t>
            </w:r>
            <w:r>
              <w:rPr>
                <w:rFonts w:hint="eastAsia" w:cs="Times New Roman"/>
                <w:bCs/>
                <w:color w:val="auto"/>
                <w:sz w:val="24"/>
                <w:lang w:val="en-US" w:eastAsia="zh-CN"/>
              </w:rPr>
              <w:t>，158.4</w:t>
            </w:r>
            <w:r>
              <w:rPr>
                <w:rFonts w:hint="default" w:ascii="Times New Roman" w:hAnsi="Times New Roman" w:cs="Times New Roman"/>
                <w:bCs/>
                <w:color w:val="auto"/>
                <w:sz w:val="24"/>
              </w:rPr>
              <w:t>t/a。产污系数按80%计算，则生活污水产生量为</w:t>
            </w:r>
            <w:r>
              <w:rPr>
                <w:rFonts w:hint="eastAsia" w:cs="Times New Roman"/>
                <w:bCs/>
                <w:color w:val="auto"/>
                <w:sz w:val="24"/>
                <w:lang w:val="en-US" w:eastAsia="zh-CN"/>
              </w:rPr>
              <w:t>0.384</w:t>
            </w:r>
            <w:r>
              <w:rPr>
                <w:rFonts w:hint="default" w:ascii="Times New Roman" w:hAnsi="Times New Roman" w:cs="Times New Roman"/>
                <w:bCs/>
                <w:color w:val="auto"/>
                <w:sz w:val="24"/>
              </w:rPr>
              <w:t>t/d，</w:t>
            </w:r>
            <w:r>
              <w:rPr>
                <w:rFonts w:hint="eastAsia" w:cs="Times New Roman"/>
                <w:bCs/>
                <w:color w:val="auto"/>
                <w:sz w:val="24"/>
                <w:lang w:val="en-US" w:eastAsia="zh-CN"/>
              </w:rPr>
              <w:t>126.72</w:t>
            </w:r>
            <w:r>
              <w:rPr>
                <w:rFonts w:hint="default" w:ascii="Times New Roman" w:hAnsi="Times New Roman" w:cs="Times New Roman"/>
                <w:bCs/>
                <w:color w:val="auto"/>
                <w:sz w:val="24"/>
              </w:rPr>
              <w:t>t/a。</w:t>
            </w:r>
          </w:p>
          <w:p>
            <w:pPr>
              <w:snapToGrid w:val="0"/>
              <w:spacing w:line="360" w:lineRule="auto"/>
              <w:ind w:firstLine="480" w:firstLineChars="200"/>
              <w:rPr>
                <w:rFonts w:hint="eastAsia" w:cs="Times New Roman"/>
                <w:color w:val="auto"/>
                <w:sz w:val="24"/>
                <w:lang w:val="en-US" w:eastAsia="zh-CN"/>
              </w:rPr>
            </w:pPr>
            <w:r>
              <w:rPr>
                <w:rFonts w:hint="eastAsia" w:cs="Times New Roman"/>
                <w:color w:val="auto"/>
                <w:sz w:val="24"/>
                <w:lang w:val="en-US" w:eastAsia="zh-CN"/>
              </w:rPr>
              <w:t>冷却循环用水</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项目生产过程中需要冷却工序，冷却采用冷却罐，项目三条生产线共有9个冷却罐，每个冷却罐用水量为0.4t/a,则冷却循环用水总量为3.6t/a，根据《</w:t>
            </w:r>
            <w:r>
              <w:rPr>
                <w:rFonts w:hint="default" w:ascii="Times New Roman" w:hAnsi="Times New Roman" w:eastAsia="宋体" w:cs="Times New Roman"/>
                <w:b w:val="0"/>
                <w:bCs w:val="0"/>
                <w:i w:val="0"/>
                <w:iCs w:val="0"/>
                <w:caps w:val="0"/>
                <w:color w:val="333333"/>
                <w:spacing w:val="0"/>
                <w:sz w:val="24"/>
                <w:szCs w:val="24"/>
                <w:shd w:val="clear" w:fill="FFFFFF"/>
              </w:rPr>
              <w:t>工业循环冷却水处理设计规范</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i w:val="0"/>
                <w:iCs w:val="0"/>
                <w:caps w:val="0"/>
                <w:color w:val="333333"/>
                <w:spacing w:val="0"/>
                <w:sz w:val="24"/>
                <w:szCs w:val="24"/>
                <w:shd w:val="clear" w:fill="FFFFFF"/>
              </w:rPr>
              <w:t>GB/T50050-2017</w:t>
            </w:r>
            <w:r>
              <w:rPr>
                <w:rFonts w:hint="default" w:ascii="Times New Roman" w:hAnsi="Times New Roman" w:eastAsia="宋体" w:cs="Times New Roman"/>
                <w:i w:val="0"/>
                <w:iCs w:val="0"/>
                <w:caps w:val="0"/>
                <w:color w:val="333333"/>
                <w:spacing w:val="0"/>
                <w:sz w:val="24"/>
                <w:szCs w:val="24"/>
                <w:shd w:val="clear" w:fill="FFFFFF"/>
                <w:lang w:eastAsia="zh-CN"/>
              </w:rPr>
              <w:t>），</w:t>
            </w:r>
            <w:r>
              <w:rPr>
                <w:rFonts w:hint="default" w:ascii="Times New Roman" w:hAnsi="Times New Roman" w:eastAsia="宋体" w:cs="Times New Roman"/>
                <w:i w:val="0"/>
                <w:iCs w:val="0"/>
                <w:caps w:val="0"/>
                <w:color w:val="333333"/>
                <w:spacing w:val="0"/>
                <w:sz w:val="24"/>
                <w:szCs w:val="24"/>
                <w:shd w:val="clear" w:fill="FFFFFF"/>
                <w:lang w:val="en-US" w:eastAsia="zh-CN"/>
              </w:rPr>
              <w:t>冷却罐补充水量按总循环水量的0.5%~1％确定，本项目取1％，即0.036t/a，</w:t>
            </w:r>
            <w:r>
              <w:rPr>
                <w:rFonts w:hint="default" w:ascii="Times New Roman" w:hAnsi="Times New Roman" w:eastAsia="宋体" w:cs="Times New Roman"/>
                <w:color w:val="auto"/>
                <w:sz w:val="24"/>
                <w:lang w:val="en-US" w:eastAsia="zh-CN"/>
              </w:rPr>
              <w:t>冷却循环水定期补充，循环使用，不外排。</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lang w:eastAsia="zh-CN"/>
                <w14:textFill>
                  <w14:solidFill>
                    <w14:schemeClr w14:val="tx1"/>
                  </w14:solidFill>
                </w14:textFill>
              </w:rPr>
            </w:pPr>
            <w:r>
              <w:rPr>
                <w:rFonts w:hint="eastAsia" w:hAnsi="宋体"/>
                <w:sz w:val="24"/>
                <w:lang w:val="en-US" w:eastAsia="zh-CN"/>
              </w:rPr>
              <w:t>废气喷淋降温冷却水</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auto"/>
                <w:sz w:val="24"/>
                <w:lang w:val="en-US" w:eastAsia="zh-CN"/>
              </w:rPr>
              <w:t>项目生产过程中</w:t>
            </w:r>
            <w:r>
              <w:rPr>
                <w:rFonts w:hint="eastAsia" w:ascii="Times New Roman" w:hAnsi="Times New Roman" w:cs="Times New Roman"/>
                <w:color w:val="000000" w:themeColor="text1"/>
                <w:sz w:val="24"/>
                <w:lang w:val="en-US" w:eastAsia="zh-CN"/>
                <w14:textFill>
                  <w14:solidFill>
                    <w14:schemeClr w14:val="tx1"/>
                  </w14:solidFill>
                </w14:textFill>
              </w:rPr>
              <w:t>产生的废气温度较高，若不进行冷却降温，废气过高容易导致后续配套的二级活性炭吸附装置因高温发生火灾，因此，废气在进入二级活性炭吸附装置前需进行喷淋降温，喷淋用水量约为0.</w:t>
            </w:r>
            <w:r>
              <w:rPr>
                <w:rFonts w:hint="eastAsia" w:cs="Times New Roman"/>
                <w:color w:val="000000" w:themeColor="text1"/>
                <w:sz w:val="24"/>
                <w:lang w:val="en-US" w:eastAsia="zh-CN"/>
                <w14:textFill>
                  <w14:solidFill>
                    <w14:schemeClr w14:val="tx1"/>
                  </w14:solidFill>
                </w14:textFill>
              </w:rPr>
              <w:t>1</w:t>
            </w:r>
            <w:r>
              <w:rPr>
                <w:rFonts w:hint="eastAsia" w:ascii="Times New Roman" w:hAnsi="Times New Roman" w:cs="Times New Roman"/>
                <w:color w:val="000000" w:themeColor="text1"/>
                <w:sz w:val="24"/>
                <w:lang w:val="en-US" w:eastAsia="zh-CN"/>
                <w14:textFill>
                  <w14:solidFill>
                    <w14:schemeClr w14:val="tx1"/>
                  </w14:solidFill>
                </w14:textFill>
              </w:rPr>
              <w:t>t/d，</w:t>
            </w:r>
            <w:r>
              <w:rPr>
                <w:rFonts w:hint="eastAsia" w:cs="Times New Roman"/>
                <w:color w:val="000000" w:themeColor="text1"/>
                <w:sz w:val="24"/>
                <w:lang w:val="en-US" w:eastAsia="zh-CN"/>
                <w14:textFill>
                  <w14:solidFill>
                    <w14:schemeClr w14:val="tx1"/>
                  </w14:solidFill>
                </w14:textFill>
              </w:rPr>
              <w:t>33</w:t>
            </w:r>
            <w:r>
              <w:rPr>
                <w:rFonts w:hint="default" w:cs="Times New Roman"/>
                <w:color w:val="000000" w:themeColor="text1"/>
                <w:sz w:val="24"/>
                <w:lang w:eastAsia="zh-CN"/>
                <w14:textFill>
                  <w14:solidFill>
                    <w14:schemeClr w14:val="tx1"/>
                  </w14:solidFill>
                </w14:textFill>
              </w:rPr>
              <w:t>t/a；</w:t>
            </w:r>
            <w:r>
              <w:rPr>
                <w:rFonts w:hint="eastAsia" w:ascii="Times New Roman" w:hAnsi="Times New Roman" w:cs="Times New Roman"/>
                <w:color w:val="000000" w:themeColor="text1"/>
                <w:sz w:val="24"/>
                <w:lang w:val="en-US" w:eastAsia="zh-CN"/>
                <w14:textFill>
                  <w14:solidFill>
                    <w14:schemeClr w14:val="tx1"/>
                  </w14:solidFill>
                </w14:textFill>
              </w:rPr>
              <w:t>循环使用，定期添加，添加量约为使用量的10%，即添加量为0.0</w:t>
            </w:r>
            <w:r>
              <w:rPr>
                <w:rFonts w:hint="eastAsia" w:cs="Times New Roman"/>
                <w:color w:val="000000" w:themeColor="text1"/>
                <w:sz w:val="24"/>
                <w:lang w:val="en-US" w:eastAsia="zh-CN"/>
                <w14:textFill>
                  <w14:solidFill>
                    <w14:schemeClr w14:val="tx1"/>
                  </w14:solidFill>
                </w14:textFill>
              </w:rPr>
              <w:t>1</w:t>
            </w:r>
            <w:r>
              <w:rPr>
                <w:rFonts w:hint="eastAsia" w:ascii="Times New Roman" w:hAnsi="Times New Roman" w:cs="Times New Roman"/>
                <w:color w:val="000000" w:themeColor="text1"/>
                <w:sz w:val="24"/>
                <w:lang w:val="en-US" w:eastAsia="zh-CN"/>
                <w14:textFill>
                  <w14:solidFill>
                    <w14:schemeClr w14:val="tx1"/>
                  </w14:solidFill>
                </w14:textFill>
              </w:rPr>
              <w:t>t/d、</w:t>
            </w:r>
            <w:r>
              <w:rPr>
                <w:rFonts w:hint="eastAsia" w:cs="Times New Roman"/>
                <w:color w:val="000000" w:themeColor="text1"/>
                <w:sz w:val="24"/>
                <w:lang w:val="en-US" w:eastAsia="zh-CN"/>
                <w14:textFill>
                  <w14:solidFill>
                    <w14:schemeClr w14:val="tx1"/>
                  </w14:solidFill>
                </w14:textFill>
              </w:rPr>
              <w:t>3.3</w:t>
            </w:r>
            <w:r>
              <w:rPr>
                <w:rFonts w:hint="eastAsia" w:ascii="Times New Roman" w:hAnsi="Times New Roman" w:cs="Times New Roman"/>
                <w:color w:val="000000" w:themeColor="text1"/>
                <w:sz w:val="24"/>
                <w:lang w:val="en-US" w:eastAsia="zh-CN"/>
                <w14:textFill>
                  <w14:solidFill>
                    <w14:schemeClr w14:val="tx1"/>
                  </w14:solidFill>
                </w14:textFill>
              </w:rPr>
              <w:t>t/a，为保证喷淋水降温效果，产生的喷淋废水每季度更换1次，更换量为0.</w:t>
            </w:r>
            <w:r>
              <w:rPr>
                <w:rFonts w:hint="eastAsia" w:cs="Times New Roman"/>
                <w:color w:val="000000" w:themeColor="text1"/>
                <w:sz w:val="24"/>
                <w:lang w:val="en-US" w:eastAsia="zh-CN"/>
                <w14:textFill>
                  <w14:solidFill>
                    <w14:schemeClr w14:val="tx1"/>
                  </w14:solidFill>
                </w14:textFill>
              </w:rPr>
              <w:t>1</w:t>
            </w:r>
            <w:r>
              <w:rPr>
                <w:rFonts w:hint="eastAsia" w:ascii="Times New Roman" w:hAnsi="Times New Roman" w:cs="Times New Roman"/>
                <w:color w:val="000000" w:themeColor="text1"/>
                <w:sz w:val="24"/>
                <w:lang w:val="en-US" w:eastAsia="zh-CN"/>
                <w14:textFill>
                  <w14:solidFill>
                    <w14:schemeClr w14:val="tx1"/>
                  </w14:solidFill>
                </w14:textFill>
              </w:rPr>
              <w:t>t/次、</w:t>
            </w:r>
            <w:r>
              <w:rPr>
                <w:rFonts w:hint="eastAsia" w:cs="Times New Roman"/>
                <w:color w:val="000000" w:themeColor="text1"/>
                <w:sz w:val="24"/>
                <w:lang w:val="en-US" w:eastAsia="zh-CN"/>
                <w14:textFill>
                  <w14:solidFill>
                    <w14:schemeClr w14:val="tx1"/>
                  </w14:solidFill>
                </w14:textFill>
              </w:rPr>
              <w:t>0.4</w:t>
            </w:r>
            <w:r>
              <w:rPr>
                <w:rFonts w:hint="eastAsia" w:ascii="Times New Roman" w:hAnsi="Times New Roman" w:cs="Times New Roman"/>
                <w:color w:val="000000" w:themeColor="text1"/>
                <w:sz w:val="24"/>
                <w:lang w:val="en-US" w:eastAsia="zh-CN"/>
                <w14:textFill>
                  <w14:solidFill>
                    <w14:schemeClr w14:val="tx1"/>
                  </w14:solidFill>
                </w14:textFill>
              </w:rPr>
              <w:t>t/a，更换的废水直接接入市政污水管网内进金寨县现代产业园污水处理厂处理达标排放。</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sz w:val="24"/>
                <w:lang w:eastAsia="zh-CN"/>
              </w:rPr>
            </w:pPr>
            <w:r>
              <w:rPr>
                <w:rFonts w:hint="eastAsia"/>
                <w:color w:val="auto"/>
                <w:sz w:val="24"/>
                <w:szCs w:val="24"/>
              </w:rPr>
              <w:t>本项目地面和设备无需冲洗，定期进行地面清扫、擦试干净。</w:t>
            </w:r>
          </w:p>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水平衡见下图</w:t>
            </w:r>
            <w:r>
              <w:rPr>
                <w:rFonts w:hint="default" w:ascii="Times New Roman" w:hAnsi="Times New Roman" w:cs="Times New Roman"/>
                <w:color w:val="auto"/>
                <w:sz w:val="24"/>
                <w:lang w:val="en-US" w:eastAsia="zh-CN"/>
              </w:rPr>
              <w:t>2.1。</w:t>
            </w:r>
            <w:r>
              <w:drawing>
                <wp:inline distT="0" distB="0" distL="114300" distR="114300">
                  <wp:extent cx="5329555" cy="4283710"/>
                  <wp:effectExtent l="0" t="0" r="4445" b="2540"/>
                  <wp:docPr id="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true"/>
                          </pic:cNvPicPr>
                        </pic:nvPicPr>
                        <pic:blipFill>
                          <a:blip r:embed="rId7"/>
                          <a:stretch>
                            <a:fillRect/>
                          </a:stretch>
                        </pic:blipFill>
                        <pic:spPr>
                          <a:xfrm>
                            <a:off x="0" y="0"/>
                            <a:ext cx="5329555" cy="4283710"/>
                          </a:xfrm>
                          <a:prstGeom prst="rect">
                            <a:avLst/>
                          </a:prstGeom>
                          <a:noFill/>
                          <a:ln>
                            <a:noFill/>
                          </a:ln>
                        </pic:spPr>
                      </pic:pic>
                    </a:graphicData>
                  </a:graphic>
                </wp:inline>
              </w:drawing>
            </w:r>
          </w:p>
          <w:p>
            <w:pPr>
              <w:pStyle w:val="12"/>
              <w:jc w:val="center"/>
              <w:rPr>
                <w:rFonts w:hint="eastAsia" w:eastAsia="宋体"/>
                <w:lang w:val="zh-CN" w:eastAsia="zh-CN"/>
              </w:rPr>
            </w:pPr>
            <w:r>
              <w:rPr>
                <w:rFonts w:hint="default" w:ascii="Times New Roman" w:hAnsi="Times New Roman" w:eastAsia="宋体" w:cs="Times New Roman"/>
                <w:b/>
                <w:bCs/>
                <w:sz w:val="24"/>
                <w:szCs w:val="24"/>
              </w:rPr>
              <w:t>图</w:t>
            </w: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SEQ图\*ARABIC</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sz w:val="24"/>
                <w:szCs w:val="24"/>
                <w:lang w:eastAsia="zh-CN"/>
              </w:rPr>
              <w:t>项目水平衡图</w:t>
            </w: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lang w:val="en-US" w:eastAsia="zh-CN"/>
              </w:rPr>
              <w:t>t/a</w:t>
            </w:r>
            <w:r>
              <w:rPr>
                <w:rFonts w:hint="eastAsia" w:ascii="Times New Roman" w:hAnsi="Times New Roman" w:eastAsia="宋体" w:cs="Times New Roman"/>
                <w:b/>
                <w:bCs/>
                <w:sz w:val="24"/>
                <w:szCs w:val="24"/>
                <w:lang w:eastAsia="zh-CN"/>
              </w:rPr>
              <w:t>）</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bCs/>
                <w:color w:val="auto"/>
                <w:sz w:val="24"/>
                <w:highlight w:val="none"/>
              </w:rPr>
            </w:pPr>
            <w:r>
              <w:rPr>
                <w:rFonts w:hint="eastAsia" w:cs="Times New Roman"/>
                <w:b/>
                <w:bCs/>
                <w:color w:val="auto"/>
                <w:sz w:val="24"/>
                <w:highlight w:val="none"/>
                <w:lang w:val="en-US" w:eastAsia="zh-CN"/>
              </w:rPr>
              <w:t>7</w:t>
            </w:r>
            <w:r>
              <w:rPr>
                <w:rFonts w:hint="default" w:ascii="Times New Roman" w:hAnsi="Times New Roman" w:cs="Times New Roman"/>
                <w:b/>
                <w:bCs/>
                <w:color w:val="auto"/>
                <w:sz w:val="24"/>
                <w:highlight w:val="none"/>
              </w:rPr>
              <w:t>、劳动动员及工作制度</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工作制度：年工作</w:t>
            </w:r>
            <w:r>
              <w:rPr>
                <w:rFonts w:hint="eastAsia" w:cs="Times New Roman"/>
                <w:bCs/>
                <w:color w:val="auto"/>
                <w:sz w:val="24"/>
                <w:lang w:val="en-US" w:eastAsia="zh-CN"/>
              </w:rPr>
              <w:t>330</w:t>
            </w:r>
            <w:r>
              <w:rPr>
                <w:rFonts w:hint="default" w:ascii="Times New Roman" w:hAnsi="Times New Roman" w:cs="Times New Roman"/>
                <w:bCs/>
                <w:color w:val="auto"/>
                <w:sz w:val="24"/>
              </w:rPr>
              <w:t>天，</w:t>
            </w:r>
            <w:r>
              <w:rPr>
                <w:rFonts w:hint="default" w:ascii="Times New Roman" w:hAnsi="Times New Roman" w:cs="Times New Roman"/>
                <w:bCs/>
                <w:color w:val="auto"/>
                <w:sz w:val="24"/>
                <w:lang w:val="en-US" w:eastAsia="zh-CN"/>
              </w:rPr>
              <w:t>两</w:t>
            </w:r>
            <w:r>
              <w:rPr>
                <w:rFonts w:hint="default" w:ascii="Times New Roman" w:hAnsi="Times New Roman" w:cs="Times New Roman"/>
                <w:bCs/>
                <w:color w:val="auto"/>
                <w:sz w:val="24"/>
                <w:lang w:eastAsia="zh-CN"/>
              </w:rPr>
              <w:t>班制</w:t>
            </w:r>
            <w:r>
              <w:rPr>
                <w:rFonts w:hint="default" w:ascii="Times New Roman" w:hAnsi="Times New Roman" w:cs="Times New Roman"/>
                <w:bCs/>
                <w:color w:val="auto"/>
                <w:sz w:val="24"/>
              </w:rPr>
              <w:t>，</w:t>
            </w:r>
            <w:r>
              <w:rPr>
                <w:rFonts w:hint="default" w:ascii="Times New Roman" w:hAnsi="Times New Roman" w:cs="Times New Roman"/>
                <w:bCs/>
                <w:color w:val="auto"/>
                <w:sz w:val="24"/>
                <w:lang w:eastAsia="zh-CN"/>
              </w:rPr>
              <w:t>每班</w:t>
            </w:r>
            <w:r>
              <w:rPr>
                <w:rFonts w:hint="default" w:ascii="Times New Roman" w:hAnsi="Times New Roman" w:cs="Times New Roman"/>
                <w:bCs/>
                <w:color w:val="auto"/>
                <w:sz w:val="24"/>
              </w:rPr>
              <w:t>工作</w:t>
            </w:r>
            <w:r>
              <w:rPr>
                <w:rFonts w:hint="eastAsia" w:cs="Times New Roman"/>
                <w:bCs/>
                <w:color w:val="auto"/>
                <w:sz w:val="24"/>
                <w:lang w:val="en-US" w:eastAsia="zh-CN"/>
              </w:rPr>
              <w:t>12</w:t>
            </w:r>
            <w:r>
              <w:rPr>
                <w:rFonts w:hint="default" w:ascii="Times New Roman" w:hAnsi="Times New Roman" w:cs="Times New Roman"/>
                <w:color w:val="auto"/>
                <w:sz w:val="24"/>
              </w:rPr>
              <w:t>h</w:t>
            </w:r>
            <w:r>
              <w:rPr>
                <w:rFonts w:hint="default" w:ascii="Times New Roman" w:hAnsi="Times New Roman" w:cs="Times New Roman"/>
                <w:bCs/>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bCs/>
                <w:color w:val="auto"/>
                <w:sz w:val="24"/>
              </w:rPr>
              <w:t>劳动定员：劳动定员</w:t>
            </w:r>
            <w:r>
              <w:rPr>
                <w:rFonts w:hint="eastAsia" w:cs="Times New Roman"/>
                <w:bCs/>
                <w:color w:val="auto"/>
                <w:sz w:val="24"/>
                <w:lang w:val="en-US" w:eastAsia="zh-CN"/>
              </w:rPr>
              <w:t>8</w:t>
            </w:r>
            <w:r>
              <w:rPr>
                <w:rFonts w:hint="default" w:ascii="Times New Roman" w:hAnsi="Times New Roman" w:cs="Times New Roman"/>
                <w:bCs/>
                <w:color w:val="auto"/>
                <w:sz w:val="24"/>
              </w:rPr>
              <w:t>人，</w:t>
            </w:r>
            <w:r>
              <w:rPr>
                <w:rFonts w:hint="default" w:cs="Times New Roman"/>
                <w:bCs/>
                <w:color w:val="auto"/>
                <w:sz w:val="24"/>
                <w:lang w:eastAsia="zh-CN"/>
              </w:rPr>
              <w:t>不设</w:t>
            </w:r>
            <w:r>
              <w:rPr>
                <w:rFonts w:hint="default" w:ascii="Times New Roman" w:hAnsi="Times New Roman" w:cs="Times New Roman"/>
                <w:bCs/>
                <w:color w:val="auto"/>
                <w:sz w:val="24"/>
              </w:rPr>
              <w:t>食堂</w:t>
            </w:r>
            <w:r>
              <w:rPr>
                <w:rFonts w:hint="default" w:ascii="Times New Roman" w:hAnsi="Times New Roman" w:cs="Times New Roman"/>
                <w:bCs/>
                <w:color w:val="auto"/>
                <w:sz w:val="24"/>
                <w:lang w:eastAsia="zh-CN"/>
              </w:rPr>
              <w:t>和</w:t>
            </w:r>
            <w:r>
              <w:rPr>
                <w:rFonts w:hint="default" w:ascii="Times New Roman" w:hAnsi="Times New Roman" w:cs="Times New Roman"/>
                <w:bCs/>
                <w:color w:val="auto"/>
                <w:sz w:val="24"/>
              </w:rPr>
              <w:t>住宿</w:t>
            </w:r>
            <w:r>
              <w:rPr>
                <w:rFonts w:hint="default" w:ascii="Times New Roman" w:hAnsi="Times New Roman" w:cs="Times New Roman"/>
                <w:color w:val="auto"/>
                <w:sz w:val="24"/>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eastAsia" w:cs="Times New Roman"/>
                <w:b/>
                <w:bCs/>
                <w:color w:val="auto"/>
                <w:sz w:val="24"/>
                <w:lang w:val="en-US" w:eastAsia="zh-CN"/>
              </w:rPr>
              <w:t>8</w:t>
            </w:r>
            <w:r>
              <w:rPr>
                <w:rFonts w:hint="default" w:ascii="Times New Roman" w:hAnsi="Times New Roman" w:cs="Times New Roman"/>
                <w:b/>
                <w:bCs/>
                <w:color w:val="auto"/>
                <w:sz w:val="24"/>
              </w:rPr>
              <w:t>、平面布置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（1）总平面布置</w:t>
            </w:r>
          </w:p>
          <w:p>
            <w:pPr>
              <w:keepNext w:val="0"/>
              <w:keepLines w:val="0"/>
              <w:suppressLineNumbers w:val="0"/>
              <w:spacing w:before="3" w:beforeAutospacing="0" w:after="0" w:afterAutospacing="0" w:line="364" w:lineRule="auto"/>
              <w:ind w:left="0" w:right="95" w:firstLine="480" w:firstLineChars="200"/>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color w:val="auto"/>
                <w:sz w:val="24"/>
                <w:lang w:eastAsia="zh-CN"/>
              </w:rPr>
              <w:t>生产车间</w:t>
            </w:r>
            <w:r>
              <w:rPr>
                <w:rFonts w:hint="default" w:ascii="Times New Roman" w:hAnsi="Times New Roman" w:eastAsia="宋体" w:cs="Times New Roman"/>
                <w:color w:val="auto"/>
                <w:sz w:val="24"/>
              </w:rPr>
              <w:t>呈矩形</w:t>
            </w:r>
            <w:r>
              <w:rPr>
                <w:rFonts w:hint="default" w:ascii="Times New Roman" w:hAnsi="Times New Roman" w:eastAsia="宋体" w:cs="Times New Roman"/>
                <w:color w:val="auto"/>
                <w:sz w:val="24"/>
                <w:lang w:eastAsia="zh-CN"/>
              </w:rPr>
              <w:t>形状</w:t>
            </w:r>
            <w:r>
              <w:rPr>
                <w:rFonts w:hint="default" w:ascii="Times New Roman" w:hAnsi="Times New Roman" w:eastAsia="宋体" w:cs="Times New Roman"/>
                <w:color w:val="auto"/>
                <w:sz w:val="24"/>
              </w:rPr>
              <w:t>，</w:t>
            </w:r>
            <w:r>
              <w:rPr>
                <w:rFonts w:hint="eastAsia" w:cs="Times New Roman"/>
                <w:color w:val="auto"/>
                <w:sz w:val="24"/>
                <w:lang w:eastAsia="zh-CN"/>
              </w:rPr>
              <w:t>主要包括</w:t>
            </w:r>
            <w:r>
              <w:rPr>
                <w:rFonts w:hint="eastAsia" w:cs="Times New Roman"/>
                <w:color w:val="auto"/>
                <w:sz w:val="24"/>
                <w:lang w:val="en-US" w:eastAsia="zh-CN"/>
              </w:rPr>
              <w:t>熔蜡区、冷却区、造粒区、原料区、成品区、办公区</w:t>
            </w:r>
            <w:r>
              <w:rPr>
                <w:rFonts w:hint="default" w:ascii="Times New Roman" w:hAnsi="Times New Roman" w:eastAsia="宋体" w:cs="Times New Roman"/>
                <w:color w:val="auto"/>
                <w:sz w:val="24"/>
              </w:rPr>
              <w:t>。车间</w:t>
            </w:r>
            <w:r>
              <w:rPr>
                <w:rFonts w:hint="default" w:ascii="Times New Roman" w:hAnsi="Times New Roman" w:cs="Times New Roman"/>
                <w:color w:val="auto"/>
                <w:sz w:val="24"/>
                <w:lang w:val="en-US" w:eastAsia="zh-CN"/>
              </w:rPr>
              <w:t>具体</w:t>
            </w:r>
            <w:r>
              <w:rPr>
                <w:rFonts w:hint="default" w:ascii="Times New Roman" w:hAnsi="Times New Roman" w:eastAsia="宋体" w:cs="Times New Roman"/>
                <w:color w:val="auto"/>
                <w:sz w:val="24"/>
              </w:rPr>
              <w:t>布置详见附图3：项目厂区平面布置图。</w:t>
            </w:r>
          </w:p>
          <w:p>
            <w:pPr>
              <w:pStyle w:val="58"/>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Cs w:val="24"/>
              </w:rPr>
              <w:t>（</w:t>
            </w:r>
            <w:r>
              <w:rPr>
                <w:rFonts w:hint="default" w:ascii="Times New Roman" w:hAnsi="Times New Roman" w:cs="Times New Roman"/>
                <w:color w:val="auto"/>
                <w:sz w:val="24"/>
                <w:szCs w:val="24"/>
              </w:rPr>
              <w:t>2）总平面布置合理性分析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a.满足工艺流程要求。保证生产线短捷，尽量避免管道来往交叉迂回，并将公用工程消耗量大的装置集中布置，尽量靠近供应来源。同时本工程在总平面布置时综合考虑其建筑与周边的防火间距和卫生要求。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b.合理布置场地内用地，注意节约用地。做到了人流和物流分开，避免交叉。在总图规范化、合理化方向下，使布局更加完善。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c.各生产车间内废气产生工段均可做到有效密闭，有利于提高废气的收集效率，利于废气的达标排放及区域的环境质量改善。</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d.采用有效的外部连接方式，合理功能分区。</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依据总图运输专业相关规范，工艺流程，物流走向及平面基础资料，本项目各生产单元布置合理，整个厂区功能分区明确，布置紧凑合理，各个建筑物之间能够满足生产和运输要求。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4"/>
                <w:szCs w:val="24"/>
                <w:lang w:val="en-US" w:eastAsia="zh-CN" w:bidi="ar-SA"/>
              </w:rPr>
              <w:t>综上，依据总图运输专业相关规范，工艺流程，物流走向及平面基础资料，本项目各生产单元布置合理，布置紧凑合理，布局能够满足生产和运输要求，总图布置较为合理。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03" w:hRule="atLeast"/>
          <w:jc w:val="center"/>
        </w:trPr>
        <w:tc>
          <w:tcPr>
            <w:tcW w:w="229" w:type="pct"/>
            <w:noWrap w:val="0"/>
            <w:vAlign w:val="center"/>
          </w:tcPr>
          <w:p>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Cs w:val="24"/>
                <w:lang w:val="en-US" w:eastAsia="zh-CN"/>
              </w:rPr>
            </w:pPr>
            <w:r>
              <w:rPr>
                <w:rFonts w:ascii="Times New Roman"/>
                <w:b/>
                <w:bCs/>
                <w:color w:val="auto"/>
                <w:sz w:val="24"/>
                <w:szCs w:val="24"/>
              </w:rPr>
              <w:t>工艺流程和产排污环节</w:t>
            </w:r>
          </w:p>
        </w:tc>
        <w:tc>
          <w:tcPr>
            <w:tcW w:w="4770" w:type="pct"/>
            <w:noWrap w:val="0"/>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default" w:ascii="Times New Roman" w:hAnsi="Times New Roman" w:cs="Times New Roman"/>
                <w:b/>
                <w:bCs/>
                <w:color w:val="auto"/>
                <w:kern w:val="0"/>
                <w:sz w:val="24"/>
                <w:szCs w:val="24"/>
                <w:lang w:val="en-US" w:eastAsia="zh-CN" w:bidi="ar"/>
              </w:rPr>
            </w:pPr>
            <w:r>
              <w:rPr>
                <w:rFonts w:hint="default" w:ascii="Times New Roman" w:hAnsi="Times New Roman" w:cs="Times New Roman"/>
                <w:b/>
                <w:bCs/>
                <w:color w:val="auto"/>
                <w:sz w:val="24"/>
                <w:lang w:val="en-US" w:eastAsia="zh-CN"/>
              </w:rPr>
              <w:t>1、</w:t>
            </w:r>
            <w:bookmarkStart w:id="12" w:name="OLE_LINK7"/>
            <w:r>
              <w:rPr>
                <w:rFonts w:hint="default" w:ascii="Times New Roman" w:hAnsi="Times New Roman" w:cs="Times New Roman"/>
                <w:b/>
                <w:bCs/>
                <w:color w:val="auto"/>
                <w:sz w:val="24"/>
                <w:lang w:eastAsia="zh-CN"/>
              </w:rPr>
              <w:t>工艺流程及产污节点流程图</w:t>
            </w:r>
            <w:bookmarkEnd w:id="12"/>
            <w:r>
              <w:rPr>
                <w:rFonts w:hint="eastAsia" w:eastAsiaTheme="minorEastAsia"/>
                <w:lang w:eastAsia="zh-CN"/>
              </w:rPr>
              <w:drawing>
                <wp:inline distT="0" distB="0" distL="114300" distR="114300">
                  <wp:extent cx="5067300" cy="6200775"/>
                  <wp:effectExtent l="0" t="0" r="0" b="0"/>
                  <wp:docPr id="1" name="ECB019B1-382A-4266-B25C-5B523AA43C14-1" descr="C:/Users/111/AppData/Local/Temp/wps.vMGKfVwp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111/AppData/Local/Temp/wps.vMGKfVwps"/>
                          <pic:cNvPicPr>
                            <a:picLocks noChangeAspect="true"/>
                          </pic:cNvPicPr>
                        </pic:nvPicPr>
                        <pic:blipFill>
                          <a:blip r:embed="rId8"/>
                          <a:stretch>
                            <a:fillRect/>
                          </a:stretch>
                        </pic:blipFill>
                        <pic:spPr>
                          <a:xfrm>
                            <a:off x="0" y="0"/>
                            <a:ext cx="5067300" cy="6200775"/>
                          </a:xfrm>
                          <a:prstGeom prst="rect">
                            <a:avLst/>
                          </a:prstGeom>
                        </pic:spPr>
                      </pic:pic>
                    </a:graphicData>
                  </a:graphic>
                </wp:inline>
              </w:drawing>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cs="Times New Roman"/>
                <w:b/>
                <w:bCs/>
                <w:color w:val="auto"/>
                <w:kern w:val="0"/>
                <w:sz w:val="24"/>
                <w:szCs w:val="24"/>
                <w:lang w:val="en-US" w:eastAsia="zh-CN" w:bidi="ar"/>
              </w:rPr>
              <w:t>图2.3工艺流程及产污节点图</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1"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工艺流程简述：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color w:val="000000"/>
                <w:kern w:val="0"/>
                <w:sz w:val="24"/>
                <w:szCs w:val="24"/>
                <w:lang w:val="en-US" w:eastAsia="zh-CN" w:bidi="ar"/>
              </w:rPr>
              <w:t>加热熔化：将购进的</w:t>
            </w:r>
            <w:r>
              <w:rPr>
                <w:rFonts w:hint="default" w:cs="Times New Roman"/>
                <w:color w:val="000000"/>
                <w:kern w:val="0"/>
                <w:sz w:val="24"/>
                <w:szCs w:val="24"/>
                <w:lang w:eastAsia="zh-CN" w:bidi="ar"/>
              </w:rPr>
              <w:t>废塑料</w:t>
            </w:r>
            <w:r>
              <w:rPr>
                <w:rFonts w:hint="default" w:ascii="Times New Roman" w:hAnsi="Times New Roman" w:eastAsia="宋体" w:cs="Times New Roman"/>
                <w:color w:val="000000"/>
                <w:kern w:val="0"/>
                <w:sz w:val="24"/>
                <w:szCs w:val="24"/>
                <w:lang w:val="en-US" w:eastAsia="zh-CN" w:bidi="ar"/>
              </w:rPr>
              <w:t>通过上料机输送到熔蜡机进行</w:t>
            </w:r>
            <w:r>
              <w:rPr>
                <w:rFonts w:hint="eastAsia"/>
                <w:sz w:val="24"/>
                <w:szCs w:val="32"/>
                <w:lang w:val="en-US" w:eastAsia="zh-CN"/>
              </w:rPr>
              <w:t>电</w:t>
            </w:r>
            <w:r>
              <w:rPr>
                <w:rFonts w:hint="default" w:ascii="Times New Roman" w:hAnsi="Times New Roman" w:eastAsia="宋体" w:cs="Times New Roman"/>
                <w:color w:val="000000"/>
                <w:kern w:val="0"/>
                <w:sz w:val="24"/>
                <w:szCs w:val="24"/>
                <w:lang w:val="en-US" w:eastAsia="zh-CN" w:bidi="ar"/>
              </w:rPr>
              <w:t>加热熔化，同时搅拌均匀。</w:t>
            </w:r>
            <w:r>
              <w:rPr>
                <w:rFonts w:hint="eastAsia" w:cs="Times New Roman"/>
                <w:color w:val="000000"/>
                <w:kern w:val="0"/>
                <w:sz w:val="24"/>
                <w:szCs w:val="24"/>
                <w:lang w:val="en-US" w:eastAsia="zh-CN" w:bidi="ar"/>
              </w:rPr>
              <w:t>此过程中熔蜡机</w:t>
            </w:r>
            <w:r>
              <w:rPr>
                <w:rFonts w:hint="default" w:ascii="Times New Roman" w:hAnsi="Times New Roman" w:eastAsia="宋体" w:cs="Times New Roman"/>
                <w:color w:val="000000"/>
                <w:kern w:val="0"/>
                <w:sz w:val="24"/>
                <w:szCs w:val="24"/>
                <w:lang w:val="en-US" w:eastAsia="zh-CN" w:bidi="ar"/>
              </w:rPr>
              <w:t>加热温度在110~120℃，聚乙烯蜡裂解温度</w:t>
            </w:r>
            <w:r>
              <w:rPr>
                <w:rFonts w:hint="eastAsia" w:cs="Times New Roman"/>
                <w:color w:val="000000"/>
                <w:kern w:val="0"/>
                <w:sz w:val="24"/>
                <w:szCs w:val="24"/>
                <w:lang w:val="en-US" w:eastAsia="zh-CN" w:bidi="ar"/>
              </w:rPr>
              <w:t>为</w:t>
            </w:r>
            <w:r>
              <w:rPr>
                <w:rFonts w:hint="default" w:ascii="Times New Roman" w:hAnsi="Times New Roman" w:eastAsia="宋体" w:cs="Times New Roman"/>
                <w:color w:val="000000"/>
                <w:kern w:val="0"/>
                <w:sz w:val="24"/>
                <w:szCs w:val="24"/>
                <w:lang w:val="en-US" w:eastAsia="zh-CN" w:bidi="ar"/>
              </w:rPr>
              <w:t>300℃，达不到裂解温度；</w:t>
            </w:r>
            <w:r>
              <w:rPr>
                <w:rFonts w:hint="eastAsia" w:cs="Times New Roman"/>
                <w:color w:val="000000"/>
                <w:kern w:val="0"/>
                <w:sz w:val="24"/>
                <w:szCs w:val="24"/>
                <w:lang w:val="en-US" w:eastAsia="zh-CN" w:bidi="ar"/>
              </w:rPr>
              <w:t>因此</w:t>
            </w:r>
            <w:r>
              <w:rPr>
                <w:rFonts w:hint="default" w:ascii="Times New Roman" w:hAnsi="Times New Roman" w:eastAsia="宋体" w:cs="Times New Roman"/>
                <w:color w:val="000000"/>
                <w:kern w:val="0"/>
                <w:sz w:val="24"/>
                <w:szCs w:val="24"/>
                <w:lang w:val="en-US" w:eastAsia="zh-CN" w:bidi="ar"/>
              </w:rPr>
              <w:t>在加热熔化过程中</w:t>
            </w:r>
            <w:r>
              <w:rPr>
                <w:rFonts w:hint="eastAsia" w:cs="Times New Roman"/>
                <w:color w:val="000000"/>
                <w:kern w:val="0"/>
                <w:sz w:val="24"/>
                <w:szCs w:val="24"/>
                <w:lang w:val="en-US" w:eastAsia="zh-CN" w:bidi="ar"/>
              </w:rPr>
              <w:t>仅</w:t>
            </w:r>
            <w:r>
              <w:rPr>
                <w:rFonts w:hint="default" w:ascii="Times New Roman" w:hAnsi="Times New Roman" w:eastAsia="宋体" w:cs="Times New Roman"/>
                <w:color w:val="000000"/>
                <w:kern w:val="0"/>
                <w:sz w:val="24"/>
                <w:szCs w:val="24"/>
                <w:lang w:val="en-US" w:eastAsia="zh-CN" w:bidi="ar"/>
              </w:rPr>
              <w:t>会挥发产生一定量的非甲烷总烃。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冷却造粒：熔化后的蜡水</w:t>
            </w:r>
            <w:r>
              <w:rPr>
                <w:rFonts w:hint="eastAsia" w:cs="Times New Roman"/>
                <w:color w:val="000000"/>
                <w:kern w:val="0"/>
                <w:sz w:val="24"/>
                <w:szCs w:val="24"/>
                <w:lang w:val="en-US" w:eastAsia="zh-CN" w:bidi="ar"/>
              </w:rPr>
              <w:t>依次通过三个冷却罐进行间接冷却处理，待温度降低至一定程度后通过管道输送到造粒机中</w:t>
            </w:r>
            <w:r>
              <w:rPr>
                <w:rFonts w:hint="default" w:ascii="Times New Roman" w:hAnsi="Times New Roman" w:eastAsia="宋体" w:cs="Times New Roman"/>
                <w:color w:val="000000"/>
                <w:kern w:val="0"/>
                <w:sz w:val="24"/>
                <w:szCs w:val="24"/>
                <w:lang w:val="en-US" w:eastAsia="zh-CN" w:bidi="ar"/>
              </w:rPr>
              <w:t>。将冷却罐中的蜡水输送至造粒机进行冷却造粒。此过程产生噪声</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冷却水循环使用不外排。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color w:val="000000"/>
                <w:kern w:val="0"/>
                <w:sz w:val="24"/>
                <w:szCs w:val="24"/>
                <w:lang w:val="en-US" w:eastAsia="zh-CN" w:bidi="ar"/>
              </w:rPr>
              <w:t>包装、成品：得到聚乙烯蜡颗粒成品后，对其进行称重、包装，得到最终成品后入库。此过程会产生少量的废包装材料</w:t>
            </w:r>
            <w:r>
              <w:rPr>
                <w:rFonts w:hint="eastAsia" w:cs="Times New Roman"/>
                <w:color w:val="000000"/>
                <w:kern w:val="0"/>
                <w:sz w:val="24"/>
                <w:szCs w:val="24"/>
                <w:lang w:val="en-US" w:eastAsia="zh-CN" w:bidi="ar"/>
              </w:rPr>
              <w:t>和噪声。</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产排污环节</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根据工艺流程分析，运营过程中产排污节点如下：</w:t>
            </w:r>
          </w:p>
          <w:p>
            <w:pPr>
              <w:pStyle w:val="6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表2</w:t>
            </w:r>
            <w:r>
              <w:rPr>
                <w:rFonts w:hint="eastAsia" w:ascii="Times New Roman" w:eastAsia="宋体" w:cs="Times New Roman"/>
                <w:b/>
                <w:bCs/>
                <w:color w:val="auto"/>
                <w:kern w:val="2"/>
                <w:sz w:val="24"/>
                <w:szCs w:val="24"/>
                <w:lang w:val="en-US" w:eastAsia="zh-CN" w:bidi="ar-SA"/>
              </w:rPr>
              <w:t>.15</w:t>
            </w:r>
            <w:r>
              <w:rPr>
                <w:rFonts w:hint="default" w:ascii="Times New Roman" w:hAnsi="Times New Roman" w:eastAsia="宋体" w:cs="Times New Roman"/>
                <w:b/>
                <w:bCs/>
                <w:color w:val="auto"/>
                <w:kern w:val="2"/>
                <w:sz w:val="24"/>
                <w:szCs w:val="24"/>
                <w:lang w:val="en-US" w:eastAsia="zh-CN" w:bidi="ar-SA"/>
              </w:rPr>
              <w:t>产排污节点一览表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21"/>
              <w:gridCol w:w="2025"/>
              <w:gridCol w:w="4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noWrap w:val="0"/>
                  <w:vAlign w:val="center"/>
                </w:tcPr>
                <w:p>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类别</w:t>
                  </w:r>
                </w:p>
              </w:tc>
              <w:tc>
                <w:tcPr>
                  <w:tcW w:w="0" w:type="auto"/>
                  <w:noWrap w:val="0"/>
                  <w:vAlign w:val="center"/>
                </w:tcPr>
                <w:p>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产污工序</w:t>
                  </w:r>
                </w:p>
              </w:tc>
              <w:tc>
                <w:tcPr>
                  <w:tcW w:w="0" w:type="auto"/>
                  <w:noWrap w:val="0"/>
                  <w:vAlign w:val="center"/>
                </w:tcPr>
                <w:p>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rPr>
                    <w:t>污染物</w:t>
                  </w:r>
                  <w:r>
                    <w:rPr>
                      <w:rFonts w:hint="default" w:ascii="Times New Roman" w:hAnsi="Times New Roman" w:cs="Times New Roman"/>
                      <w:b/>
                      <w:bCs/>
                      <w:sz w:val="21"/>
                      <w:szCs w:val="21"/>
                      <w:lang w:eastAsia="zh-CN"/>
                    </w:rPr>
                    <w:t>类型</w:t>
                  </w:r>
                </w:p>
              </w:tc>
              <w:tc>
                <w:tcPr>
                  <w:tcW w:w="0" w:type="auto"/>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措施及去向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lang w:eastAsia="zh-CN"/>
                    </w:rPr>
                  </w:pPr>
                  <w:bookmarkStart w:id="13" w:name="OLE_LINK96" w:colFirst="1" w:colLast="1"/>
                  <w:r>
                    <w:rPr>
                      <w:rFonts w:hint="default" w:ascii="Times New Roman" w:hAnsi="Times New Roman" w:cs="Times New Roman"/>
                      <w:sz w:val="21"/>
                      <w:szCs w:val="21"/>
                      <w:lang w:eastAsia="zh-CN"/>
                    </w:rPr>
                    <w:t>废水</w:t>
                  </w:r>
                </w:p>
              </w:tc>
              <w:tc>
                <w:tcPr>
                  <w:tcW w:w="0" w:type="auto"/>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员工办公生活</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cs="Times New Roman"/>
                      <w:sz w:val="21"/>
                      <w:szCs w:val="21"/>
                      <w:lang w:val="en-US" w:eastAsia="zh-CN"/>
                    </w:rPr>
                    <w:t>生活污水</w:t>
                  </w:r>
                </w:p>
              </w:tc>
              <w:tc>
                <w:tcPr>
                  <w:tcW w:w="0" w:type="auto"/>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经</w:t>
                  </w:r>
                  <w:r>
                    <w:rPr>
                      <w:rFonts w:hint="eastAsia"/>
                      <w:lang w:val="en-US" w:eastAsia="zh-CN"/>
                    </w:rPr>
                    <w:t>化粪池</w:t>
                  </w:r>
                  <w:r>
                    <w:rPr>
                      <w:rFonts w:hint="eastAsia" w:cs="Times New Roman"/>
                      <w:sz w:val="21"/>
                      <w:szCs w:val="21"/>
                      <w:lang w:val="en-US" w:eastAsia="zh-CN"/>
                    </w:rPr>
                    <w:t>预处理后进入金寨现代产业园污水处理厂处理达标后排放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lang w:eastAsia="zh-CN"/>
                    </w:rPr>
                  </w:pPr>
                </w:p>
              </w:tc>
              <w:tc>
                <w:tcPr>
                  <w:tcW w:w="0" w:type="auto"/>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废气处理</w:t>
                  </w:r>
                </w:p>
              </w:tc>
              <w:tc>
                <w:tcPr>
                  <w:tcW w:w="0" w:type="auto"/>
                  <w:noWrap w:val="0"/>
                  <w:vAlign w:val="center"/>
                </w:tcPr>
                <w:p>
                  <w:pPr>
                    <w:keepNext w:val="0"/>
                    <w:keepLines w:val="0"/>
                    <w:widowControl/>
                    <w:suppressLineNumbers w:val="0"/>
                    <w:spacing w:before="0" w:beforeAutospacing="0" w:after="0" w:afterAutospacing="0" w:line="360" w:lineRule="auto"/>
                    <w:ind w:right="0"/>
                    <w:jc w:val="center"/>
                    <w:rPr>
                      <w:rFonts w:hint="default" w:ascii="Times New Roman" w:hAnsi="Times New Roman" w:cs="Times New Roman"/>
                      <w:sz w:val="21"/>
                      <w:szCs w:val="21"/>
                      <w:lang w:val="en-US" w:eastAsia="zh-CN"/>
                    </w:rPr>
                  </w:pPr>
                  <w:r>
                    <w:rPr>
                      <w:rFonts w:hint="eastAsia" w:hAnsi="宋体"/>
                      <w:sz w:val="21"/>
                      <w:szCs w:val="21"/>
                      <w:lang w:val="en-US" w:eastAsia="zh-CN"/>
                    </w:rPr>
                    <w:t>废气喷淋降温冷却水</w:t>
                  </w:r>
                </w:p>
              </w:tc>
              <w:tc>
                <w:tcPr>
                  <w:tcW w:w="0" w:type="auto"/>
                  <w:noWrap w:val="0"/>
                  <w:vAlign w:val="center"/>
                </w:tcPr>
                <w:p>
                  <w:pPr>
                    <w:keepNext w:val="0"/>
                    <w:keepLines w:val="0"/>
                    <w:widowControl/>
                    <w:suppressLineNumbers w:val="0"/>
                    <w:jc w:val="center"/>
                    <w:rPr>
                      <w:rFonts w:hint="default" w:ascii="Times New Roman" w:hAnsi="Times New Roman" w:cs="Times New Roman"/>
                      <w:sz w:val="21"/>
                      <w:szCs w:val="21"/>
                    </w:rPr>
                  </w:pPr>
                  <w:r>
                    <w:rPr>
                      <w:rFonts w:hint="eastAsia" w:cs="Times New Roman"/>
                      <w:sz w:val="21"/>
                      <w:szCs w:val="21"/>
                      <w:lang w:val="en-US" w:eastAsia="zh-CN"/>
                    </w:rPr>
                    <w:t>进入金寨现代产业园污水处理厂处理达标后排放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cs="Times New Roman"/>
                      <w:sz w:val="21"/>
                      <w:szCs w:val="21"/>
                      <w:lang w:val="en-US" w:eastAsia="zh-CN"/>
                    </w:rPr>
                    <w:t>废气</w:t>
                  </w:r>
                </w:p>
              </w:tc>
              <w:tc>
                <w:tcPr>
                  <w:tcW w:w="0" w:type="auto"/>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加热熔化</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cs="Times New Roman"/>
                      <w:sz w:val="21"/>
                      <w:szCs w:val="21"/>
                      <w:lang w:val="en-US" w:eastAsia="zh-CN"/>
                    </w:rPr>
                    <w:t>非甲烷总烃</w:t>
                  </w:r>
                </w:p>
              </w:tc>
              <w:tc>
                <w:tcPr>
                  <w:tcW w:w="0" w:type="auto"/>
                  <w:noWrap w:val="0"/>
                  <w:vAlign w:val="center"/>
                </w:tcPr>
                <w:p>
                  <w:pPr>
                    <w:keepNext w:val="0"/>
                    <w:keepLines w:val="0"/>
                    <w:widowControl/>
                    <w:suppressLineNumbers w:val="0"/>
                    <w:jc w:val="center"/>
                    <w:rPr>
                      <w:rFonts w:hint="default" w:ascii="Times New Roman" w:hAnsi="Times New Roman" w:cs="Times New Roman"/>
                      <w:sz w:val="21"/>
                      <w:szCs w:val="21"/>
                    </w:rPr>
                  </w:pPr>
                  <w:r>
                    <w:rPr>
                      <w:rFonts w:hint="eastAsia" w:ascii="宋体" w:hAnsi="宋体" w:eastAsia="宋体" w:cs="宋体"/>
                      <w:color w:val="000000"/>
                      <w:kern w:val="0"/>
                      <w:sz w:val="21"/>
                      <w:szCs w:val="21"/>
                      <w:lang w:val="en-US" w:eastAsia="zh-CN" w:bidi="ar"/>
                    </w:rPr>
                    <w:t>经集</w:t>
                  </w:r>
                  <w:r>
                    <w:rPr>
                      <w:rFonts w:hint="eastAsia" w:ascii="宋体" w:hAnsi="宋体" w:cs="宋体"/>
                      <w:color w:val="000000"/>
                      <w:kern w:val="0"/>
                      <w:sz w:val="21"/>
                      <w:szCs w:val="21"/>
                      <w:lang w:val="en-US" w:eastAsia="zh-CN" w:bidi="ar"/>
                    </w:rPr>
                    <w:t>气</w:t>
                  </w:r>
                  <w:r>
                    <w:rPr>
                      <w:rFonts w:hint="eastAsia" w:ascii="宋体" w:hAnsi="宋体" w:eastAsia="宋体" w:cs="宋体"/>
                      <w:color w:val="000000"/>
                      <w:kern w:val="0"/>
                      <w:sz w:val="21"/>
                      <w:szCs w:val="21"/>
                      <w:lang w:val="en-US" w:eastAsia="zh-CN" w:bidi="ar"/>
                    </w:rPr>
                    <w:t>罩收集</w:t>
                  </w:r>
                  <w:r>
                    <w:rPr>
                      <w:rFonts w:hint="eastAsia" w:ascii="宋体" w:hAnsi="宋体" w:cs="宋体"/>
                      <w:color w:val="000000"/>
                      <w:kern w:val="0"/>
                      <w:sz w:val="21"/>
                      <w:szCs w:val="21"/>
                      <w:lang w:val="en-US" w:eastAsia="zh-CN" w:bidi="ar"/>
                    </w:rPr>
                    <w:t>，通过喷淋塔降温后由二级活性炭吸附装置处理</w:t>
                  </w:r>
                  <w:r>
                    <w:rPr>
                      <w:rFonts w:hint="eastAsia" w:ascii="宋体" w:hAnsi="宋体" w:eastAsia="宋体" w:cs="宋体"/>
                      <w:color w:val="000000"/>
                      <w:kern w:val="0"/>
                      <w:sz w:val="21"/>
                      <w:szCs w:val="21"/>
                      <w:lang w:val="en-US" w:eastAsia="zh-CN" w:bidi="ar"/>
                    </w:rPr>
                    <w:t>达标排放</w:t>
                  </w:r>
                </w:p>
              </w:tc>
            </w:tr>
            <w:bookmarkEnd w:id="1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0" w:type="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生产过程</w:t>
                  </w:r>
                </w:p>
              </w:tc>
              <w:tc>
                <w:tcPr>
                  <w:tcW w:w="0" w:type="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设备噪声</w:t>
                  </w:r>
                </w:p>
              </w:tc>
              <w:tc>
                <w:tcPr>
                  <w:tcW w:w="0" w:type="auto"/>
                  <w:noWrap w:val="0"/>
                  <w:vAlign w:val="center"/>
                </w:tcPr>
                <w:p>
                  <w:pPr>
                    <w:keepNext w:val="0"/>
                    <w:keepLines w:val="0"/>
                    <w:widowControl/>
                    <w:suppressLineNumbers w:val="0"/>
                    <w:jc w:val="center"/>
                    <w:rPr>
                      <w:rFonts w:hint="default" w:ascii="Times New Roman" w:hAnsi="Times New Roman" w:cs="Times New Roman"/>
                      <w:sz w:val="21"/>
                      <w:szCs w:val="21"/>
                    </w:rPr>
                  </w:pPr>
                  <w:r>
                    <w:rPr>
                      <w:rFonts w:hint="eastAsia" w:ascii="宋体" w:hAnsi="宋体" w:eastAsia="宋体" w:cs="宋体"/>
                      <w:color w:val="000000"/>
                      <w:kern w:val="0"/>
                      <w:sz w:val="21"/>
                      <w:szCs w:val="21"/>
                      <w:lang w:val="en-US" w:eastAsia="zh-CN" w:bidi="ar"/>
                    </w:rPr>
                    <w:t>优化项目布局，选用低噪声设备，采取有效的隔声、消声、减振等措施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lang w:eastAsia="zh-CN"/>
                    </w:rPr>
                  </w:pPr>
                  <w:bookmarkStart w:id="14" w:name="OLE_LINK83" w:colFirst="2" w:colLast="2"/>
                  <w:r>
                    <w:rPr>
                      <w:rFonts w:hint="default" w:ascii="Times New Roman" w:hAnsi="Times New Roman" w:eastAsia="宋体" w:cs="Times New Roman"/>
                      <w:sz w:val="21"/>
                      <w:szCs w:val="21"/>
                      <w:lang w:eastAsia="zh-CN"/>
                    </w:rPr>
                    <w:t>固废</w:t>
                  </w:r>
                </w:p>
              </w:tc>
              <w:tc>
                <w:tcPr>
                  <w:tcW w:w="0" w:type="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包装</w:t>
                  </w:r>
                </w:p>
              </w:tc>
              <w:tc>
                <w:tcPr>
                  <w:tcW w:w="0" w:type="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废包装材料</w:t>
                  </w:r>
                </w:p>
              </w:tc>
              <w:tc>
                <w:tcPr>
                  <w:tcW w:w="0" w:type="auto"/>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统一收集后资源外售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lang w:eastAsia="zh-CN"/>
                    </w:rPr>
                  </w:pPr>
                </w:p>
              </w:tc>
              <w:tc>
                <w:tcPr>
                  <w:tcW w:w="0" w:type="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员工办公生活</w:t>
                  </w:r>
                </w:p>
              </w:tc>
              <w:tc>
                <w:tcPr>
                  <w:tcW w:w="0" w:type="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生活垃圾</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cs="Times New Roman"/>
                      <w:sz w:val="21"/>
                      <w:szCs w:val="21"/>
                      <w:lang w:val="en-US" w:eastAsia="zh-CN"/>
                    </w:rPr>
                    <w:t>统一收集后交由环卫部门处理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lang w:eastAsia="zh-CN"/>
                    </w:rPr>
                  </w:pPr>
                </w:p>
              </w:tc>
              <w:tc>
                <w:tcPr>
                  <w:tcW w:w="0" w:type="auto"/>
                  <w:vMerge w:val="restart"/>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设备维护</w:t>
                  </w:r>
                </w:p>
              </w:tc>
              <w:tc>
                <w:tcPr>
                  <w:tcW w:w="0" w:type="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sz w:val="21"/>
                      <w:szCs w:val="21"/>
                      <w:lang w:val="en-US" w:eastAsia="zh-CN"/>
                    </w:rPr>
                  </w:pPr>
                  <w:r>
                    <w:rPr>
                      <w:rFonts w:hint="default" w:ascii="Times New Roman" w:hAnsi="Times New Roman" w:cs="Times New Roman"/>
                      <w:color w:val="auto"/>
                      <w:sz w:val="21"/>
                      <w:szCs w:val="21"/>
                      <w:lang w:val="en-US" w:eastAsia="zh-CN"/>
                    </w:rPr>
                    <w:t>废弃的含油抹布、劳保用品</w:t>
                  </w:r>
                </w:p>
              </w:tc>
              <w:tc>
                <w:tcPr>
                  <w:tcW w:w="0" w:type="auto"/>
                  <w:noWrap w:val="0"/>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default"/>
                      <w:lang w:eastAsia="zh-CN"/>
                    </w:rPr>
                    <w:t>经</w:t>
                  </w:r>
                  <w:r>
                    <w:rPr>
                      <w:rFonts w:hint="eastAsia"/>
                      <w:lang w:val="en-US" w:eastAsia="zh-CN"/>
                    </w:rPr>
                    <w:t>收集后交由环卫部门统一清运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lang w:eastAsia="zh-CN"/>
                    </w:rPr>
                  </w:pPr>
                </w:p>
              </w:tc>
              <w:tc>
                <w:tcPr>
                  <w:tcW w:w="0" w:type="auto"/>
                  <w:vMerge w:val="continue"/>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p>
              </w:tc>
              <w:tc>
                <w:tcPr>
                  <w:tcW w:w="0" w:type="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废机油</w:t>
                  </w:r>
                </w:p>
              </w:tc>
              <w:tc>
                <w:tcPr>
                  <w:tcW w:w="0" w:type="auto"/>
                  <w:vMerge w:val="restart"/>
                  <w:noWrap w:val="0"/>
                  <w:vAlign w:val="center"/>
                </w:tcPr>
                <w:p>
                  <w:pPr>
                    <w:keepNext w:val="0"/>
                    <w:keepLines w:val="0"/>
                    <w:widowControl/>
                    <w:suppressLineNumbers w:val="0"/>
                    <w:jc w:val="center"/>
                    <w:rPr>
                      <w:rFonts w:hint="default" w:ascii="Times New Roman" w:hAnsi="Times New Roman" w:cs="Times New Roman"/>
                      <w:sz w:val="21"/>
                      <w:szCs w:val="21"/>
                      <w:lang w:eastAsia="zh-CN"/>
                    </w:rPr>
                  </w:pPr>
                  <w:r>
                    <w:rPr>
                      <w:rFonts w:hint="eastAsia" w:ascii="宋体" w:hAnsi="宋体" w:eastAsia="宋体" w:cs="宋体"/>
                      <w:color w:val="000000"/>
                      <w:kern w:val="0"/>
                      <w:sz w:val="21"/>
                      <w:szCs w:val="21"/>
                      <w:lang w:val="en-US" w:eastAsia="zh-CN" w:bidi="ar"/>
                    </w:rPr>
                    <w:t>统一收集于危废贮存库，定期交由有资质单位回收处</w:t>
                  </w:r>
                  <w:r>
                    <w:rPr>
                      <w:rFonts w:hint="default" w:ascii="宋体" w:hAnsi="宋体" w:cs="宋体"/>
                      <w:color w:val="000000"/>
                      <w:kern w:val="0"/>
                      <w:sz w:val="21"/>
                      <w:szCs w:val="21"/>
                      <w:lang w:eastAsia="zh-CN" w:bidi="ar"/>
                    </w:rPr>
                    <w:t>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rPr>
                  </w:pPr>
                </w:p>
              </w:tc>
              <w:tc>
                <w:tcPr>
                  <w:tcW w:w="0" w:type="auto"/>
                  <w:vMerge w:val="continue"/>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p>
              </w:tc>
              <w:tc>
                <w:tcPr>
                  <w:tcW w:w="0" w:type="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废油桶</w:t>
                  </w:r>
                </w:p>
              </w:tc>
              <w:tc>
                <w:tcPr>
                  <w:tcW w:w="0" w:type="auto"/>
                  <w:vMerge w:val="continue"/>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sz w:val="21"/>
                      <w:szCs w:val="21"/>
                      <w:lang w:val="en-US" w:eastAsia="zh-CN"/>
                    </w:rPr>
                  </w:pPr>
                </w:p>
              </w:tc>
            </w:tr>
            <w:bookmarkEnd w:id="1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sz w:val="21"/>
                      <w:szCs w:val="21"/>
                    </w:rPr>
                  </w:pPr>
                </w:p>
              </w:tc>
              <w:tc>
                <w:tcPr>
                  <w:tcW w:w="0" w:type="auto"/>
                  <w:shd w:val="clear" w:color="auto" w:fill="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废气处理</w:t>
                  </w:r>
                </w:p>
              </w:tc>
              <w:tc>
                <w:tcPr>
                  <w:tcW w:w="0" w:type="auto"/>
                  <w:shd w:val="clear" w:color="auto" w:fill="auto"/>
                  <w:noWrap w:val="0"/>
                  <w:vAlign w:val="center"/>
                </w:tcPr>
                <w:p>
                  <w:pPr>
                    <w:keepNext w:val="0"/>
                    <w:keepLines w:val="0"/>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eastAsia" w:ascii="宋体" w:hAnsi="宋体" w:eastAsia="宋体" w:cs="宋体"/>
                      <w:color w:val="000000"/>
                      <w:kern w:val="0"/>
                      <w:sz w:val="21"/>
                      <w:szCs w:val="21"/>
                      <w:lang w:val="en-US" w:eastAsia="zh-CN" w:bidi="ar"/>
                    </w:rPr>
                    <w:t>废活性炭</w:t>
                  </w:r>
                </w:p>
              </w:tc>
              <w:tc>
                <w:tcPr>
                  <w:tcW w:w="0" w:type="auto"/>
                  <w:vMerge w:val="continue"/>
                  <w:shd w:val="clear" w:color="auto" w:fill="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r>
          </w:tbl>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textAlignment w:val="auto"/>
              <w:rPr>
                <w:rFonts w:hint="eastAsia" w:cs="Times New Roman"/>
                <w:color w:val="auto"/>
                <w:lang w:val="en-US" w:eastAsia="zh-CN"/>
              </w:rPr>
            </w:pP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textAlignment w:val="auto"/>
              <w:rPr>
                <w:rFonts w:hint="eastAsia" w:cs="Times New Roman"/>
                <w:color w:val="auto"/>
                <w:lang w:val="en-US" w:eastAsia="zh-CN"/>
              </w:rPr>
            </w:pPr>
          </w:p>
          <w:p>
            <w:pPr>
              <w:pStyle w:val="28"/>
              <w:keepNext w:val="0"/>
              <w:keepLines w:val="0"/>
              <w:pageBreakBefore w:val="0"/>
              <w:widowControl w:val="0"/>
              <w:suppressLineNumbers w:val="0"/>
              <w:tabs>
                <w:tab w:val="left" w:pos="828"/>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03" w:hRule="atLeast"/>
          <w:jc w:val="center"/>
        </w:trPr>
        <w:tc>
          <w:tcPr>
            <w:tcW w:w="229" w:type="pct"/>
            <w:noWrap w:val="0"/>
            <w:vAlign w:val="center"/>
          </w:tcPr>
          <w:p>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bCs w:val="0"/>
                <w:color w:val="auto"/>
                <w:kern w:val="2"/>
                <w:szCs w:val="24"/>
                <w:lang w:val="en-US" w:eastAsia="zh-CN"/>
              </w:rPr>
              <w:t>与项目有关的原有环境污染问题</w:t>
            </w:r>
          </w:p>
        </w:tc>
        <w:tc>
          <w:tcPr>
            <w:tcW w:w="4770"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本项目为</w:t>
            </w:r>
            <w:r>
              <w:rPr>
                <w:rFonts w:hint="eastAsia" w:ascii="Times New Roman" w:hAnsi="Times New Roman" w:eastAsia="宋体" w:cs="Times New Roman"/>
                <w:b w:val="0"/>
                <w:bCs w:val="0"/>
                <w:sz w:val="24"/>
                <w:szCs w:val="24"/>
                <w:highlight w:val="none"/>
                <w:lang w:val="en-US" w:eastAsia="zh-CN"/>
              </w:rPr>
              <w:t>新建</w:t>
            </w:r>
            <w:r>
              <w:rPr>
                <w:rFonts w:hint="default" w:ascii="Times New Roman" w:hAnsi="Times New Roman" w:eastAsia="宋体" w:cs="Times New Roman"/>
                <w:b w:val="0"/>
                <w:bCs w:val="0"/>
                <w:sz w:val="24"/>
                <w:szCs w:val="24"/>
                <w:highlight w:val="none"/>
                <w:lang w:val="en-US" w:eastAsia="zh-CN"/>
              </w:rPr>
              <w:t>项目，</w:t>
            </w:r>
            <w:r>
              <w:rPr>
                <w:rFonts w:hint="default" w:ascii="Times New Roman" w:hAnsi="Times New Roman" w:cs="Times New Roman"/>
                <w:color w:val="auto"/>
                <w:sz w:val="24"/>
                <w:szCs w:val="24"/>
                <w:lang w:eastAsia="zh-CN"/>
              </w:rPr>
              <w:t>安徽中鑫宏伟科技有限公司1＃综合厂房二楼东南侧</w:t>
            </w:r>
            <w:r>
              <w:rPr>
                <w:rFonts w:hint="default" w:ascii="Times New Roman" w:hAnsi="Times New Roman" w:cs="Times New Roman"/>
                <w:sz w:val="24"/>
                <w:szCs w:val="24"/>
                <w:lang w:val="en-US" w:eastAsia="zh-CN"/>
              </w:rPr>
              <w:t>作为生产及办公场所</w:t>
            </w:r>
            <w:r>
              <w:rPr>
                <w:rFonts w:hint="eastAsia" w:ascii="Times New Roman" w:hAnsi="Times New Roman" w:eastAsia="宋体" w:cs="Times New Roman"/>
                <w:color w:val="auto"/>
                <w:kern w:val="0"/>
                <w:sz w:val="24"/>
                <w:szCs w:val="24"/>
                <w:highlight w:val="none"/>
                <w:lang w:val="en-US" w:eastAsia="zh-CN"/>
              </w:rPr>
              <w:t>，租赁面积2000平方米。</w:t>
            </w:r>
            <w:r>
              <w:rPr>
                <w:rFonts w:hint="default" w:ascii="Times New Roman" w:hAnsi="Times New Roman" w:eastAsia="宋体" w:cs="Times New Roman"/>
                <w:b w:val="0"/>
                <w:bCs w:val="0"/>
                <w:sz w:val="24"/>
                <w:szCs w:val="24"/>
                <w:highlight w:val="none"/>
                <w:lang w:val="en-US" w:eastAsia="zh-CN"/>
              </w:rPr>
              <w:t>本项目入驻前为空置厂房，根据现场踏勘，无现有工程环境问题，无污染物排放。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eastAsia"/>
                <w:sz w:val="24"/>
                <w:szCs w:val="32"/>
                <w:lang w:val="en-US" w:eastAsia="zh-CN"/>
              </w:rPr>
              <w:t>1、项目概况</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六安喜达再生资源有限公司位于</w:t>
            </w:r>
            <w:r>
              <w:rPr>
                <w:rFonts w:hint="eastAsia" w:ascii="Times New Roman" w:hAnsi="Times New Roman" w:cs="Times New Roman"/>
                <w:sz w:val="24"/>
                <w:szCs w:val="24"/>
                <w:lang w:eastAsia="zh-CN"/>
              </w:rPr>
              <w:t>安徽金寨经济开发区</w:t>
            </w:r>
            <w:r>
              <w:rPr>
                <w:rFonts w:hint="default" w:ascii="Times New Roman" w:hAnsi="Times New Roman" w:eastAsia="宋体" w:cs="Times New Roman"/>
                <w:sz w:val="24"/>
                <w:szCs w:val="24"/>
              </w:rPr>
              <w:t>清水路与新四路交叉口</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地理中心坐标为</w:t>
            </w:r>
            <w:r>
              <w:rPr>
                <w:rFonts w:hint="default" w:ascii="Times New Roman" w:hAnsi="Times New Roman" w:eastAsia="Helvetica" w:cs="Times New Roman"/>
                <w:i w:val="0"/>
                <w:iCs w:val="0"/>
                <w:caps w:val="0"/>
                <w:color w:val="000000"/>
                <w:spacing w:val="0"/>
                <w:sz w:val="24"/>
                <w:szCs w:val="24"/>
                <w:shd w:val="clear" w:fill="FFFFFF"/>
              </w:rPr>
              <w:t>115°59'47.995",31°45'57</w:t>
            </w:r>
            <w:r>
              <w:rPr>
                <w:rFonts w:hint="default" w:ascii="Times New Roman" w:hAnsi="Times New Roman" w:eastAsia="宋体" w:cs="Times New Roman"/>
                <w:i w:val="0"/>
                <w:iCs w:val="0"/>
                <w:caps w:val="0"/>
                <w:color w:val="000000"/>
                <w:spacing w:val="0"/>
                <w:sz w:val="24"/>
                <w:szCs w:val="24"/>
                <w:shd w:val="clear" w:fill="FFFFFF"/>
                <w:lang w:val="en-US" w:eastAsia="zh-CN"/>
              </w:rPr>
              <w:t>.</w:t>
            </w:r>
            <w:r>
              <w:rPr>
                <w:rFonts w:hint="default" w:ascii="Times New Roman" w:hAnsi="Times New Roman" w:eastAsia="Helvetica" w:cs="Times New Roman"/>
                <w:i w:val="0"/>
                <w:iCs w:val="0"/>
                <w:caps w:val="0"/>
                <w:color w:val="000000"/>
                <w:spacing w:val="0"/>
                <w:sz w:val="24"/>
                <w:szCs w:val="24"/>
                <w:shd w:val="clear" w:fill="FFFFFF"/>
              </w:rPr>
              <w:t>58</w:t>
            </w:r>
            <w:r>
              <w:rPr>
                <w:rFonts w:hint="eastAsia" w:ascii="Times New Roman" w:hAnsi="Times New Roman" w:eastAsia="宋体" w:cs="Times New Roman"/>
                <w:i w:val="0"/>
                <w:iCs w:val="0"/>
                <w:caps w:val="0"/>
                <w:color w:val="000000"/>
                <w:spacing w:val="0"/>
                <w:sz w:val="24"/>
                <w:szCs w:val="24"/>
                <w:shd w:val="clear" w:fill="FFFFFF"/>
                <w:lang w:val="en-US" w:eastAsia="zh-CN"/>
              </w:rPr>
              <w:t>2</w:t>
            </w:r>
            <w:r>
              <w:rPr>
                <w:rFonts w:hint="default" w:ascii="Times New Roman" w:hAnsi="Times New Roman" w:eastAsia="Helvetica" w:cs="Times New Roman"/>
                <w:i w:val="0"/>
                <w:iCs w:val="0"/>
                <w:caps w:val="0"/>
                <w:color w:val="000000"/>
                <w:spacing w:val="0"/>
                <w:sz w:val="24"/>
                <w:szCs w:val="24"/>
                <w:shd w:val="clear" w:fill="FFFFFF"/>
              </w:rPr>
              <w:t>"</w:t>
            </w:r>
            <w:r>
              <w:rPr>
                <w:rFonts w:hint="default" w:ascii="Times New Roman" w:hAnsi="Times New Roman" w:eastAsia="宋体" w:cs="Times New Roman"/>
                <w:i w:val="0"/>
                <w:iCs w:val="0"/>
                <w:caps w:val="0"/>
                <w:color w:val="000000"/>
                <w:spacing w:val="0"/>
                <w:sz w:val="24"/>
                <w:szCs w:val="24"/>
                <w:shd w:val="clear" w:fill="FFFFFF"/>
                <w:lang w:eastAsia="zh-CN"/>
              </w:rPr>
              <w:t>，</w:t>
            </w:r>
            <w:r>
              <w:rPr>
                <w:rFonts w:hint="eastAsia" w:ascii="Times New Roman" w:hAnsi="Times New Roman" w:cs="Times New Roman"/>
                <w:color w:val="auto"/>
                <w:sz w:val="24"/>
                <w:szCs w:val="24"/>
                <w:lang w:val="en-US" w:eastAsia="zh-CN"/>
              </w:rPr>
              <w:t>企业员工人数为8人，生产制度为两班制（每班12h），全年工作330天，共计7920h，</w:t>
            </w:r>
            <w:r>
              <w:rPr>
                <w:rFonts w:hint="default" w:ascii="Times New Roman" w:hAnsi="Times New Roman" w:eastAsia="宋体" w:cs="Times New Roman"/>
                <w:i w:val="0"/>
                <w:iCs w:val="0"/>
                <w:caps w:val="0"/>
                <w:color w:val="000000"/>
                <w:spacing w:val="0"/>
                <w:sz w:val="24"/>
                <w:szCs w:val="24"/>
                <w:shd w:val="clear" w:fill="FFFFFF"/>
                <w:lang w:val="en-US" w:eastAsia="zh-CN"/>
              </w:rPr>
              <w:t>公司</w:t>
            </w:r>
            <w:r>
              <w:rPr>
                <w:rFonts w:hint="default" w:ascii="Times New Roman" w:hAnsi="Times New Roman" w:cs="Times New Roman"/>
                <w:color w:val="auto"/>
                <w:sz w:val="24"/>
                <w:szCs w:val="24"/>
                <w:lang w:eastAsia="zh-CN"/>
              </w:rPr>
              <w:t>租赁安徽中鑫宏伟科技有限公司1＃综合厂房二楼东南侧</w:t>
            </w:r>
            <w:r>
              <w:rPr>
                <w:rFonts w:hint="eastAsia" w:ascii="Times New Roman" w:hAnsi="Times New Roman" w:cs="Times New Roman"/>
                <w:color w:val="auto"/>
                <w:sz w:val="24"/>
                <w:szCs w:val="24"/>
                <w:lang w:val="en-US" w:eastAsia="zh-CN"/>
              </w:rPr>
              <w:t>建筑面积3500m</w:t>
            </w:r>
            <w:r>
              <w:rPr>
                <w:rFonts w:hint="eastAsia" w:ascii="Times New Roman" w:hAnsi="Times New Roman" w:cs="Times New Roman"/>
                <w:color w:val="auto"/>
                <w:sz w:val="24"/>
                <w:szCs w:val="24"/>
                <w:vertAlign w:val="superscript"/>
                <w:lang w:val="en-US" w:eastAsia="zh-CN"/>
              </w:rPr>
              <w:t>2</w:t>
            </w:r>
            <w:r>
              <w:rPr>
                <w:rFonts w:hint="default" w:ascii="Times New Roman" w:hAnsi="Times New Roman" w:cs="Times New Roman"/>
                <w:sz w:val="24"/>
                <w:szCs w:val="24"/>
                <w:lang w:val="en-US" w:eastAsia="zh-CN"/>
              </w:rPr>
              <w:t>作为生产及办公场所</w:t>
            </w:r>
            <w:r>
              <w:t>，</w:t>
            </w:r>
            <w:r>
              <w:rPr>
                <w:rFonts w:hint="default" w:ascii="Times New Roman" w:hAnsi="Times New Roman" w:cs="Times New Roman"/>
                <w:color w:val="auto"/>
                <w:sz w:val="24"/>
                <w:szCs w:val="24"/>
                <w:lang w:val="en-US" w:eastAsia="zh-CN"/>
              </w:rPr>
              <w:t>投资</w:t>
            </w:r>
            <w:r>
              <w:rPr>
                <w:rFonts w:hint="eastAsia" w:ascii="Times New Roman" w:hAnsi="Times New Roman" w:cs="Times New Roman"/>
                <w:color w:val="auto"/>
                <w:sz w:val="24"/>
                <w:szCs w:val="24"/>
                <w:lang w:val="en-US" w:eastAsia="zh-CN"/>
              </w:rPr>
              <w:t>500</w:t>
            </w:r>
            <w:r>
              <w:rPr>
                <w:rFonts w:hint="default" w:ascii="Times New Roman" w:hAnsi="Times New Roman" w:cs="Times New Roman"/>
                <w:color w:val="auto"/>
                <w:sz w:val="24"/>
                <w:szCs w:val="24"/>
                <w:lang w:val="en-US" w:eastAsia="zh-CN"/>
              </w:rPr>
              <w:t>万</w:t>
            </w:r>
            <w:r>
              <w:rPr>
                <w:rFonts w:hint="default" w:ascii="Times New Roman" w:hAnsi="Times New Roman" w:cs="Times New Roman"/>
                <w:color w:val="auto"/>
                <w:sz w:val="24"/>
                <w:szCs w:val="24"/>
                <w:lang w:eastAsia="zh-CN"/>
              </w:rPr>
              <w:t>购置熔蜡机、搅拌机、挤压机等设施设备，建设</w:t>
            </w:r>
            <w:r>
              <w:rPr>
                <w:rFonts w:hint="eastAsia" w:ascii="Times New Roman" w:hAnsi="Times New Roman" w:cs="Times New Roman"/>
                <w:color w:val="auto"/>
                <w:sz w:val="24"/>
                <w:szCs w:val="24"/>
                <w:lang w:val="en-US" w:eastAsia="zh-CN"/>
              </w:rPr>
              <w:t>废塑料综合利用</w:t>
            </w:r>
            <w:r>
              <w:rPr>
                <w:rFonts w:hint="default" w:ascii="Times New Roman" w:hAnsi="Times New Roman" w:cs="Times New Roman"/>
                <w:color w:val="auto"/>
                <w:sz w:val="24"/>
                <w:szCs w:val="24"/>
                <w:lang w:eastAsia="zh-CN"/>
              </w:rPr>
              <w:t>生产线3条，配套相应的环保工程、公用工程，</w:t>
            </w:r>
            <w:r>
              <w:rPr>
                <w:rFonts w:hint="eastAsia" w:ascii="Times New Roman" w:hAnsi="Times New Roman" w:cs="Times New Roman"/>
                <w:color w:val="auto"/>
                <w:sz w:val="24"/>
                <w:szCs w:val="24"/>
                <w:lang w:val="en-US" w:eastAsia="zh-CN"/>
              </w:rPr>
              <w:t>建成后可实现</w:t>
            </w:r>
            <w:r>
              <w:rPr>
                <w:rFonts w:hint="default" w:ascii="Times New Roman" w:hAnsi="Times New Roman" w:cs="Times New Roman"/>
                <w:color w:val="auto"/>
                <w:sz w:val="24"/>
                <w:szCs w:val="24"/>
                <w:lang w:eastAsia="zh-CN"/>
              </w:rPr>
              <w:t>年产聚乙烯蜡</w:t>
            </w:r>
            <w:r>
              <w:rPr>
                <w:rFonts w:hint="eastAsia" w:ascii="Times New Roman" w:hAnsi="Times New Roman" w:cs="Times New Roman"/>
                <w:color w:val="auto"/>
                <w:sz w:val="24"/>
                <w:szCs w:val="24"/>
                <w:lang w:val="en-US" w:eastAsia="zh-CN"/>
              </w:rPr>
              <w:t>颗粒</w:t>
            </w:r>
            <w:r>
              <w:rPr>
                <w:rFonts w:hint="default" w:ascii="Times New Roman" w:hAnsi="Times New Roman" w:cs="Times New Roman"/>
                <w:color w:val="auto"/>
                <w:sz w:val="24"/>
                <w:szCs w:val="24"/>
                <w:lang w:eastAsia="zh-CN"/>
              </w:rPr>
              <w:t>5000吨</w:t>
            </w:r>
            <w:r>
              <w:rPr>
                <w:rFonts w:hint="eastAsia" w:ascii="Times New Roman" w:hAnsi="Times New Roman" w:cs="Times New Roman"/>
                <w:color w:val="auto"/>
                <w:sz w:val="24"/>
                <w:szCs w:val="24"/>
                <w:lang w:val="en-US" w:eastAsia="zh-CN"/>
              </w:rPr>
              <w:t>的生产规模</w:t>
            </w:r>
            <w:r>
              <w:rPr>
                <w:rFonts w:hint="default" w:ascii="Times New Roman" w:hAnsi="Times New Roman" w:cs="Times New Roman"/>
                <w:color w:val="auto"/>
                <w:sz w:val="24"/>
                <w:szCs w:val="24"/>
                <w:lang w:eastAsia="zh-CN"/>
              </w:rPr>
              <w:t>。</w:t>
            </w:r>
          </w:p>
          <w:p>
            <w:pPr>
              <w:pStyle w:val="28"/>
              <w:keepNext w:val="0"/>
              <w:keepLines w:val="0"/>
              <w:pageBreakBefore w:val="0"/>
              <w:widowControl w:val="0"/>
              <w:suppressLineNumbers w:val="0"/>
              <w:tabs>
                <w:tab w:val="left" w:pos="828"/>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s="Times New Roman"/>
                <w:color w:val="auto"/>
                <w:sz w:val="24"/>
                <w:lang w:val="en-US" w:eastAsia="zh-CN"/>
              </w:rPr>
            </w:pPr>
            <w:r>
              <w:rPr>
                <w:rFonts w:hint="eastAsia" w:cs="Times New Roman"/>
                <w:color w:val="auto"/>
                <w:sz w:val="24"/>
                <w:lang w:val="en-US" w:eastAsia="zh-CN"/>
              </w:rPr>
              <w:t>2、租赁厂区环保手续情况</w:t>
            </w:r>
          </w:p>
          <w:p>
            <w:pPr>
              <w:pStyle w:val="28"/>
              <w:keepNext w:val="0"/>
              <w:keepLines w:val="0"/>
              <w:pageBreakBefore w:val="0"/>
              <w:widowControl w:val="0"/>
              <w:suppressLineNumbers w:val="0"/>
              <w:tabs>
                <w:tab w:val="left" w:pos="828"/>
              </w:tabs>
              <w:kinsoku/>
              <w:wordWrap/>
              <w:overflowPunct/>
              <w:topLinePunct w:val="0"/>
              <w:autoSpaceDE/>
              <w:autoSpaceDN/>
              <w:bidi w:val="0"/>
              <w:adjustRightInd/>
              <w:snapToGrid/>
              <w:spacing w:before="0" w:beforeAutospacing="0" w:after="0" w:afterAutospacing="0" w:line="360" w:lineRule="auto"/>
              <w:ind w:right="0"/>
              <w:jc w:val="both"/>
              <w:textAlignment w:val="auto"/>
              <w:rPr>
                <w:rFonts w:hint="default" w:cs="Times New Roman"/>
                <w:color w:val="auto"/>
                <w:sz w:val="24"/>
                <w:lang w:val="en-US" w:eastAsia="zh-CN"/>
              </w:rPr>
            </w:pPr>
            <w:r>
              <w:rPr>
                <w:rFonts w:hint="default" w:cs="Times New Roman"/>
                <w:color w:val="auto"/>
                <w:sz w:val="24"/>
                <w:lang w:val="en-US" w:eastAsia="zh-CN"/>
              </w:rPr>
              <w:t>《安徽中鑫宏伟科技有限公司工程用聚酰胺尼龙复合材料项目环境影响报告表》已于2020年8月4日通过环评审批(批复文号:金环审【2020]39号)，并于2022年1月通过环保验收，2022年1月13日编制并报送了《安徽中鑫宏伟科技有限公司突发环境事件应急预案》，于2022年1月15日经六安市金寨县生态环境分局备案(备案编号:342426-2022-001-2)，已于2022年5月取得了排污许可证</w:t>
            </w:r>
            <w:r>
              <w:rPr>
                <w:rFonts w:hint="eastAsia" w:cs="Times New Roman"/>
                <w:color w:val="auto"/>
                <w:sz w:val="24"/>
                <w:lang w:val="en-US" w:eastAsia="zh-CN"/>
              </w:rPr>
              <w:t>。</w:t>
            </w:r>
          </w:p>
        </w:tc>
      </w:tr>
    </w:tbl>
    <w:p>
      <w:pPr>
        <w:pStyle w:val="32"/>
        <w:jc w:val="both"/>
        <w:rPr>
          <w:rFonts w:hint="default" w:ascii="Times New Roman" w:hAnsi="Times New Roman" w:cs="Times New Roman"/>
          <w:snapToGrid w:val="0"/>
          <w:color w:val="auto"/>
          <w:sz w:val="36"/>
          <w:szCs w:val="36"/>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pPr>
        <w:pStyle w:val="32"/>
        <w:adjustRightInd w:val="0"/>
        <w:snapToGrid w:val="0"/>
        <w:spacing w:before="0" w:beforeAutospacing="0" w:after="0" w:afterAutospacing="0" w:line="14" w:lineRule="auto"/>
        <w:jc w:val="center"/>
        <w:rPr>
          <w:rFonts w:hint="default" w:ascii="Times New Roman" w:hAnsi="Times New Roman" w:cs="Times New Roman"/>
          <w:snapToGrid w:val="0"/>
          <w:color w:val="auto"/>
          <w:sz w:val="30"/>
          <w:szCs w:val="30"/>
        </w:rPr>
      </w:pPr>
    </w:p>
    <w:p>
      <w:pPr>
        <w:pStyle w:val="32"/>
        <w:spacing w:before="0" w:beforeAutospacing="0" w:after="0" w:afterAutospacing="0" w:line="360" w:lineRule="auto"/>
        <w:jc w:val="center"/>
        <w:outlineLvl w:val="0"/>
        <w:rPr>
          <w:rFonts w:hint="default" w:ascii="Times New Roman" w:hAnsi="Times New Roman" w:eastAsia="黑体" w:cs="Times New Roman"/>
          <w:snapToGrid w:val="0"/>
          <w:color w:val="auto"/>
          <w:sz w:val="30"/>
          <w:szCs w:val="30"/>
        </w:rPr>
      </w:pPr>
      <w:bookmarkStart w:id="15" w:name="_Toc32519"/>
      <w:r>
        <w:rPr>
          <w:rFonts w:hint="default" w:ascii="Times New Roman" w:hAnsi="Times New Roman" w:eastAsia="黑体" w:cs="Times New Roman"/>
          <w:snapToGrid w:val="0"/>
          <w:color w:val="auto"/>
          <w:sz w:val="30"/>
          <w:szCs w:val="30"/>
        </w:rPr>
        <w:t>三、区域环境质量现状、环境保护目标及评价标准</w:t>
      </w:r>
      <w:bookmarkEnd w:id="15"/>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6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63" w:hRule="atLeast"/>
          <w:jc w:val="center"/>
        </w:trPr>
        <w:tc>
          <w:tcPr>
            <w:tcW w:w="457" w:type="dxa"/>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区域</w:t>
            </w:r>
          </w:p>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w:t>
            </w:r>
          </w:p>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质量</w:t>
            </w:r>
          </w:p>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b/>
                <w:bCs/>
                <w:color w:val="auto"/>
                <w:kern w:val="0"/>
                <w:sz w:val="24"/>
              </w:rPr>
              <w:t>现状</w:t>
            </w:r>
          </w:p>
        </w:tc>
        <w:tc>
          <w:tcPr>
            <w:tcW w:w="860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textAlignment w:val="auto"/>
              <w:rPr>
                <w:b/>
                <w:bCs/>
                <w:color w:val="auto"/>
                <w:sz w:val="24"/>
                <w:szCs w:val="32"/>
              </w:rPr>
            </w:pPr>
            <w:r>
              <w:rPr>
                <w:rFonts w:hint="default" w:ascii="Times New Roman" w:hAnsi="Times New Roman" w:cs="Times New Roman"/>
                <w:b/>
                <w:bCs/>
                <w:color w:val="auto"/>
                <w:sz w:val="24"/>
                <w:szCs w:val="24"/>
              </w:rPr>
              <w:t>1、大气环境</w:t>
            </w:r>
            <w:r>
              <w:rPr>
                <w:rFonts w:hint="default" w:ascii="Times New Roman" w:hAnsi="Times New Roman" w:cs="Times New Roman"/>
                <w:b/>
                <w:bCs/>
                <w:color w:val="auto"/>
                <w:sz w:val="24"/>
                <w:szCs w:val="24"/>
                <w:lang w:eastAsia="zh-CN"/>
              </w:rPr>
              <w:t>质量现状调查</w:t>
            </w:r>
          </w:p>
          <w:p>
            <w:pPr>
              <w:pStyle w:val="62"/>
              <w:keepNext w:val="0"/>
              <w:keepLines w:val="0"/>
              <w:pageBreakBefore w:val="0"/>
              <w:widowControl w:val="0"/>
              <w:kinsoku/>
              <w:wordWrap/>
              <w:overflowPunct/>
              <w:topLinePunct w:val="0"/>
              <w:autoSpaceDE/>
              <w:autoSpaceDN/>
              <w:bidi w:val="0"/>
              <w:adjustRightInd/>
              <w:snapToGrid/>
              <w:spacing w:line="348" w:lineRule="auto"/>
              <w:ind w:firstLine="481" w:firstLineChars="200"/>
              <w:textAlignment w:val="auto"/>
              <w:rPr>
                <w:rFonts w:hint="eastAsia" w:eastAsia="宋体"/>
                <w:b/>
                <w:bCs/>
                <w:color w:val="auto"/>
                <w:lang w:eastAsia="zh-CN"/>
              </w:rPr>
            </w:pPr>
            <w:r>
              <w:rPr>
                <w:rFonts w:hint="eastAsia"/>
                <w:b/>
                <w:bCs/>
                <w:color w:val="auto"/>
              </w:rPr>
              <w:t>（</w:t>
            </w:r>
            <w:r>
              <w:rPr>
                <w:rFonts w:hint="eastAsia"/>
                <w:b/>
                <w:bCs/>
                <w:color w:val="auto"/>
                <w:lang w:val="en-US" w:eastAsia="zh-CN"/>
              </w:rPr>
              <w:t>1</w:t>
            </w:r>
            <w:r>
              <w:rPr>
                <w:rFonts w:hint="eastAsia"/>
                <w:b/>
                <w:bCs/>
                <w:color w:val="auto"/>
              </w:rPr>
              <w:t>）</w:t>
            </w:r>
            <w:r>
              <w:rPr>
                <w:rFonts w:hint="eastAsia"/>
                <w:b/>
                <w:bCs/>
                <w:color w:val="auto"/>
                <w:lang w:eastAsia="zh-CN"/>
              </w:rPr>
              <w:t>达标区判断</w:t>
            </w:r>
          </w:p>
          <w:p>
            <w:pPr>
              <w:keepNext w:val="0"/>
              <w:keepLines w:val="0"/>
              <w:pageBreakBefore w:val="0"/>
              <w:kinsoku/>
              <w:wordWrap/>
              <w:topLinePunct w:val="0"/>
              <w:autoSpaceDE/>
              <w:autoSpaceDN/>
              <w:bidi w:val="0"/>
              <w:adjustRightInd/>
              <w:snapToGrid/>
              <w:spacing w:line="360" w:lineRule="auto"/>
              <w:ind w:firstLine="480" w:firstLineChars="200"/>
              <w:jc w:val="left"/>
              <w:textAlignment w:val="auto"/>
              <w:rPr>
                <w:color w:val="auto"/>
                <w:sz w:val="24"/>
                <w:szCs w:val="32"/>
              </w:rPr>
            </w:pPr>
            <w:r>
              <w:rPr>
                <w:color w:val="auto"/>
                <w:sz w:val="24"/>
                <w:szCs w:val="32"/>
              </w:rPr>
              <w:t>根据《环境影响评价技术导则大气环境》（HJ2.2-2018），项目所在区域达标情况判定优先采用国家或地方生态环境主管部门公开发布的环境质量公告或环境质量报告中的数据或结论。</w:t>
            </w:r>
          </w:p>
          <w:p>
            <w:pPr>
              <w:keepNext w:val="0"/>
              <w:keepLines w:val="0"/>
              <w:pageBreakBefore w:val="0"/>
              <w:kinsoku/>
              <w:wordWrap/>
              <w:topLinePunct w:val="0"/>
              <w:autoSpaceDE/>
              <w:autoSpaceDN/>
              <w:bidi w:val="0"/>
              <w:adjustRightInd/>
              <w:snapToGrid/>
              <w:spacing w:line="360" w:lineRule="auto"/>
              <w:ind w:firstLine="480" w:firstLineChars="200"/>
              <w:jc w:val="left"/>
              <w:textAlignment w:val="auto"/>
              <w:rPr>
                <w:color w:val="auto"/>
                <w:sz w:val="24"/>
                <w:szCs w:val="32"/>
              </w:rPr>
            </w:pPr>
            <w:r>
              <w:rPr>
                <w:color w:val="auto"/>
                <w:sz w:val="24"/>
                <w:szCs w:val="32"/>
              </w:rPr>
              <w:t>本项目环境空气执行《环境空气质量标准》（GB3095-2012）二级标准。本次评价选用《</w:t>
            </w:r>
            <w:r>
              <w:rPr>
                <w:rFonts w:hint="eastAsia"/>
                <w:color w:val="auto"/>
                <w:sz w:val="24"/>
                <w:szCs w:val="32"/>
              </w:rPr>
              <w:t>2024年金寨县环境质量年报</w:t>
            </w:r>
            <w:r>
              <w:rPr>
                <w:color w:val="auto"/>
                <w:sz w:val="24"/>
                <w:szCs w:val="32"/>
              </w:rPr>
              <w:t>》，对项目区域的环境质量现状进行评价。</w:t>
            </w:r>
          </w:p>
          <w:p>
            <w:pPr>
              <w:keepNext w:val="0"/>
              <w:keepLines w:val="0"/>
              <w:pageBreakBefore w:val="0"/>
              <w:kinsoku/>
              <w:wordWrap/>
              <w:overflowPunct w:val="0"/>
              <w:topLinePunct w:val="0"/>
              <w:autoSpaceDE/>
              <w:autoSpaceDN/>
              <w:bidi w:val="0"/>
              <w:adjustRightInd/>
              <w:snapToGrid/>
              <w:spacing w:line="360" w:lineRule="auto"/>
              <w:ind w:left="-105" w:leftChars="-50" w:right="-105" w:rightChars="-50" w:firstLine="480" w:firstLineChars="200"/>
              <w:jc w:val="left"/>
              <w:textAlignment w:val="auto"/>
              <w:rPr>
                <w:rFonts w:hint="default" w:ascii="Times New Roman" w:hAnsi="Times New Roman" w:cs="Times New Roman"/>
                <w:color w:val="auto"/>
                <w:sz w:val="24"/>
                <w:szCs w:val="32"/>
              </w:rPr>
            </w:pPr>
            <w:r>
              <w:rPr>
                <w:rFonts w:hint="eastAsia"/>
                <w:color w:val="auto"/>
                <w:sz w:val="24"/>
                <w:szCs w:val="32"/>
              </w:rPr>
              <w:t>202</w:t>
            </w:r>
            <w:r>
              <w:rPr>
                <w:rFonts w:hint="eastAsia"/>
                <w:color w:val="auto"/>
                <w:sz w:val="24"/>
                <w:szCs w:val="32"/>
                <w:lang w:val="en-US" w:eastAsia="zh-CN"/>
              </w:rPr>
              <w:t>4</w:t>
            </w:r>
            <w:r>
              <w:rPr>
                <w:rFonts w:hint="eastAsia"/>
                <w:color w:val="auto"/>
                <w:sz w:val="24"/>
                <w:szCs w:val="32"/>
              </w:rPr>
              <w:t>年</w:t>
            </w:r>
            <w:r>
              <w:rPr>
                <w:rFonts w:hint="eastAsia"/>
                <w:color w:val="auto"/>
                <w:sz w:val="24"/>
                <w:szCs w:val="32"/>
                <w:lang w:eastAsia="zh-CN"/>
              </w:rPr>
              <w:t>金寨县</w:t>
            </w:r>
            <w:r>
              <w:rPr>
                <w:rFonts w:hint="eastAsia"/>
                <w:color w:val="auto"/>
                <w:sz w:val="24"/>
                <w:szCs w:val="32"/>
              </w:rPr>
              <w:t>区环境空气质量达标天数比例为</w:t>
            </w:r>
            <w:r>
              <w:rPr>
                <w:rFonts w:hint="eastAsia"/>
                <w:color w:val="auto"/>
                <w:sz w:val="24"/>
                <w:szCs w:val="32"/>
                <w:lang w:val="en-US" w:eastAsia="zh-CN"/>
              </w:rPr>
              <w:t>91.8</w:t>
            </w:r>
            <w:r>
              <w:rPr>
                <w:rFonts w:hint="eastAsia"/>
                <w:color w:val="auto"/>
                <w:sz w:val="24"/>
                <w:szCs w:val="32"/>
              </w:rPr>
              <w:t>%。可吸入颗粒物（PM</w:t>
            </w:r>
            <w:r>
              <w:rPr>
                <w:rFonts w:hint="eastAsia"/>
                <w:color w:val="auto"/>
                <w:sz w:val="24"/>
                <w:szCs w:val="32"/>
                <w:vertAlign w:val="subscript"/>
              </w:rPr>
              <w:t>10</w:t>
            </w:r>
            <w:r>
              <w:rPr>
                <w:rFonts w:hint="eastAsia"/>
                <w:color w:val="auto"/>
                <w:sz w:val="24"/>
                <w:szCs w:val="32"/>
              </w:rPr>
              <w:t>）、细颗粒物（PM</w:t>
            </w:r>
            <w:r>
              <w:rPr>
                <w:rFonts w:hint="eastAsia"/>
                <w:color w:val="auto"/>
                <w:sz w:val="24"/>
                <w:szCs w:val="32"/>
                <w:vertAlign w:val="subscript"/>
              </w:rPr>
              <w:t>2.5</w:t>
            </w:r>
            <w:r>
              <w:rPr>
                <w:rFonts w:hint="eastAsia"/>
                <w:color w:val="auto"/>
                <w:sz w:val="24"/>
                <w:szCs w:val="32"/>
              </w:rPr>
              <w:t>）、二氧化硫和二氧化氮年平均浓度分别为</w:t>
            </w:r>
            <w:r>
              <w:rPr>
                <w:rFonts w:hint="eastAsia"/>
                <w:color w:val="auto"/>
                <w:sz w:val="24"/>
                <w:szCs w:val="32"/>
                <w:lang w:val="en-US" w:eastAsia="zh-CN"/>
              </w:rPr>
              <w:t>49</w:t>
            </w:r>
            <w:r>
              <w:rPr>
                <w:rFonts w:hint="eastAsia"/>
                <w:color w:val="auto"/>
                <w:sz w:val="24"/>
                <w:szCs w:val="32"/>
              </w:rPr>
              <w:t>微克/立方米、</w:t>
            </w:r>
            <w:r>
              <w:rPr>
                <w:rFonts w:hint="eastAsia"/>
                <w:color w:val="auto"/>
                <w:sz w:val="24"/>
                <w:szCs w:val="32"/>
                <w:lang w:val="en-US" w:eastAsia="zh-CN"/>
              </w:rPr>
              <w:t>31</w:t>
            </w:r>
            <w:r>
              <w:rPr>
                <w:rFonts w:hint="eastAsia"/>
                <w:color w:val="auto"/>
                <w:sz w:val="24"/>
                <w:szCs w:val="32"/>
              </w:rPr>
              <w:t>微克/立方米、</w:t>
            </w:r>
            <w:r>
              <w:rPr>
                <w:rFonts w:hint="eastAsia"/>
                <w:color w:val="auto"/>
                <w:sz w:val="24"/>
                <w:szCs w:val="32"/>
                <w:lang w:val="en-US" w:eastAsia="zh-CN"/>
              </w:rPr>
              <w:t>5</w:t>
            </w:r>
            <w:r>
              <w:rPr>
                <w:rFonts w:hint="eastAsia"/>
                <w:color w:val="auto"/>
                <w:sz w:val="24"/>
                <w:szCs w:val="32"/>
              </w:rPr>
              <w:t>微克/立方米和1</w:t>
            </w:r>
            <w:r>
              <w:rPr>
                <w:rFonts w:hint="eastAsia"/>
                <w:color w:val="auto"/>
                <w:sz w:val="24"/>
                <w:szCs w:val="32"/>
                <w:lang w:val="en-US" w:eastAsia="zh-CN"/>
              </w:rPr>
              <w:t>5</w:t>
            </w:r>
            <w:r>
              <w:rPr>
                <w:rFonts w:hint="eastAsia"/>
                <w:color w:val="auto"/>
                <w:sz w:val="24"/>
                <w:szCs w:val="32"/>
              </w:rPr>
              <w:t>微克/立方米，一氧化碳统计浓度为0.8</w:t>
            </w:r>
            <w:r>
              <w:rPr>
                <w:rFonts w:hint="default" w:ascii="Times New Roman" w:hAnsi="Times New Roman" w:cs="Times New Roman"/>
                <w:color w:val="auto"/>
                <w:sz w:val="24"/>
                <w:szCs w:val="32"/>
              </w:rPr>
              <w:t>毫克/立方米，臭氧统计浓度为1</w:t>
            </w:r>
            <w:r>
              <w:rPr>
                <w:rFonts w:hint="eastAsia" w:ascii="Times New Roman" w:hAnsi="Times New Roman" w:cs="Times New Roman"/>
                <w:color w:val="auto"/>
                <w:sz w:val="24"/>
                <w:szCs w:val="32"/>
                <w:lang w:val="en-US" w:eastAsia="zh-CN"/>
              </w:rPr>
              <w:t>38</w:t>
            </w:r>
            <w:r>
              <w:rPr>
                <w:rFonts w:hint="default" w:ascii="Times New Roman" w:hAnsi="Times New Roman" w:cs="Times New Roman"/>
                <w:color w:val="auto"/>
                <w:sz w:val="24"/>
                <w:szCs w:val="32"/>
              </w:rPr>
              <w:t>微克/立方米。</w:t>
            </w:r>
          </w:p>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32"/>
                <w:lang w:val="en-US" w:eastAsia="zh-CN" w:bidi="ar-SA"/>
              </w:rPr>
            </w:pPr>
            <w:r>
              <w:rPr>
                <w:rFonts w:hint="default" w:ascii="Times New Roman" w:hAnsi="Times New Roman" w:eastAsia="宋体" w:cs="Times New Roman"/>
                <w:color w:val="auto"/>
                <w:kern w:val="2"/>
                <w:sz w:val="24"/>
                <w:szCs w:val="32"/>
                <w:lang w:val="en-US" w:eastAsia="zh-CN" w:bidi="ar-SA"/>
              </w:rPr>
              <w:t>与上年相比，空气质量优良天数比例上升0.3个百分点。臭氧日最大8小时平均第90百分位数、细颗粒物等年均浓度分别上升1.5%、3.3%；二氧化硫和可吸入颗粒物、CO日均值第95百分位数年均浓度均有所下降，降幅分别为16.7%、12.5%和11.1%；二氧化氮无变化。</w:t>
            </w:r>
          </w:p>
          <w:p>
            <w:pPr>
              <w:pStyle w:val="41"/>
              <w:ind w:firstLine="422"/>
              <w:rPr>
                <w:rFonts w:eastAsia="宋体"/>
                <w:color w:val="auto"/>
              </w:rPr>
            </w:pPr>
            <w:r>
              <w:rPr>
                <w:rFonts w:eastAsia="宋体"/>
                <w:color w:val="auto"/>
                <w:sz w:val="24"/>
                <w:szCs w:val="24"/>
              </w:rPr>
              <w:t>表3</w:t>
            </w:r>
            <w:r>
              <w:rPr>
                <w:rFonts w:hint="eastAsia" w:eastAsia="宋体"/>
                <w:color w:val="auto"/>
                <w:sz w:val="24"/>
                <w:szCs w:val="24"/>
                <w:lang w:val="en-US" w:eastAsia="zh-CN"/>
              </w:rPr>
              <w:t>.</w:t>
            </w:r>
            <w:r>
              <w:rPr>
                <w:rFonts w:eastAsia="宋体"/>
                <w:color w:val="auto"/>
                <w:sz w:val="24"/>
                <w:szCs w:val="24"/>
              </w:rPr>
              <w:t>1基本污染物环境质量现状</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2311"/>
              <w:gridCol w:w="1503"/>
              <w:gridCol w:w="1393"/>
              <w:gridCol w:w="1059"/>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1379"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评价指标</w:t>
                  </w:r>
                </w:p>
              </w:tc>
              <w:tc>
                <w:tcPr>
                  <w:tcW w:w="897"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现状浓度</w:t>
                  </w:r>
                </w:p>
              </w:tc>
              <w:tc>
                <w:tcPr>
                  <w:tcW w:w="831"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标准值</w:t>
                  </w:r>
                </w:p>
              </w:tc>
              <w:tc>
                <w:tcPr>
                  <w:tcW w:w="632"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占标率</w:t>
                  </w:r>
                </w:p>
              </w:tc>
              <w:tc>
                <w:tcPr>
                  <w:tcW w:w="717"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1379"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年平均浓度</w:t>
                  </w:r>
                </w:p>
              </w:tc>
              <w:tc>
                <w:tcPr>
                  <w:tcW w:w="897"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µg/m</w:t>
                  </w:r>
                  <w:r>
                    <w:rPr>
                      <w:rFonts w:hint="default" w:ascii="Times New Roman" w:hAnsi="Times New Roman" w:cs="Times New Roman"/>
                      <w:color w:val="auto"/>
                      <w:sz w:val="21"/>
                      <w:szCs w:val="21"/>
                      <w:vertAlign w:val="superscript"/>
                    </w:rPr>
                    <w:t>3</w:t>
                  </w:r>
                </w:p>
              </w:tc>
              <w:tc>
                <w:tcPr>
                  <w:tcW w:w="831"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60µg/m</w:t>
                  </w:r>
                  <w:r>
                    <w:rPr>
                      <w:rFonts w:hint="default" w:ascii="Times New Roman" w:hAnsi="Times New Roman" w:cs="Times New Roman"/>
                      <w:color w:val="auto"/>
                      <w:sz w:val="21"/>
                      <w:szCs w:val="21"/>
                      <w:vertAlign w:val="superscript"/>
                    </w:rPr>
                    <w:t>3</w:t>
                  </w:r>
                </w:p>
              </w:tc>
              <w:tc>
                <w:tcPr>
                  <w:tcW w:w="63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8.33</w:t>
                  </w:r>
                  <w:r>
                    <w:rPr>
                      <w:rFonts w:hint="default" w:ascii="Times New Roman" w:hAnsi="Times New Roman" w:cs="Times New Roman"/>
                      <w:color w:val="auto"/>
                      <w:sz w:val="21"/>
                      <w:szCs w:val="21"/>
                    </w:rPr>
                    <w:t>%</w:t>
                  </w:r>
                </w:p>
              </w:tc>
              <w:tc>
                <w:tcPr>
                  <w:tcW w:w="717"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p>
              </w:tc>
              <w:tc>
                <w:tcPr>
                  <w:tcW w:w="1379"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年平均浓度</w:t>
                  </w:r>
                </w:p>
              </w:tc>
              <w:tc>
                <w:tcPr>
                  <w:tcW w:w="897"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15</w:t>
                  </w:r>
                  <w:r>
                    <w:rPr>
                      <w:rFonts w:hint="default" w:ascii="Times New Roman" w:hAnsi="Times New Roman" w:cs="Times New Roman"/>
                      <w:color w:val="auto"/>
                      <w:sz w:val="21"/>
                      <w:szCs w:val="21"/>
                    </w:rPr>
                    <w:t>µg/m</w:t>
                  </w:r>
                  <w:r>
                    <w:rPr>
                      <w:rFonts w:hint="default" w:ascii="Times New Roman" w:hAnsi="Times New Roman" w:cs="Times New Roman"/>
                      <w:color w:val="auto"/>
                      <w:sz w:val="21"/>
                      <w:szCs w:val="21"/>
                      <w:vertAlign w:val="superscript"/>
                    </w:rPr>
                    <w:t>3</w:t>
                  </w:r>
                </w:p>
              </w:tc>
              <w:tc>
                <w:tcPr>
                  <w:tcW w:w="831"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40µg/m</w:t>
                  </w:r>
                  <w:r>
                    <w:rPr>
                      <w:rFonts w:hint="default" w:ascii="Times New Roman" w:hAnsi="Times New Roman" w:cs="Times New Roman"/>
                      <w:color w:val="auto"/>
                      <w:sz w:val="21"/>
                      <w:szCs w:val="21"/>
                      <w:vertAlign w:val="superscript"/>
                    </w:rPr>
                    <w:t>3</w:t>
                  </w:r>
                </w:p>
              </w:tc>
              <w:tc>
                <w:tcPr>
                  <w:tcW w:w="63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37.5</w:t>
                  </w:r>
                  <w:r>
                    <w:rPr>
                      <w:rFonts w:hint="default" w:ascii="Times New Roman" w:hAnsi="Times New Roman" w:cs="Times New Roman"/>
                      <w:color w:val="auto"/>
                      <w:sz w:val="21"/>
                      <w:szCs w:val="21"/>
                    </w:rPr>
                    <w:t>%</w:t>
                  </w:r>
                </w:p>
              </w:tc>
              <w:tc>
                <w:tcPr>
                  <w:tcW w:w="717"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p>
              </w:tc>
              <w:tc>
                <w:tcPr>
                  <w:tcW w:w="1379"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年平均浓度</w:t>
                  </w:r>
                </w:p>
              </w:tc>
              <w:tc>
                <w:tcPr>
                  <w:tcW w:w="897"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49</w:t>
                  </w:r>
                  <w:r>
                    <w:rPr>
                      <w:rFonts w:hint="default" w:ascii="Times New Roman" w:hAnsi="Times New Roman" w:cs="Times New Roman"/>
                      <w:color w:val="auto"/>
                      <w:sz w:val="21"/>
                      <w:szCs w:val="21"/>
                    </w:rPr>
                    <w:t>µg/m</w:t>
                  </w:r>
                  <w:r>
                    <w:rPr>
                      <w:rFonts w:hint="default" w:ascii="Times New Roman" w:hAnsi="Times New Roman" w:cs="Times New Roman"/>
                      <w:color w:val="auto"/>
                      <w:sz w:val="21"/>
                      <w:szCs w:val="21"/>
                      <w:vertAlign w:val="superscript"/>
                    </w:rPr>
                    <w:t>3</w:t>
                  </w:r>
                </w:p>
              </w:tc>
              <w:tc>
                <w:tcPr>
                  <w:tcW w:w="831"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70µg/m</w:t>
                  </w:r>
                  <w:r>
                    <w:rPr>
                      <w:rFonts w:hint="default" w:ascii="Times New Roman" w:hAnsi="Times New Roman" w:cs="Times New Roman"/>
                      <w:color w:val="auto"/>
                      <w:sz w:val="21"/>
                      <w:szCs w:val="21"/>
                      <w:vertAlign w:val="superscript"/>
                    </w:rPr>
                    <w:t>3</w:t>
                  </w:r>
                </w:p>
              </w:tc>
              <w:tc>
                <w:tcPr>
                  <w:tcW w:w="63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70</w:t>
                  </w:r>
                  <w:r>
                    <w:rPr>
                      <w:rFonts w:hint="default" w:ascii="Times New Roman" w:hAnsi="Times New Roman" w:cs="Times New Roman"/>
                      <w:color w:val="auto"/>
                      <w:sz w:val="21"/>
                      <w:szCs w:val="21"/>
                    </w:rPr>
                    <w:t>%</w:t>
                  </w:r>
                </w:p>
              </w:tc>
              <w:tc>
                <w:tcPr>
                  <w:tcW w:w="717"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p>
              </w:tc>
              <w:tc>
                <w:tcPr>
                  <w:tcW w:w="1379"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年平均浓度</w:t>
                  </w:r>
                </w:p>
              </w:tc>
              <w:tc>
                <w:tcPr>
                  <w:tcW w:w="897"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31</w:t>
                  </w:r>
                  <w:r>
                    <w:rPr>
                      <w:rFonts w:hint="default" w:ascii="Times New Roman" w:hAnsi="Times New Roman" w:cs="Times New Roman"/>
                      <w:color w:val="auto"/>
                      <w:sz w:val="21"/>
                      <w:szCs w:val="21"/>
                    </w:rPr>
                    <w:t>µg/m</w:t>
                  </w:r>
                  <w:r>
                    <w:rPr>
                      <w:rFonts w:hint="default" w:ascii="Times New Roman" w:hAnsi="Times New Roman" w:cs="Times New Roman"/>
                      <w:color w:val="auto"/>
                      <w:sz w:val="21"/>
                      <w:szCs w:val="21"/>
                      <w:vertAlign w:val="superscript"/>
                    </w:rPr>
                    <w:t>3</w:t>
                  </w:r>
                </w:p>
              </w:tc>
              <w:tc>
                <w:tcPr>
                  <w:tcW w:w="831"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35µg/m</w:t>
                  </w:r>
                  <w:r>
                    <w:rPr>
                      <w:rFonts w:hint="default" w:ascii="Times New Roman" w:hAnsi="Times New Roman" w:cs="Times New Roman"/>
                      <w:color w:val="auto"/>
                      <w:sz w:val="21"/>
                      <w:szCs w:val="21"/>
                      <w:vertAlign w:val="superscript"/>
                    </w:rPr>
                    <w:t>3</w:t>
                  </w:r>
                </w:p>
              </w:tc>
              <w:tc>
                <w:tcPr>
                  <w:tcW w:w="63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88.6</w:t>
                  </w:r>
                  <w:r>
                    <w:rPr>
                      <w:rFonts w:hint="default" w:ascii="Times New Roman" w:hAnsi="Times New Roman" w:cs="Times New Roman"/>
                      <w:color w:val="auto"/>
                      <w:sz w:val="21"/>
                      <w:szCs w:val="21"/>
                    </w:rPr>
                    <w:t>%</w:t>
                  </w:r>
                </w:p>
              </w:tc>
              <w:tc>
                <w:tcPr>
                  <w:tcW w:w="717"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1379"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日平均第95百分位数质量浓度</w:t>
                  </w:r>
                </w:p>
              </w:tc>
              <w:tc>
                <w:tcPr>
                  <w:tcW w:w="897"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0.8</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831"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4mg/m</w:t>
                  </w:r>
                  <w:r>
                    <w:rPr>
                      <w:rFonts w:hint="default" w:ascii="Times New Roman" w:hAnsi="Times New Roman" w:cs="Times New Roman"/>
                      <w:color w:val="auto"/>
                      <w:sz w:val="21"/>
                      <w:szCs w:val="21"/>
                      <w:vertAlign w:val="superscript"/>
                    </w:rPr>
                    <w:t>3</w:t>
                  </w:r>
                </w:p>
              </w:tc>
              <w:tc>
                <w:tcPr>
                  <w:tcW w:w="63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.0%</w:t>
                  </w:r>
                </w:p>
              </w:tc>
              <w:tc>
                <w:tcPr>
                  <w:tcW w:w="717"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1379"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最大8h滑动平均第90百分位数质量浓度</w:t>
                  </w:r>
                </w:p>
              </w:tc>
              <w:tc>
                <w:tcPr>
                  <w:tcW w:w="897"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38</w:t>
                  </w:r>
                  <w:r>
                    <w:rPr>
                      <w:rFonts w:hint="default" w:ascii="Times New Roman" w:hAnsi="Times New Roman" w:cs="Times New Roman"/>
                      <w:color w:val="auto"/>
                      <w:sz w:val="21"/>
                      <w:szCs w:val="21"/>
                    </w:rPr>
                    <w:t>µg/m</w:t>
                  </w:r>
                  <w:r>
                    <w:rPr>
                      <w:rFonts w:hint="default" w:ascii="Times New Roman" w:hAnsi="Times New Roman" w:cs="Times New Roman"/>
                      <w:color w:val="auto"/>
                      <w:sz w:val="21"/>
                      <w:szCs w:val="21"/>
                      <w:vertAlign w:val="superscript"/>
                    </w:rPr>
                    <w:t>3</w:t>
                  </w:r>
                </w:p>
              </w:tc>
              <w:tc>
                <w:tcPr>
                  <w:tcW w:w="831"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160µg/m</w:t>
                  </w:r>
                  <w:r>
                    <w:rPr>
                      <w:rFonts w:hint="default" w:ascii="Times New Roman" w:hAnsi="Times New Roman" w:cs="Times New Roman"/>
                      <w:color w:val="auto"/>
                      <w:sz w:val="21"/>
                      <w:szCs w:val="21"/>
                      <w:vertAlign w:val="superscript"/>
                    </w:rPr>
                    <w:t>3</w:t>
                  </w:r>
                </w:p>
              </w:tc>
              <w:tc>
                <w:tcPr>
                  <w:tcW w:w="63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86.25</w:t>
                  </w:r>
                  <w:r>
                    <w:rPr>
                      <w:rFonts w:hint="default" w:ascii="Times New Roman" w:hAnsi="Times New Roman" w:cs="Times New Roman"/>
                      <w:color w:val="auto"/>
                      <w:sz w:val="21"/>
                      <w:szCs w:val="21"/>
                    </w:rPr>
                    <w:t>%</w:t>
                  </w:r>
                </w:p>
              </w:tc>
              <w:tc>
                <w:tcPr>
                  <w:tcW w:w="717" w:type="pct"/>
                  <w:noWrap w:val="0"/>
                  <w:vAlign w:val="center"/>
                </w:tcPr>
                <w:p>
                  <w:pPr>
                    <w:pStyle w:val="9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pPr>
              <w:pStyle w:val="62"/>
              <w:ind w:firstLine="480"/>
              <w:rPr>
                <w:rFonts w:hint="eastAsia"/>
                <w:color w:val="auto"/>
              </w:rPr>
            </w:pPr>
            <w:r>
              <w:rPr>
                <w:rFonts w:hint="eastAsia"/>
                <w:color w:val="auto"/>
              </w:rPr>
              <w:t>由上表可知，评价区域环境空气基本污染物PM</w:t>
            </w:r>
            <w:r>
              <w:rPr>
                <w:rFonts w:hint="eastAsia"/>
                <w:color w:val="auto"/>
                <w:vertAlign w:val="subscript"/>
              </w:rPr>
              <w:t>10</w:t>
            </w:r>
            <w:r>
              <w:rPr>
                <w:rFonts w:hint="eastAsia"/>
                <w:color w:val="auto"/>
              </w:rPr>
              <w:t>，PM</w:t>
            </w:r>
            <w:r>
              <w:rPr>
                <w:rFonts w:hint="eastAsia"/>
                <w:color w:val="auto"/>
                <w:vertAlign w:val="subscript"/>
              </w:rPr>
              <w:t>2.5</w:t>
            </w:r>
            <w:r>
              <w:rPr>
                <w:rFonts w:hint="eastAsia"/>
                <w:color w:val="auto"/>
              </w:rPr>
              <w:t>、NO</w:t>
            </w:r>
            <w:r>
              <w:rPr>
                <w:rFonts w:hint="eastAsia"/>
                <w:color w:val="auto"/>
                <w:vertAlign w:val="subscript"/>
              </w:rPr>
              <w:t>2</w:t>
            </w:r>
            <w:r>
              <w:rPr>
                <w:rFonts w:hint="eastAsia"/>
                <w:color w:val="auto"/>
              </w:rPr>
              <w:t>、SO</w:t>
            </w:r>
            <w:r>
              <w:rPr>
                <w:rFonts w:hint="eastAsia"/>
                <w:color w:val="auto"/>
                <w:vertAlign w:val="subscript"/>
              </w:rPr>
              <w:t>2</w:t>
            </w:r>
            <w:r>
              <w:rPr>
                <w:rFonts w:hint="eastAsia"/>
                <w:color w:val="auto"/>
              </w:rPr>
              <w:t>、CO和O</w:t>
            </w:r>
            <w:r>
              <w:rPr>
                <w:rFonts w:hint="eastAsia"/>
                <w:color w:val="auto"/>
                <w:vertAlign w:val="subscript"/>
              </w:rPr>
              <w:t>3</w:t>
            </w:r>
            <w:r>
              <w:rPr>
                <w:rFonts w:hint="eastAsia"/>
                <w:color w:val="auto"/>
              </w:rPr>
              <w:t>均满足《环境空气质量标准》（GB3095-2012）及2018年修改单中二级标准。</w:t>
            </w:r>
            <w:r>
              <w:rPr>
                <w:color w:val="auto"/>
              </w:rPr>
              <w:t>因此，判定评价区域为达标区。</w:t>
            </w:r>
          </w:p>
          <w:p>
            <w:pPr>
              <w:pStyle w:val="62"/>
              <w:keepNext w:val="0"/>
              <w:keepLines w:val="0"/>
              <w:pageBreakBefore w:val="0"/>
              <w:widowControl w:val="0"/>
              <w:kinsoku/>
              <w:wordWrap/>
              <w:overflowPunct/>
              <w:topLinePunct w:val="0"/>
              <w:autoSpaceDE/>
              <w:autoSpaceDN/>
              <w:bidi w:val="0"/>
              <w:adjustRightInd/>
              <w:snapToGrid/>
              <w:spacing w:line="348" w:lineRule="auto"/>
              <w:ind w:firstLine="481" w:firstLineChars="200"/>
              <w:textAlignment w:val="auto"/>
              <w:rPr>
                <w:rFonts w:hint="eastAsia"/>
                <w:b/>
                <w:bCs/>
                <w:color w:val="auto"/>
              </w:rPr>
            </w:pPr>
            <w:r>
              <w:rPr>
                <w:rFonts w:hint="eastAsia"/>
                <w:b/>
                <w:bCs/>
                <w:color w:val="auto"/>
              </w:rPr>
              <w:t>（2）其他污染物现状调查</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项目位于</w:t>
            </w:r>
            <w:r>
              <w:rPr>
                <w:rFonts w:hint="eastAsia" w:ascii="Times New Roman" w:hAnsi="Times New Roman" w:eastAsia="宋体" w:cs="Times New Roman"/>
                <w:b w:val="0"/>
                <w:bCs w:val="0"/>
                <w:color w:val="auto"/>
                <w:sz w:val="24"/>
                <w:szCs w:val="24"/>
                <w:vertAlign w:val="baseline"/>
                <w:lang w:val="en-US" w:eastAsia="zh-CN"/>
              </w:rPr>
              <w:t>安徽金寨经济开发区</w:t>
            </w:r>
            <w:r>
              <w:rPr>
                <w:rFonts w:hint="default" w:ascii="Times New Roman" w:hAnsi="Times New Roman" w:eastAsia="宋体" w:cs="Times New Roman"/>
                <w:color w:val="auto"/>
                <w:sz w:val="24"/>
                <w:szCs w:val="24"/>
                <w:lang w:val="en-US" w:eastAsia="zh-CN"/>
              </w:rPr>
              <w:t>内，</w:t>
            </w:r>
            <w:r>
              <w:rPr>
                <w:rFonts w:hint="eastAsia" w:ascii="Times New Roman" w:hAnsi="Times New Roman" w:eastAsia="宋体" w:cs="Times New Roman"/>
                <w:color w:val="auto"/>
                <w:sz w:val="24"/>
                <w:szCs w:val="24"/>
                <w:lang w:val="en-US" w:eastAsia="zh-CN"/>
              </w:rPr>
              <w:t>废气</w:t>
            </w:r>
            <w:r>
              <w:rPr>
                <w:rFonts w:hint="default" w:ascii="Times New Roman" w:hAnsi="Times New Roman" w:eastAsia="宋体" w:cs="Times New Roman"/>
                <w:color w:val="auto"/>
                <w:sz w:val="24"/>
                <w:szCs w:val="24"/>
                <w:lang w:val="en-US" w:eastAsia="zh-CN"/>
              </w:rPr>
              <w:t>特征因子</w:t>
            </w:r>
            <w:r>
              <w:rPr>
                <w:rFonts w:hint="eastAsia" w:ascii="Times New Roman" w:hAnsi="Times New Roman" w:eastAsia="宋体" w:cs="Times New Roman"/>
                <w:color w:val="auto"/>
                <w:sz w:val="24"/>
                <w:szCs w:val="24"/>
                <w:lang w:val="en-US" w:eastAsia="zh-CN"/>
              </w:rPr>
              <w:t>为非甲烷总烃，</w:t>
            </w:r>
            <w:r>
              <w:rPr>
                <w:rFonts w:hint="default" w:ascii="Times New Roman" w:hAnsi="Times New Roman" w:eastAsia="宋体" w:cs="Times New Roman"/>
                <w:color w:val="auto"/>
                <w:sz w:val="24"/>
                <w:szCs w:val="24"/>
                <w:lang w:val="en-US" w:eastAsia="zh-CN"/>
              </w:rPr>
              <w:t>环境质量现状监测数据直接引用《安徽金寨经济开发区总体发展规划（2023</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2035年</w:t>
            </w:r>
            <w:r>
              <w:rPr>
                <w:rFonts w:hint="default" w:ascii="Times New Roman" w:hAnsi="Times New Roman" w:eastAsia="宋体" w:cs="Times New Roman"/>
                <w:color w:val="auto"/>
                <w:sz w:val="24"/>
                <w:szCs w:val="24"/>
                <w:highlight w:val="none"/>
                <w:lang w:val="en-US" w:eastAsia="zh-CN"/>
              </w:rPr>
              <w:t>）环境影响报告书》中监测点G</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大气环境质量现状监测数据，该检测点位位于本项目</w:t>
            </w:r>
            <w:r>
              <w:rPr>
                <w:rFonts w:hint="eastAsia" w:ascii="Times New Roman" w:hAnsi="Times New Roman" w:eastAsia="宋体" w:cs="Times New Roman"/>
                <w:color w:val="auto"/>
                <w:sz w:val="24"/>
                <w:szCs w:val="24"/>
                <w:highlight w:val="none"/>
                <w:lang w:val="en-US" w:eastAsia="zh-CN"/>
              </w:rPr>
              <w:t>西</w:t>
            </w:r>
            <w:r>
              <w:rPr>
                <w:rFonts w:hint="default" w:ascii="Times New Roman" w:hAnsi="Times New Roman" w:eastAsia="宋体" w:cs="Times New Roman"/>
                <w:color w:val="auto"/>
                <w:sz w:val="24"/>
                <w:szCs w:val="24"/>
                <w:highlight w:val="none"/>
                <w:lang w:val="en-US" w:eastAsia="zh-CN"/>
              </w:rPr>
              <w:t>侧，距离约</w:t>
            </w:r>
            <w:r>
              <w:rPr>
                <w:rFonts w:hint="eastAsia" w:ascii="Times New Roman" w:hAnsi="Times New Roman" w:eastAsia="宋体" w:cs="Times New Roman"/>
                <w:color w:val="auto"/>
                <w:sz w:val="24"/>
                <w:szCs w:val="24"/>
                <w:highlight w:val="none"/>
                <w:lang w:val="en-US" w:eastAsia="zh-CN"/>
              </w:rPr>
              <w:t>428</w:t>
            </w:r>
            <w:r>
              <w:rPr>
                <w:rFonts w:hint="default" w:ascii="Times New Roman" w:hAnsi="Times New Roman" w:eastAsia="宋体" w:cs="Times New Roman"/>
                <w:color w:val="auto"/>
                <w:sz w:val="24"/>
                <w:szCs w:val="24"/>
                <w:highlight w:val="none"/>
                <w:lang w:val="en-US" w:eastAsia="zh-CN"/>
              </w:rPr>
              <w:t>m。引用</w:t>
            </w:r>
            <w:r>
              <w:rPr>
                <w:rFonts w:hint="eastAsia" w:ascii="Times New Roman" w:hAnsi="Times New Roman" w:eastAsia="宋体" w:cs="Times New Roman"/>
                <w:color w:val="auto"/>
                <w:sz w:val="24"/>
                <w:szCs w:val="24"/>
                <w:highlight w:val="none"/>
                <w:lang w:val="en-US" w:eastAsia="zh-CN"/>
              </w:rPr>
              <w:t>数据的</w:t>
            </w:r>
            <w:r>
              <w:rPr>
                <w:rFonts w:hint="default" w:ascii="Times New Roman" w:hAnsi="Times New Roman" w:eastAsia="宋体" w:cs="Times New Roman"/>
                <w:color w:val="auto"/>
                <w:sz w:val="24"/>
                <w:szCs w:val="24"/>
                <w:highlight w:val="none"/>
                <w:lang w:val="en-US" w:eastAsia="zh-CN"/>
              </w:rPr>
              <w:t>监测时间为</w:t>
            </w:r>
            <w:r>
              <w:rPr>
                <w:color w:val="auto"/>
                <w:sz w:val="24"/>
                <w:szCs w:val="24"/>
                <w:highlight w:val="none"/>
              </w:rPr>
              <w:t>202</w:t>
            </w:r>
            <w:r>
              <w:rPr>
                <w:rFonts w:hint="eastAsia"/>
                <w:color w:val="auto"/>
                <w:sz w:val="24"/>
                <w:szCs w:val="24"/>
                <w:highlight w:val="none"/>
                <w:lang w:val="en-US" w:eastAsia="zh-CN"/>
              </w:rPr>
              <w:t>3</w:t>
            </w:r>
            <w:r>
              <w:rPr>
                <w:color w:val="auto"/>
                <w:sz w:val="24"/>
                <w:szCs w:val="24"/>
                <w:highlight w:val="none"/>
              </w:rPr>
              <w:t>年8月</w:t>
            </w:r>
            <w:r>
              <w:rPr>
                <w:rFonts w:hint="eastAsia"/>
                <w:color w:val="auto"/>
                <w:sz w:val="24"/>
                <w:szCs w:val="24"/>
                <w:highlight w:val="none"/>
                <w:lang w:val="en-US" w:eastAsia="zh-CN"/>
              </w:rPr>
              <w:t>12</w:t>
            </w:r>
            <w:r>
              <w:rPr>
                <w:color w:val="auto"/>
                <w:sz w:val="24"/>
                <w:szCs w:val="24"/>
                <w:highlight w:val="none"/>
              </w:rPr>
              <w:t>日~202</w:t>
            </w:r>
            <w:r>
              <w:rPr>
                <w:rFonts w:hint="eastAsia"/>
                <w:color w:val="auto"/>
                <w:sz w:val="24"/>
                <w:szCs w:val="24"/>
                <w:highlight w:val="none"/>
                <w:lang w:val="en-US" w:eastAsia="zh-CN"/>
              </w:rPr>
              <w:t>3</w:t>
            </w:r>
            <w:r>
              <w:rPr>
                <w:color w:val="auto"/>
                <w:sz w:val="24"/>
                <w:szCs w:val="24"/>
                <w:highlight w:val="none"/>
              </w:rPr>
              <w:t>年8月</w:t>
            </w:r>
            <w:r>
              <w:rPr>
                <w:rFonts w:hint="eastAsia"/>
                <w:color w:val="auto"/>
                <w:sz w:val="24"/>
                <w:szCs w:val="24"/>
                <w:highlight w:val="none"/>
                <w:lang w:val="en-US" w:eastAsia="zh-CN"/>
              </w:rPr>
              <w:t>19</w:t>
            </w:r>
            <w:r>
              <w:rPr>
                <w:color w:val="auto"/>
                <w:sz w:val="24"/>
                <w:szCs w:val="24"/>
                <w:highlight w:val="none"/>
              </w:rPr>
              <w:t>日</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且近期内该项目附近区域内无新建重大污染源项目，区域环境未发生重大变化，具有类比性</w:t>
            </w:r>
            <w:r>
              <w:rPr>
                <w:rFonts w:hint="default" w:ascii="Times New Roman" w:hAnsi="Times New Roman" w:eastAsia="宋体" w:cs="Times New Roman"/>
                <w:color w:val="auto"/>
                <w:sz w:val="24"/>
                <w:szCs w:val="24"/>
                <w:lang w:val="en-US" w:eastAsia="zh-CN"/>
              </w:rPr>
              <w:t>，能反映本项目所在区域环境质量现状。引用数据属于评价范围内近3年的监测资料，监测数据有效性符合有关规定。具体监测结果见下表：</w:t>
            </w:r>
          </w:p>
          <w:p>
            <w:pPr>
              <w:widowControl/>
              <w:adjustRightInd w:val="0"/>
              <w:snapToGrid w:val="0"/>
              <w:spacing w:line="240" w:lineRule="auto"/>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4"/>
                <w:szCs w:val="24"/>
              </w:rPr>
              <w:t>表3</w:t>
            </w:r>
            <w:r>
              <w:rPr>
                <w:rFonts w:hint="eastAsia" w:ascii="Times New Roman" w:hAnsi="Times New Roman" w:eastAsia="宋体" w:cs="Times New Roman"/>
                <w:b/>
                <w:bCs/>
                <w:color w:val="auto"/>
                <w:kern w:val="0"/>
                <w:sz w:val="24"/>
                <w:szCs w:val="24"/>
                <w:lang w:val="en-US" w:eastAsia="zh-CN"/>
              </w:rPr>
              <w:t>.</w:t>
            </w:r>
            <w:r>
              <w:rPr>
                <w:rFonts w:hint="default" w:ascii="Times New Roman" w:hAnsi="Times New Roman" w:eastAsia="宋体" w:cs="Times New Roman"/>
                <w:b/>
                <w:bCs/>
                <w:color w:val="auto"/>
                <w:kern w:val="0"/>
                <w:sz w:val="24"/>
                <w:szCs w:val="24"/>
                <w:lang w:val="en-US" w:eastAsia="zh-CN"/>
              </w:rPr>
              <w:t>2</w:t>
            </w:r>
            <w:r>
              <w:rPr>
                <w:rFonts w:hint="default" w:ascii="Times New Roman" w:hAnsi="Times New Roman" w:eastAsia="宋体" w:cs="Times New Roman"/>
                <w:b/>
                <w:bCs/>
                <w:color w:val="auto"/>
                <w:kern w:val="0"/>
                <w:sz w:val="24"/>
                <w:szCs w:val="24"/>
              </w:rPr>
              <w:t>其他污染物补充监测点位基本信息</w:t>
            </w:r>
          </w:p>
          <w:tbl>
            <w:tblPr>
              <w:tblStyle w:val="3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6"/>
              <w:gridCol w:w="1752"/>
              <w:gridCol w:w="1663"/>
              <w:gridCol w:w="1556"/>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监测点名称</w:t>
                  </w:r>
                </w:p>
              </w:tc>
              <w:tc>
                <w:tcPr>
                  <w:tcW w:w="166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
                      <w:bCs/>
                      <w:color w:val="auto"/>
                      <w:sz w:val="21"/>
                      <w:szCs w:val="21"/>
                    </w:rPr>
                    <w:t>监测因子</w:t>
                  </w:r>
                </w:p>
              </w:tc>
              <w:tc>
                <w:tcPr>
                  <w:tcW w:w="158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监测时段</w:t>
                  </w:r>
                </w:p>
              </w:tc>
              <w:tc>
                <w:tcPr>
                  <w:tcW w:w="14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相对厂址方位</w:t>
                  </w:r>
                </w:p>
              </w:tc>
              <w:tc>
                <w:tcPr>
                  <w:tcW w:w="1746"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
                      <w:bCs/>
                      <w:color w:val="auto"/>
                      <w:sz w:val="21"/>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4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G4</w:t>
                  </w:r>
                </w:p>
              </w:tc>
              <w:tc>
                <w:tcPr>
                  <w:tcW w:w="1666" w:type="dxa"/>
                  <w:noWrap w:val="0"/>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p>
              </w:tc>
              <w:tc>
                <w:tcPr>
                  <w:tcW w:w="158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8</w:t>
                  </w:r>
                  <w:r>
                    <w:rPr>
                      <w:rFonts w:hint="default" w:ascii="Times New Roman" w:hAnsi="Times New Roman" w:cs="Times New Roman"/>
                      <w:color w:val="auto"/>
                      <w:sz w:val="21"/>
                      <w:szCs w:val="21"/>
                      <w:lang w:val="en-US" w:eastAsia="zh-CN"/>
                    </w:rPr>
                    <w:t>.12</w:t>
                  </w: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8</w:t>
                  </w:r>
                  <w:r>
                    <w:rPr>
                      <w:rFonts w:hint="default" w:ascii="Times New Roman" w:hAnsi="Times New Roman" w:cs="Times New Roman"/>
                      <w:color w:val="auto"/>
                      <w:sz w:val="21"/>
                      <w:szCs w:val="21"/>
                      <w:lang w:val="en-US" w:eastAsia="zh-CN"/>
                    </w:rPr>
                    <w:t>.19</w:t>
                  </w:r>
                </w:p>
              </w:tc>
              <w:tc>
                <w:tcPr>
                  <w:tcW w:w="14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w:t>
                  </w:r>
                </w:p>
              </w:tc>
              <w:tc>
                <w:tcPr>
                  <w:tcW w:w="1746"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428</w:t>
                  </w:r>
                </w:p>
              </w:tc>
            </w:tr>
          </w:tbl>
          <w:p>
            <w:pPr>
              <w:widowControl/>
              <w:adjustRightInd w:val="0"/>
              <w:snapToGrid w:val="0"/>
              <w:spacing w:line="240" w:lineRule="auto"/>
              <w:ind w:firstLine="421" w:firstLineChars="200"/>
              <w:jc w:val="center"/>
              <w:rPr>
                <w:rFonts w:hint="default" w:ascii="Times New Roman" w:hAnsi="Times New Roman" w:eastAsia="宋体" w:cs="Times New Roman"/>
                <w:b/>
                <w:bCs/>
                <w:color w:val="auto"/>
                <w:kern w:val="0"/>
              </w:rPr>
            </w:pPr>
          </w:p>
          <w:p>
            <w:pPr>
              <w:widowControl/>
              <w:adjustRightInd w:val="0"/>
              <w:snapToGrid w:val="0"/>
              <w:spacing w:line="240" w:lineRule="auto"/>
              <w:ind w:firstLine="481" w:firstLineChars="20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4"/>
                <w:szCs w:val="24"/>
              </w:rPr>
              <w:t>表3</w:t>
            </w:r>
            <w:r>
              <w:rPr>
                <w:rFonts w:hint="eastAsia" w:ascii="Times New Roman" w:hAnsi="Times New Roman" w:eastAsia="宋体" w:cs="Times New Roman"/>
                <w:b/>
                <w:bCs/>
                <w:color w:val="auto"/>
                <w:kern w:val="0"/>
                <w:sz w:val="24"/>
                <w:szCs w:val="24"/>
                <w:lang w:val="en-US" w:eastAsia="zh-CN"/>
              </w:rPr>
              <w:t>.</w:t>
            </w:r>
            <w:r>
              <w:rPr>
                <w:rFonts w:hint="default" w:ascii="Times New Roman" w:hAnsi="Times New Roman" w:eastAsia="宋体" w:cs="Times New Roman"/>
                <w:b/>
                <w:bCs/>
                <w:color w:val="auto"/>
                <w:kern w:val="0"/>
                <w:sz w:val="24"/>
                <w:szCs w:val="24"/>
                <w:lang w:val="en-US" w:eastAsia="zh-CN"/>
              </w:rPr>
              <w:t>3</w:t>
            </w:r>
            <w:r>
              <w:rPr>
                <w:rFonts w:hint="default" w:ascii="Times New Roman" w:hAnsi="Times New Roman" w:eastAsia="宋体" w:cs="Times New Roman"/>
                <w:b/>
                <w:bCs/>
                <w:color w:val="auto"/>
                <w:kern w:val="0"/>
                <w:sz w:val="24"/>
                <w:szCs w:val="24"/>
              </w:rPr>
              <w:t>污染物环境质量现状（监测结果）表</w:t>
            </w:r>
          </w:p>
          <w:tbl>
            <w:tblPr>
              <w:tblStyle w:val="3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904"/>
              <w:gridCol w:w="1139"/>
              <w:gridCol w:w="1150"/>
              <w:gridCol w:w="1584"/>
              <w:gridCol w:w="1144"/>
              <w:gridCol w:w="815"/>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dxa"/>
                  <w:vMerge w:val="restart"/>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859" w:type="dxa"/>
                  <w:vMerge w:val="restart"/>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1083" w:type="dxa"/>
                  <w:vMerge w:val="restart"/>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平均时间</w:t>
                  </w:r>
                </w:p>
              </w:tc>
              <w:tc>
                <w:tcPr>
                  <w:tcW w:w="1093" w:type="dxa"/>
                  <w:vMerge w:val="restart"/>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评价标准/(mg/m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506" w:type="dxa"/>
                  <w:vMerge w:val="restart"/>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监测浓度范围/(mg/m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088" w:type="dxa"/>
                  <w:vMerge w:val="restart"/>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最大浓度占标率/%</w:t>
                  </w:r>
                </w:p>
              </w:tc>
              <w:tc>
                <w:tcPr>
                  <w:tcW w:w="775" w:type="dxa"/>
                  <w:vMerge w:val="restart"/>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超标率/%</w:t>
                  </w:r>
                </w:p>
              </w:tc>
              <w:tc>
                <w:tcPr>
                  <w:tcW w:w="793" w:type="dxa"/>
                  <w:vMerge w:val="restart"/>
                  <w:noWrap w:val="0"/>
                  <w:vAlign w:val="center"/>
                </w:tcPr>
                <w:p>
                  <w:pPr>
                    <w:adjustRightInd w:val="0"/>
                    <w:snapToGrid w:val="0"/>
                    <w:spacing w:line="240" w:lineRule="auto"/>
                    <w:ind w:left="-105" w:leftChars="-50" w:right="-105" w:rightChars="-5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8"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859"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083"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093"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506"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088"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775"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793" w:type="dxa"/>
                  <w:vMerge w:val="continue"/>
                  <w:noWrap w:val="0"/>
                  <w:vAlign w:val="center"/>
                </w:tcPr>
                <w:p>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G</w:t>
                  </w:r>
                  <w:r>
                    <w:rPr>
                      <w:rFonts w:hint="eastAsia" w:ascii="Times New Roman" w:hAnsi="Times New Roman" w:eastAsia="宋体" w:cs="Times New Roman"/>
                      <w:color w:val="auto"/>
                      <w:sz w:val="21"/>
                      <w:szCs w:val="21"/>
                      <w:lang w:val="en-US" w:eastAsia="zh-CN"/>
                    </w:rPr>
                    <w:t>4</w:t>
                  </w:r>
                </w:p>
              </w:tc>
              <w:tc>
                <w:tcPr>
                  <w:tcW w:w="859" w:type="dxa"/>
                  <w:noWrap w:val="0"/>
                  <w:vAlign w:val="center"/>
                </w:tcPr>
                <w:p>
                  <w:pPr>
                    <w:widowControl w:val="0"/>
                    <w:spacing w:after="0" w:line="240" w:lineRule="auto"/>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非甲烷总烃</w:t>
                  </w:r>
                </w:p>
              </w:tc>
              <w:tc>
                <w:tcPr>
                  <w:tcW w:w="1083" w:type="dxa"/>
                  <w:noWrap w:val="0"/>
                  <w:vAlign w:val="center"/>
                </w:tcPr>
                <w:p>
                  <w:pPr>
                    <w:widowControl/>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1h平均浓度值</w:t>
                  </w:r>
                </w:p>
              </w:tc>
              <w:tc>
                <w:tcPr>
                  <w:tcW w:w="1093" w:type="dxa"/>
                  <w:noWrap w:val="0"/>
                  <w:vAlign w:val="center"/>
                </w:tcPr>
                <w:p>
                  <w:pPr>
                    <w:widowControl/>
                    <w:adjustRightInd w:val="0"/>
                    <w:snapToGrid w:val="0"/>
                    <w:spacing w:line="240" w:lineRule="auto"/>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2000</w:t>
                  </w:r>
                </w:p>
              </w:tc>
              <w:tc>
                <w:tcPr>
                  <w:tcW w:w="1506" w:type="dxa"/>
                  <w:noWrap w:val="0"/>
                  <w:vAlign w:val="center"/>
                </w:tcPr>
                <w:p>
                  <w:pPr>
                    <w:widowControl/>
                    <w:adjustRightInd w:val="0"/>
                    <w:snapToGrid w:val="0"/>
                    <w:spacing w:line="240" w:lineRule="auto"/>
                    <w:ind w:left="-105" w:leftChars="-50" w:right="-105" w:rightChars="-5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color w:val="auto"/>
                      <w:sz w:val="21"/>
                      <w:szCs w:val="21"/>
                      <w:lang w:val="en-US" w:eastAsia="zh-CN"/>
                    </w:rPr>
                    <w:t>780-1430</w:t>
                  </w:r>
                </w:p>
              </w:tc>
              <w:tc>
                <w:tcPr>
                  <w:tcW w:w="1088"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71.5</w:t>
                  </w:r>
                </w:p>
              </w:tc>
              <w:tc>
                <w:tcPr>
                  <w:tcW w:w="77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793" w:type="dxa"/>
                  <w:noWrap w:val="0"/>
                  <w:vAlign w:val="center"/>
                </w:tcPr>
                <w:p>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adjustRightInd w:val="0"/>
              <w:snapToGrid w:val="0"/>
              <w:rPr>
                <w:rFonts w:hint="default" w:ascii="Times New Roman" w:hAnsi="Times New Roman" w:eastAsia="宋体" w:cs="Times New Roman"/>
                <w:b/>
                <w:bCs/>
                <w:color w:val="auto"/>
              </w:rPr>
            </w:pPr>
          </w:p>
          <w:p>
            <w:pPr>
              <w:adjustRightInd w:val="0"/>
              <w:snapToGrid w:val="0"/>
              <w:rPr>
                <w:rFonts w:hint="default" w:ascii="Times New Roman" w:hAnsi="Times New Roman" w:eastAsia="宋体" w:cs="Times New Roman"/>
                <w:color w:val="auto"/>
              </w:rPr>
            </w:pPr>
            <w:r>
              <w:rPr>
                <w:sz w:val="24"/>
              </w:rPr>
              <mc:AlternateContent>
                <mc:Choice Requires="wps">
                  <w:drawing>
                    <wp:anchor distT="0" distB="0" distL="114300" distR="114300" simplePos="0" relativeHeight="251663360" behindDoc="0" locked="0" layoutInCell="1" allowOverlap="1">
                      <wp:simplePos x="0" y="0"/>
                      <wp:positionH relativeFrom="column">
                        <wp:posOffset>2755265</wp:posOffset>
                      </wp:positionH>
                      <wp:positionV relativeFrom="paragraph">
                        <wp:posOffset>1908810</wp:posOffset>
                      </wp:positionV>
                      <wp:extent cx="562610" cy="225425"/>
                      <wp:effectExtent l="4445" t="5080" r="23495" b="17145"/>
                      <wp:wrapNone/>
                      <wp:docPr id="25" name="文本框 25"/>
                      <wp:cNvGraphicFramePr/>
                      <a:graphic xmlns:a="http://schemas.openxmlformats.org/drawingml/2006/main">
                        <a:graphicData uri="http://schemas.microsoft.com/office/word/2010/wordprocessingShape">
                          <wps:wsp>
                            <wps:cNvSpPr txBox="true"/>
                            <wps:spPr>
                              <a:xfrm>
                                <a:off x="3912870" y="2898140"/>
                                <a:ext cx="562610" cy="225425"/>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428m</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16.95pt;margin-top:150.3pt;height:17.75pt;width:44.3pt;z-index:251663360;mso-width-relative:page;mso-height-relative:page;" fillcolor="#FFFFFF [3212]" filled="t" stroked="t" coordsize="21600,21600" o:gfxdata="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CBs63Q2AAAAAsBAAAPAAAAAAAAAAEAIAAAADgAAABkcnMvZG93bnJldi54bWxQSwECFAAUAAAA&#10;CACHTuJAqYbSCkoCAACJBAAADgAAAAAAAAABACAAAAA9AQAAZHJzL2Uyb0RvYy54bWxQSwUGAAAA&#10;AAYABgBZAQAA+QU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428m</w:t>
                            </w:r>
                          </w:p>
                        </w:txbxContent>
                      </v:textbox>
                    </v:shape>
                  </w:pict>
                </mc:Fallback>
              </mc:AlternateContent>
            </w:r>
            <w:r>
              <w:rPr>
                <w:rFonts w:hint="default" w:ascii="Times New Roman" w:hAnsi="Times New Roman" w:eastAsia="宋体" w:cs="Times New Roman"/>
                <w:color w:val="auto"/>
                <w:sz w:val="24"/>
              </w:rPr>
              <w:drawing>
                <wp:inline distT="0" distB="0" distL="114300" distR="114300">
                  <wp:extent cx="5323840" cy="4384040"/>
                  <wp:effectExtent l="0" t="0" r="10160" b="16510"/>
                  <wp:docPr id="20" name="图片 20" descr="局部截取_20250714_1632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局部截取_20250714_163241"/>
                          <pic:cNvPicPr>
                            <a:picLocks noChangeAspect="true"/>
                          </pic:cNvPicPr>
                        </pic:nvPicPr>
                        <pic:blipFill>
                          <a:blip r:embed="rId9"/>
                          <a:stretch>
                            <a:fillRect/>
                          </a:stretch>
                        </pic:blipFill>
                        <pic:spPr>
                          <a:xfrm>
                            <a:off x="0" y="0"/>
                            <a:ext cx="5323840" cy="4384040"/>
                          </a:xfrm>
                          <a:prstGeom prst="rect">
                            <a:avLst/>
                          </a:prstGeom>
                        </pic:spPr>
                      </pic:pic>
                    </a:graphicData>
                  </a:graphic>
                </wp:inline>
              </w:drawing>
            </w:r>
            <w:r>
              <w:rPr>
                <w:sz w:val="24"/>
              </w:rPr>
              <mc:AlternateContent>
                <mc:Choice Requires="wps">
                  <w:drawing>
                    <wp:anchor distT="0" distB="0" distL="114300" distR="114300" simplePos="0" relativeHeight="251662336" behindDoc="0" locked="0" layoutInCell="1" allowOverlap="1">
                      <wp:simplePos x="0" y="0"/>
                      <wp:positionH relativeFrom="column">
                        <wp:posOffset>1473200</wp:posOffset>
                      </wp:positionH>
                      <wp:positionV relativeFrom="paragraph">
                        <wp:posOffset>1078230</wp:posOffset>
                      </wp:positionV>
                      <wp:extent cx="2580640" cy="2225040"/>
                      <wp:effectExtent l="0" t="0" r="29210" b="22860"/>
                      <wp:wrapNone/>
                      <wp:docPr id="22" name="直接箭头连接符 22"/>
                      <wp:cNvGraphicFramePr/>
                      <a:graphic xmlns:a="http://schemas.openxmlformats.org/drawingml/2006/main">
                        <a:graphicData uri="http://schemas.microsoft.com/office/word/2010/wordprocessingShape">
                          <wps:wsp>
                            <wps:cNvCnPr/>
                            <wps:spPr>
                              <a:xfrm flipH="true" flipV="true">
                                <a:off x="2734945" y="2171065"/>
                                <a:ext cx="2580640" cy="2225040"/>
                              </a:xfrm>
                              <a:prstGeom prst="straightConnector1">
                                <a:avLst/>
                              </a:prstGeom>
                              <a:ln w="31750" cap="rnd">
                                <a:solidFill>
                                  <a:srgbClr val="FFFF00"/>
                                </a:solidFill>
                                <a:round/>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16pt;margin-top:84.9pt;height:175.2pt;width:203.2pt;z-index:251662336;mso-width-relative:page;mso-height-relative:page;" filled="f" stroked="t" coordsize="21600,21600" o:gfxdata="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FW54KtgAAAALAQAADwAAAAAAAAABACAA&#10;AAA4AAAAZHJzL2Rvd25yZXYueG1sUEsBAhQAFAAAAAgAh07iQLA9Nxb3AQAAlAMAAA4AAAAAAAAA&#10;AQAgAAAAPQEAAGRycy9lMm9Eb2MueG1sUEsFBgAAAAAGAAYAWQEAAKYFAAAAAA==&#10;">
                      <v:fill on="f" focussize="0,0"/>
                      <v:stroke weight="2.5pt" color="#FFFF00" joinstyle="round" endcap="round" endarrow="open"/>
                      <v:imagedata o:title=""/>
                      <o:lock v:ext="edit" aspectratio="f"/>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3764915</wp:posOffset>
                      </wp:positionH>
                      <wp:positionV relativeFrom="paragraph">
                        <wp:posOffset>3538855</wp:posOffset>
                      </wp:positionV>
                      <wp:extent cx="901065" cy="279400"/>
                      <wp:effectExtent l="4445" t="4445" r="8890" b="20955"/>
                      <wp:wrapNone/>
                      <wp:docPr id="21" name="文本框 21"/>
                      <wp:cNvGraphicFramePr/>
                      <a:graphic xmlns:a="http://schemas.openxmlformats.org/drawingml/2006/main">
                        <a:graphicData uri="http://schemas.microsoft.com/office/word/2010/wordprocessingShape">
                          <wps:wsp>
                            <wps:cNvSpPr txBox="true"/>
                            <wps:spPr>
                              <a:xfrm>
                                <a:off x="5133975" y="4664710"/>
                                <a:ext cx="901065" cy="279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b/>
                                      <w:bCs/>
                                      <w:lang w:val="en-US" w:eastAsia="zh-CN"/>
                                    </w:rPr>
                                    <w:t>项目所在地</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96.45pt;margin-top:278.65pt;height:22pt;width:70.95pt;z-index:251661312;mso-width-relative:page;mso-height-relative:page;" fillcolor="#FFFFFF [3201]" filled="t" stroked="t" coordsize="21600,21600" o:gfxdata="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CwHT5f2AAAAAsBAAAPAAAAAAAAAAEAIAAAADgAAABkcnMvZG93bnJldi54bWxQSwEC&#10;FAAUAAAACACHTuJARGJYH1ACAACIBAAADgAAAAAAAAABACAAAAA9AQAAZHJzL2Uyb0RvYy54bWxQ&#10;SwUGAAAAAAYABgBZAQAA/wUAAAAA&#10;">
                      <v:fill on="t" focussize="0,0"/>
                      <v:stroke weight="0.5pt" color="#000000 [3204]" joinstyle="round"/>
                      <v:imagedata o:title=""/>
                      <o:lock v:ext="edit" aspectratio="f"/>
                      <v:textbox>
                        <w:txbxContent>
                          <w:p>
                            <w:pPr>
                              <w:rPr>
                                <w:rFonts w:hint="default" w:eastAsia="宋体"/>
                                <w:lang w:val="en-US" w:eastAsia="zh-CN"/>
                              </w:rPr>
                            </w:pPr>
                            <w:r>
                              <w:rPr>
                                <w:rFonts w:hint="eastAsia"/>
                                <w:b/>
                                <w:bCs/>
                                <w:lang w:val="en-US" w:eastAsia="zh-CN"/>
                              </w:rPr>
                              <w:t>项目所在地</w:t>
                            </w:r>
                          </w:p>
                        </w:txbxContent>
                      </v:textbox>
                    </v:shape>
                  </w:pict>
                </mc:Fallback>
              </mc:AlternateContent>
            </w:r>
            <w:r>
              <w:rPr>
                <w:rFonts w:hint="default" w:ascii="Times New Roman" w:hAnsi="Times New Roman" w:eastAsia="宋体" w:cs="Times New Roman"/>
                <w:color w:val="auto"/>
                <w:sz w:val="24"/>
              </w:rPr>
              <w:drawing>
                <wp:anchor distT="0" distB="0" distL="114300" distR="114300" simplePos="0" relativeHeight="251661312" behindDoc="0" locked="0" layoutInCell="1" allowOverlap="1">
                  <wp:simplePos x="0" y="0"/>
                  <wp:positionH relativeFrom="column">
                    <wp:posOffset>8797925</wp:posOffset>
                  </wp:positionH>
                  <wp:positionV relativeFrom="paragraph">
                    <wp:posOffset>342900</wp:posOffset>
                  </wp:positionV>
                  <wp:extent cx="422910" cy="605790"/>
                  <wp:effectExtent l="49530" t="32385" r="60960" b="47625"/>
                  <wp:wrapNone/>
                  <wp:docPr id="11" name="图片 382" descr="指北"/>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382" descr="指北"/>
                          <pic:cNvPicPr>
                            <a:picLocks noChangeAspect="true"/>
                          </pic:cNvPicPr>
                        </pic:nvPicPr>
                        <pic:blipFill>
                          <a:blip r:embed="rId10"/>
                          <a:stretch>
                            <a:fillRect/>
                          </a:stretch>
                        </pic:blipFill>
                        <pic:spPr>
                          <a:xfrm rot="600000">
                            <a:off x="0" y="0"/>
                            <a:ext cx="422910" cy="605790"/>
                          </a:xfrm>
                          <a:prstGeom prst="rect">
                            <a:avLst/>
                          </a:prstGeom>
                          <a:noFill/>
                          <a:ln>
                            <a:noFill/>
                          </a:ln>
                        </pic:spPr>
                      </pic:pic>
                    </a:graphicData>
                  </a:graphic>
                </wp:anchor>
              </w:drawing>
            </w:r>
          </w:p>
          <w:p>
            <w:pPr>
              <w:adjustRightInd w:val="0"/>
              <w:snapToGrid w:val="0"/>
              <w:jc w:val="center"/>
              <w:rPr>
                <w:rFonts w:hint="default" w:ascii="Times New Roman" w:hAnsi="Times New Roman" w:eastAsia="宋体" w:cs="Times New Roman"/>
                <w:b/>
                <w:bCs/>
                <w:color w:val="auto"/>
                <w:sz w:val="18"/>
                <w:szCs w:val="21"/>
              </w:rPr>
            </w:pPr>
            <w:r>
              <w:rPr>
                <w:rFonts w:hint="default" w:ascii="Times New Roman" w:hAnsi="Times New Roman" w:eastAsia="宋体" w:cs="Times New Roman"/>
                <w:b/>
                <w:bCs/>
                <w:color w:val="auto"/>
                <w:sz w:val="24"/>
                <w:szCs w:val="24"/>
              </w:rPr>
              <w:t>图3</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1大气监测点位图</w:t>
            </w:r>
            <w:r>
              <w:rPr>
                <w:rFonts w:hint="default" w:ascii="Times New Roman" w:hAnsi="Times New Roman" w:eastAsia="宋体" w:cs="Times New Roman"/>
                <w:color w:val="auto"/>
                <w:sz w:val="21"/>
                <w:szCs w:val="21"/>
              </w:rPr>
              <w:drawing>
                <wp:anchor distT="0" distB="0" distL="114300" distR="114300" simplePos="0" relativeHeight="251660288" behindDoc="0" locked="0" layoutInCell="1" allowOverlap="1">
                  <wp:simplePos x="0" y="0"/>
                  <wp:positionH relativeFrom="column">
                    <wp:posOffset>8797925</wp:posOffset>
                  </wp:positionH>
                  <wp:positionV relativeFrom="paragraph">
                    <wp:posOffset>342900</wp:posOffset>
                  </wp:positionV>
                  <wp:extent cx="422910" cy="605790"/>
                  <wp:effectExtent l="49530" t="32385" r="60960" b="47625"/>
                  <wp:wrapNone/>
                  <wp:docPr id="8" name="图片 383" descr="指北"/>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383" descr="指北"/>
                          <pic:cNvPicPr>
                            <a:picLocks noChangeAspect="true"/>
                          </pic:cNvPicPr>
                        </pic:nvPicPr>
                        <pic:blipFill>
                          <a:blip r:embed="rId10"/>
                          <a:stretch>
                            <a:fillRect/>
                          </a:stretch>
                        </pic:blipFill>
                        <pic:spPr>
                          <a:xfrm rot="600000">
                            <a:off x="0" y="0"/>
                            <a:ext cx="422910" cy="605790"/>
                          </a:xfrm>
                          <a:prstGeom prst="rect">
                            <a:avLst/>
                          </a:prstGeom>
                          <a:noFill/>
                          <a:ln>
                            <a:noFill/>
                          </a:ln>
                        </pic:spPr>
                      </pic:pic>
                    </a:graphicData>
                  </a:graphic>
                </wp:anchor>
              </w:drawing>
            </w:r>
          </w:p>
          <w:p>
            <w:pPr>
              <w:adjustRightInd w:val="0"/>
              <w:spacing w:line="360" w:lineRule="auto"/>
              <w:ind w:firstLine="480" w:firstLineChars="20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4"/>
                <w:szCs w:val="24"/>
                <w:lang w:val="en-US" w:eastAsia="zh-CN"/>
              </w:rPr>
              <w:t>从上表中监测结果、评价结果可见，项目所在区域非甲烷总烃</w:t>
            </w:r>
            <w:r>
              <w:rPr>
                <w:rFonts w:hint="eastAsia"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szCs w:val="24"/>
                <w:lang w:val="en-US" w:eastAsia="zh-CN"/>
              </w:rPr>
              <w:t>《大气污染物综合排放标准详解》中要求</w:t>
            </w:r>
            <w:r>
              <w:rPr>
                <w:rFonts w:hint="eastAsia" w:ascii="Times New Roman" w:hAnsi="Times New Roman" w:eastAsia="宋体" w:cs="Times New Roman"/>
                <w:color w:val="auto"/>
                <w:sz w:val="24"/>
                <w:szCs w:val="24"/>
                <w:lang w:val="en-US" w:eastAsia="zh-CN"/>
              </w:rPr>
              <w:t>，区域环境空气质量良好。</w:t>
            </w:r>
          </w:p>
          <w:p>
            <w:pPr>
              <w:keepNext w:val="0"/>
              <w:keepLines w:val="0"/>
              <w:suppressLineNumbers w:val="0"/>
              <w:adjustRightInd w:val="0"/>
              <w:spacing w:before="0" w:beforeAutospacing="0" w:after="0" w:afterAutospacing="0" w:line="360" w:lineRule="auto"/>
              <w:ind w:left="0" w:right="0"/>
              <w:rPr>
                <w:rFonts w:hint="default"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rPr>
              <w:t>2、地表水环境</w:t>
            </w:r>
            <w:r>
              <w:rPr>
                <w:rFonts w:hint="default" w:ascii="Times New Roman" w:hAnsi="Times New Roman" w:cs="Times New Roman"/>
                <w:b/>
                <w:bCs/>
                <w:color w:val="auto"/>
                <w:sz w:val="24"/>
                <w:szCs w:val="24"/>
                <w:lang w:eastAsia="zh-CN"/>
              </w:rPr>
              <w:t>质量现状调查</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w:t>
            </w:r>
            <w:r>
              <w:rPr>
                <w:rFonts w:hint="eastAsia" w:cs="Times New Roman"/>
                <w:color w:val="auto"/>
                <w:kern w:val="2"/>
                <w:sz w:val="24"/>
                <w:szCs w:val="22"/>
                <w:lang w:val="en-US" w:eastAsia="zh-CN" w:bidi="ar-SA"/>
              </w:rPr>
              <w:t>废水</w:t>
            </w:r>
            <w:r>
              <w:rPr>
                <w:rFonts w:hint="default" w:ascii="Times New Roman" w:hAnsi="Times New Roman" w:eastAsia="宋体" w:cs="Times New Roman"/>
                <w:color w:val="auto"/>
                <w:kern w:val="2"/>
                <w:sz w:val="24"/>
                <w:szCs w:val="22"/>
                <w:lang w:val="en-US" w:eastAsia="zh-CN" w:bidi="ar-SA"/>
              </w:rPr>
              <w:t>排入</w:t>
            </w:r>
            <w:r>
              <w:rPr>
                <w:rFonts w:hint="eastAsia" w:cs="Times New Roman"/>
                <w:color w:val="auto"/>
                <w:kern w:val="2"/>
                <w:sz w:val="24"/>
                <w:szCs w:val="22"/>
                <w:lang w:val="en-US" w:eastAsia="zh-CN" w:bidi="ar-SA"/>
              </w:rPr>
              <w:t>金寨现代产业园污水处理厂</w:t>
            </w:r>
            <w:r>
              <w:rPr>
                <w:rFonts w:hint="default" w:ascii="Times New Roman" w:hAnsi="Times New Roman" w:eastAsia="宋体" w:cs="Times New Roman"/>
                <w:color w:val="auto"/>
                <w:kern w:val="2"/>
                <w:sz w:val="24"/>
                <w:szCs w:val="22"/>
                <w:lang w:val="en-US" w:eastAsia="zh-CN" w:bidi="ar-SA"/>
              </w:rPr>
              <w:t>深度处理，尾水</w:t>
            </w:r>
            <w:r>
              <w:rPr>
                <w:rFonts w:hint="default" w:ascii="Times New Roman" w:hAnsi="Times New Roman" w:eastAsia="宋体" w:cs="Times New Roman"/>
                <w:color w:val="auto"/>
                <w:spacing w:val="-1"/>
                <w:sz w:val="24"/>
                <w:szCs w:val="24"/>
              </w:rPr>
              <w:t>排入史河</w:t>
            </w:r>
            <w:r>
              <w:rPr>
                <w:rFonts w:hint="default" w:ascii="Times New Roman" w:hAnsi="Times New Roman" w:eastAsia="宋体" w:cs="Times New Roman"/>
                <w:color w:val="auto"/>
                <w:kern w:val="2"/>
                <w:sz w:val="24"/>
                <w:szCs w:val="22"/>
                <w:lang w:val="en-US" w:eastAsia="zh-CN" w:bidi="ar-SA"/>
              </w:rPr>
              <w:t>。为了解受纳水体的水质现状，本评价引用</w:t>
            </w:r>
            <w:r>
              <w:rPr>
                <w:rFonts w:hint="default" w:ascii="Times New Roman" w:hAnsi="Times New Roman" w:eastAsia="宋体" w:cs="Times New Roman"/>
                <w:color w:val="auto"/>
                <w:sz w:val="24"/>
                <w:szCs w:val="24"/>
                <w:lang w:eastAsia="zh-CN"/>
              </w:rPr>
              <w:t>《安徽金寨经济开发区总体发展规划（2023</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eastAsia="zh-CN"/>
              </w:rPr>
              <w:t>2035年）环境影响报告书》中</w:t>
            </w:r>
            <w:r>
              <w:rPr>
                <w:rFonts w:hint="default" w:ascii="Times New Roman" w:hAnsi="Times New Roman" w:cs="Times New Roman"/>
                <w:color w:val="auto"/>
                <w:sz w:val="24"/>
                <w:szCs w:val="24"/>
                <w:lang w:val="en-US" w:eastAsia="zh-CN"/>
              </w:rPr>
              <w:t>史河GW1、GW2、GW3的</w:t>
            </w:r>
            <w:r>
              <w:rPr>
                <w:rFonts w:hint="default" w:ascii="Times New Roman" w:hAnsi="Times New Roman" w:eastAsia="宋体" w:cs="Times New Roman"/>
                <w:color w:val="auto"/>
                <w:sz w:val="24"/>
                <w:szCs w:val="24"/>
                <w:lang w:eastAsia="zh-CN"/>
              </w:rPr>
              <w:t>监测数据</w:t>
            </w:r>
            <w:r>
              <w:rPr>
                <w:rFonts w:hint="default" w:ascii="Times New Roman" w:hAnsi="Times New Roman" w:cs="Times New Roman"/>
                <w:color w:val="auto"/>
                <w:kern w:val="2"/>
                <w:sz w:val="24"/>
                <w:szCs w:val="22"/>
                <w:lang w:val="en-US" w:eastAsia="zh-CN" w:bidi="ar-SA"/>
              </w:rPr>
              <w:t>：</w:t>
            </w:r>
          </w:p>
          <w:p>
            <w:pPr>
              <w:adjustRightInd w:val="0"/>
              <w:snapToGrid w:val="0"/>
              <w:spacing w:line="240" w:lineRule="auto"/>
              <w:ind w:firstLine="0" w:firstLineChars="0"/>
              <w:jc w:val="center"/>
              <w:rPr>
                <w:rFonts w:hint="default" w:ascii="Times New Roman" w:hAnsi="Times New Roman" w:cs="Times New Roman"/>
                <w:b/>
                <w:bCs/>
                <w:color w:val="auto"/>
                <w:spacing w:val="3"/>
                <w:sz w:val="24"/>
                <w:szCs w:val="24"/>
              </w:rPr>
            </w:pPr>
            <w:r>
              <w:rPr>
                <w:rFonts w:hint="default" w:ascii="Times New Roman" w:hAnsi="Times New Roman" w:cs="Times New Roman"/>
                <w:b/>
                <w:bCs/>
                <w:color w:val="auto"/>
                <w:spacing w:val="6"/>
                <w:sz w:val="24"/>
                <w:szCs w:val="24"/>
              </w:rPr>
              <w:t>表3</w:t>
            </w:r>
            <w:r>
              <w:rPr>
                <w:rFonts w:hint="default" w:ascii="Times New Roman" w:hAnsi="Times New Roman" w:cs="Times New Roman"/>
                <w:b/>
                <w:bCs/>
                <w:color w:val="auto"/>
                <w:spacing w:val="6"/>
                <w:sz w:val="24"/>
                <w:szCs w:val="24"/>
                <w:lang w:val="en-US" w:eastAsia="zh-CN"/>
              </w:rPr>
              <w:t>.</w:t>
            </w:r>
            <w:r>
              <w:rPr>
                <w:rFonts w:hint="eastAsia" w:cs="Times New Roman"/>
                <w:b/>
                <w:bCs/>
                <w:color w:val="auto"/>
                <w:spacing w:val="6"/>
                <w:sz w:val="24"/>
                <w:szCs w:val="24"/>
                <w:lang w:val="en-US" w:eastAsia="zh-CN"/>
              </w:rPr>
              <w:t>2</w:t>
            </w:r>
            <w:r>
              <w:rPr>
                <w:rFonts w:hint="default" w:ascii="Times New Roman" w:hAnsi="Times New Roman" w:cs="Times New Roman"/>
                <w:b/>
                <w:bCs/>
                <w:color w:val="auto"/>
                <w:spacing w:val="3"/>
                <w:sz w:val="24"/>
                <w:szCs w:val="24"/>
              </w:rPr>
              <w:t>地表水检测结果及评价结果</w:t>
            </w:r>
          </w:p>
          <w:tbl>
            <w:tblPr>
              <w:tblStyle w:val="57"/>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646"/>
              <w:gridCol w:w="600"/>
              <w:gridCol w:w="734"/>
              <w:gridCol w:w="734"/>
              <w:gridCol w:w="739"/>
              <w:gridCol w:w="734"/>
              <w:gridCol w:w="694"/>
              <w:gridCol w:w="699"/>
              <w:gridCol w:w="694"/>
              <w:gridCol w:w="697"/>
              <w:gridCol w:w="7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 w:hRule="atLeast"/>
                <w:jc w:val="center"/>
              </w:trPr>
              <w:tc>
                <w:tcPr>
                  <w:tcW w:w="416" w:type="pct"/>
                  <w:vMerge w:val="restart"/>
                  <w:tcBorders>
                    <w:bottom w:val="nil"/>
                  </w:tcBorders>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监测因子</w:t>
                  </w:r>
                </w:p>
              </w:tc>
              <w:tc>
                <w:tcPr>
                  <w:tcW w:w="386" w:type="pct"/>
                  <w:vMerge w:val="restart"/>
                  <w:tcBorders>
                    <w:bottom w:val="nil"/>
                  </w:tcBorders>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单位</w:t>
                  </w:r>
                </w:p>
              </w:tc>
              <w:tc>
                <w:tcPr>
                  <w:tcW w:w="359" w:type="pct"/>
                  <w:vMerge w:val="restart"/>
                  <w:tcBorders>
                    <w:bottom w:val="nil"/>
                  </w:tcBorders>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检出限</w:t>
                  </w:r>
                </w:p>
              </w:tc>
              <w:tc>
                <w:tcPr>
                  <w:tcW w:w="3838" w:type="pct"/>
                  <w:gridSpan w:val="9"/>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16"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p>
              </w:tc>
              <w:tc>
                <w:tcPr>
                  <w:tcW w:w="386"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p>
              </w:tc>
              <w:tc>
                <w:tcPr>
                  <w:tcW w:w="359"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p>
              </w:tc>
              <w:tc>
                <w:tcPr>
                  <w:tcW w:w="1317" w:type="pct"/>
                  <w:gridSpan w:val="3"/>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2023.08.09</w:t>
                  </w:r>
                </w:p>
              </w:tc>
              <w:tc>
                <w:tcPr>
                  <w:tcW w:w="1269" w:type="pct"/>
                  <w:gridSpan w:val="3"/>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2023.08.10</w:t>
                  </w:r>
                </w:p>
              </w:tc>
              <w:tc>
                <w:tcPr>
                  <w:tcW w:w="1251" w:type="pct"/>
                  <w:gridSpan w:val="3"/>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2023.08.11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416"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p>
              </w:tc>
              <w:tc>
                <w:tcPr>
                  <w:tcW w:w="386"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p>
              </w:tc>
              <w:tc>
                <w:tcPr>
                  <w:tcW w:w="359"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GW</w:t>
                  </w:r>
                  <w:r>
                    <w:rPr>
                      <w:rFonts w:hint="eastAsia" w:ascii="Times New Roman" w:hAnsi="Times New Roman" w:cs="Times New Roman"/>
                      <w:color w:val="auto"/>
                      <w:spacing w:val="-2"/>
                      <w:sz w:val="21"/>
                      <w:szCs w:val="21"/>
                      <w:lang w:val="en-US" w:eastAsia="zh-CN"/>
                    </w:rPr>
                    <w:t>1</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GW</w:t>
                  </w:r>
                  <w:r>
                    <w:rPr>
                      <w:rFonts w:hint="eastAsia" w:ascii="Times New Roman" w:hAnsi="Times New Roman" w:cs="Times New Roman"/>
                      <w:color w:val="auto"/>
                      <w:spacing w:val="-2"/>
                      <w:sz w:val="21"/>
                      <w:szCs w:val="21"/>
                      <w:lang w:val="en-US" w:eastAsia="zh-CN"/>
                    </w:rPr>
                    <w:t>2</w:t>
                  </w:r>
                </w:p>
              </w:tc>
              <w:tc>
                <w:tcPr>
                  <w:tcW w:w="441"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GW</w:t>
                  </w:r>
                  <w:r>
                    <w:rPr>
                      <w:rFonts w:hint="eastAsia" w:ascii="Times New Roman" w:hAnsi="Times New Roman" w:cs="Times New Roman"/>
                      <w:color w:val="auto"/>
                      <w:spacing w:val="-2"/>
                      <w:sz w:val="21"/>
                      <w:szCs w:val="21"/>
                      <w:lang w:val="en-US" w:eastAsia="zh-CN"/>
                    </w:rPr>
                    <w:t>3</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GW</w:t>
                  </w:r>
                  <w:r>
                    <w:rPr>
                      <w:rFonts w:hint="eastAsia" w:ascii="Times New Roman" w:hAnsi="Times New Roman" w:cs="Times New Roman"/>
                      <w:color w:val="auto"/>
                      <w:spacing w:val="-2"/>
                      <w:sz w:val="21"/>
                      <w:szCs w:val="21"/>
                      <w:lang w:val="en-US" w:eastAsia="zh-CN"/>
                    </w:rPr>
                    <w:t>1</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GW</w:t>
                  </w:r>
                  <w:r>
                    <w:rPr>
                      <w:rFonts w:hint="eastAsia" w:ascii="Times New Roman" w:hAnsi="Times New Roman" w:cs="Times New Roman"/>
                      <w:color w:val="auto"/>
                      <w:spacing w:val="-2"/>
                      <w:sz w:val="21"/>
                      <w:szCs w:val="21"/>
                      <w:lang w:val="en-US" w:eastAsia="zh-CN"/>
                    </w:rPr>
                    <w:t>2</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GW</w:t>
                  </w:r>
                  <w:r>
                    <w:rPr>
                      <w:rFonts w:hint="eastAsia" w:ascii="Times New Roman" w:hAnsi="Times New Roman" w:cs="Times New Roman"/>
                      <w:color w:val="auto"/>
                      <w:spacing w:val="-2"/>
                      <w:sz w:val="21"/>
                      <w:szCs w:val="21"/>
                      <w:lang w:val="en-US" w:eastAsia="zh-CN"/>
                    </w:rPr>
                    <w:t>3</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GW</w:t>
                  </w:r>
                  <w:r>
                    <w:rPr>
                      <w:rFonts w:hint="eastAsia" w:ascii="Times New Roman" w:hAnsi="Times New Roman" w:cs="Times New Roman"/>
                      <w:color w:val="auto"/>
                      <w:spacing w:val="-2"/>
                      <w:sz w:val="21"/>
                      <w:szCs w:val="21"/>
                      <w:lang w:val="en-US" w:eastAsia="zh-CN"/>
                    </w:rPr>
                    <w:t>1</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GW2</w:t>
                  </w:r>
                </w:p>
              </w:tc>
              <w:tc>
                <w:tcPr>
                  <w:tcW w:w="420"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GW</w:t>
                  </w:r>
                  <w:r>
                    <w:rPr>
                      <w:rFonts w:hint="eastAsia" w:ascii="Times New Roman" w:hAnsi="Times New Roman" w:cs="Times New Roman"/>
                      <w:color w:val="auto"/>
                      <w:spacing w:val="-2"/>
                      <w:sz w:val="21"/>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样品性状</w:t>
                  </w:r>
                </w:p>
              </w:tc>
              <w:tc>
                <w:tcPr>
                  <w:tcW w:w="38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59"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无色、透</w:t>
                  </w:r>
                  <w:r>
                    <w:rPr>
                      <w:rFonts w:hint="default" w:ascii="Times New Roman" w:hAnsi="Times New Roman" w:eastAsia="宋体" w:cs="Times New Roman"/>
                      <w:color w:val="auto"/>
                      <w:spacing w:val="2"/>
                      <w:sz w:val="21"/>
                      <w:szCs w:val="21"/>
                    </w:rPr>
                    <w:t>明、无味</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无色、透</w:t>
                  </w:r>
                  <w:r>
                    <w:rPr>
                      <w:rFonts w:hint="default" w:ascii="Times New Roman" w:hAnsi="Times New Roman" w:eastAsia="宋体" w:cs="Times New Roman"/>
                      <w:color w:val="auto"/>
                      <w:spacing w:val="2"/>
                      <w:sz w:val="21"/>
                      <w:szCs w:val="21"/>
                    </w:rPr>
                    <w:t>明、无味</w:t>
                  </w:r>
                </w:p>
              </w:tc>
              <w:tc>
                <w:tcPr>
                  <w:tcW w:w="441"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无色、微浊、无味</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无色、透</w:t>
                  </w:r>
                  <w:r>
                    <w:rPr>
                      <w:rFonts w:hint="default" w:ascii="Times New Roman" w:hAnsi="Times New Roman" w:eastAsia="宋体" w:cs="Times New Roman"/>
                      <w:color w:val="auto"/>
                      <w:spacing w:val="2"/>
                      <w:sz w:val="21"/>
                      <w:szCs w:val="21"/>
                    </w:rPr>
                    <w:t>明、无味</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无色、透</w:t>
                  </w:r>
                  <w:r>
                    <w:rPr>
                      <w:rFonts w:hint="default" w:ascii="Times New Roman" w:hAnsi="Times New Roman" w:eastAsia="宋体" w:cs="Times New Roman"/>
                      <w:color w:val="auto"/>
                      <w:spacing w:val="2"/>
                      <w:sz w:val="21"/>
                      <w:szCs w:val="21"/>
                    </w:rPr>
                    <w:t>明、无味</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无色、微浊、无味</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无色、透</w:t>
                  </w:r>
                  <w:r>
                    <w:rPr>
                      <w:rFonts w:hint="default" w:ascii="Times New Roman" w:hAnsi="Times New Roman" w:eastAsia="宋体" w:cs="Times New Roman"/>
                      <w:color w:val="auto"/>
                      <w:spacing w:val="2"/>
                      <w:sz w:val="21"/>
                      <w:szCs w:val="21"/>
                    </w:rPr>
                    <w:t>明、无味</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无色、透</w:t>
                  </w:r>
                  <w:r>
                    <w:rPr>
                      <w:rFonts w:hint="default" w:ascii="Times New Roman" w:hAnsi="Times New Roman" w:eastAsia="宋体" w:cs="Times New Roman"/>
                      <w:color w:val="auto"/>
                      <w:spacing w:val="2"/>
                      <w:sz w:val="21"/>
                      <w:szCs w:val="21"/>
                    </w:rPr>
                    <w:t>明、无味</w:t>
                  </w:r>
                </w:p>
              </w:tc>
              <w:tc>
                <w:tcPr>
                  <w:tcW w:w="420"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无色、微浊、无味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pH</w:t>
                  </w:r>
                </w:p>
              </w:tc>
              <w:tc>
                <w:tcPr>
                  <w:tcW w:w="38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无量纲</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p>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0.1</w:t>
                  </w:r>
                </w:p>
              </w:tc>
              <w:tc>
                <w:tcPr>
                  <w:tcW w:w="43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8.3</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[水温：26.9℃]</w:t>
                  </w:r>
                </w:p>
              </w:tc>
              <w:tc>
                <w:tcPr>
                  <w:tcW w:w="43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8.1</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[水温：27.1℃]</w:t>
                  </w:r>
                </w:p>
              </w:tc>
              <w:tc>
                <w:tcPr>
                  <w:tcW w:w="44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8.2</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[水温：27.2℃]</w:t>
                  </w:r>
                </w:p>
              </w:tc>
              <w:tc>
                <w:tcPr>
                  <w:tcW w:w="43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8.2</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[水温：27.2℃]</w:t>
                  </w:r>
                </w:p>
              </w:tc>
              <w:tc>
                <w:tcPr>
                  <w:tcW w:w="414"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8.1</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[水温：</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27.5℃]</w:t>
                  </w:r>
                </w:p>
              </w:tc>
              <w:tc>
                <w:tcPr>
                  <w:tcW w:w="416"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8.3</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[水温：27.4℃]</w:t>
                  </w:r>
                </w:p>
              </w:tc>
              <w:tc>
                <w:tcPr>
                  <w:tcW w:w="414"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8.4</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[水温：27.4℃]</w:t>
                  </w:r>
                </w:p>
              </w:tc>
              <w:tc>
                <w:tcPr>
                  <w:tcW w:w="416"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8.0</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[水温：27.5℃]</w:t>
                  </w:r>
                </w:p>
              </w:tc>
              <w:tc>
                <w:tcPr>
                  <w:tcW w:w="420"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8.3</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rPr>
                  </w:pPr>
                  <w:r>
                    <w:rPr>
                      <w:rFonts w:hint="default" w:ascii="Times New Roman" w:hAnsi="Times New Roman" w:cs="Times New Roman"/>
                      <w:color w:val="auto"/>
                    </w:rPr>
                    <w:t>[水温：27.7℃]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 w:hRule="atLeast"/>
                <w:jc w:val="center"/>
              </w:trPr>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溶解氧</w:t>
                  </w:r>
                </w:p>
              </w:tc>
              <w:tc>
                <w:tcPr>
                  <w:tcW w:w="38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mg/L</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5.3</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5.9</w:t>
                  </w:r>
                </w:p>
              </w:tc>
              <w:tc>
                <w:tcPr>
                  <w:tcW w:w="441"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5.8</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5.3</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5.8</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5.8</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5.3</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5.9</w:t>
                  </w:r>
                </w:p>
              </w:tc>
              <w:tc>
                <w:tcPr>
                  <w:tcW w:w="420"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化学需氧量</w:t>
                  </w:r>
                </w:p>
              </w:tc>
              <w:tc>
                <w:tcPr>
                  <w:tcW w:w="38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mg/L</w:t>
                  </w:r>
                </w:p>
              </w:tc>
              <w:tc>
                <w:tcPr>
                  <w:tcW w:w="359"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11</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15</w:t>
                  </w:r>
                </w:p>
              </w:tc>
              <w:tc>
                <w:tcPr>
                  <w:tcW w:w="441"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13</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15</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14</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14</w:t>
                  </w:r>
                </w:p>
              </w:tc>
              <w:tc>
                <w:tcPr>
                  <w:tcW w:w="420"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BODs</w:t>
                  </w:r>
                </w:p>
              </w:tc>
              <w:tc>
                <w:tcPr>
                  <w:tcW w:w="38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mg/L</w:t>
                  </w:r>
                </w:p>
              </w:tc>
              <w:tc>
                <w:tcPr>
                  <w:tcW w:w="359"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0.5</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2.8</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3.5</w:t>
                  </w:r>
                </w:p>
              </w:tc>
              <w:tc>
                <w:tcPr>
                  <w:tcW w:w="441"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2.8</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2.4</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3.3</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3.0</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2.1</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3.0</w:t>
                  </w:r>
                </w:p>
              </w:tc>
              <w:tc>
                <w:tcPr>
                  <w:tcW w:w="420"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氨氮</w:t>
                  </w:r>
                </w:p>
              </w:tc>
              <w:tc>
                <w:tcPr>
                  <w:tcW w:w="38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mg/L</w:t>
                  </w:r>
                </w:p>
              </w:tc>
              <w:tc>
                <w:tcPr>
                  <w:tcW w:w="359"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0.025</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0.181</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0.192</w:t>
                  </w:r>
                </w:p>
              </w:tc>
              <w:tc>
                <w:tcPr>
                  <w:tcW w:w="441"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0.102</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0.195</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0.237</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0.085</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0.161</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0.212</w:t>
                  </w:r>
                </w:p>
              </w:tc>
              <w:tc>
                <w:tcPr>
                  <w:tcW w:w="420"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总磷</w:t>
                  </w:r>
                </w:p>
              </w:tc>
              <w:tc>
                <w:tcPr>
                  <w:tcW w:w="38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mg/L</w:t>
                  </w:r>
                </w:p>
              </w:tc>
              <w:tc>
                <w:tcPr>
                  <w:tcW w:w="359"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0.01</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0.03</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0.04</w:t>
                  </w:r>
                </w:p>
              </w:tc>
              <w:tc>
                <w:tcPr>
                  <w:tcW w:w="441"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0.04</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0.06</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0.04</w:t>
                  </w:r>
                </w:p>
              </w:tc>
              <w:tc>
                <w:tcPr>
                  <w:tcW w:w="420"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阴离子表面活性剂</w:t>
                  </w:r>
                </w:p>
              </w:tc>
              <w:tc>
                <w:tcPr>
                  <w:tcW w:w="38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mg/L</w:t>
                  </w:r>
                </w:p>
              </w:tc>
              <w:tc>
                <w:tcPr>
                  <w:tcW w:w="359"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0.05L</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0.05L</w:t>
                  </w:r>
                </w:p>
              </w:tc>
              <w:tc>
                <w:tcPr>
                  <w:tcW w:w="441"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0.05L</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0.05L</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0.05L</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0.05L</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0.05L</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0.05L</w:t>
                  </w:r>
                </w:p>
              </w:tc>
              <w:tc>
                <w:tcPr>
                  <w:tcW w:w="420"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 w:hRule="atLeast"/>
                <w:jc w:val="center"/>
              </w:trPr>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氰化物</w:t>
                  </w:r>
                </w:p>
              </w:tc>
              <w:tc>
                <w:tcPr>
                  <w:tcW w:w="38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mg/L</w:t>
                  </w:r>
                </w:p>
              </w:tc>
              <w:tc>
                <w:tcPr>
                  <w:tcW w:w="359"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41"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20"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jc w:val="center"/>
              </w:trPr>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挥发酚</w:t>
                  </w:r>
                </w:p>
              </w:tc>
              <w:tc>
                <w:tcPr>
                  <w:tcW w:w="38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mg/L</w:t>
                  </w:r>
                </w:p>
              </w:tc>
              <w:tc>
                <w:tcPr>
                  <w:tcW w:w="359" w:type="pct"/>
                  <w:vAlign w:val="center"/>
                </w:tcPr>
                <w:p>
                  <w:pPr>
                    <w:pStyle w:val="56"/>
                    <w:keepNext w:val="0"/>
                    <w:keepLines w:val="0"/>
                    <w:pageBreakBefore w:val="0"/>
                    <w:widowControl w:val="0"/>
                    <w:kinsoku/>
                    <w:wordWrap/>
                    <w:overflowPunct/>
                    <w:topLinePunct w:val="0"/>
                    <w:autoSpaceDE/>
                    <w:autoSpaceDN/>
                    <w:bidi w:val="0"/>
                    <w:adjustRightInd w:val="0"/>
                    <w:snapToGrid/>
                    <w:spacing w:line="240" w:lineRule="atLeast"/>
                    <w:ind w:left="-21" w:leftChars="-10" w:right="21" w:rightChars="1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0.0003</w:t>
                  </w:r>
                </w:p>
              </w:tc>
              <w:tc>
                <w:tcPr>
                  <w:tcW w:w="438" w:type="pct"/>
                  <w:vAlign w:val="center"/>
                </w:tcPr>
                <w:p>
                  <w:pPr>
                    <w:pStyle w:val="56"/>
                    <w:keepNext w:val="0"/>
                    <w:keepLines w:val="0"/>
                    <w:pageBreakBefore w:val="0"/>
                    <w:widowControl w:val="0"/>
                    <w:kinsoku/>
                    <w:wordWrap/>
                    <w:overflowPunct/>
                    <w:topLinePunct w:val="0"/>
                    <w:autoSpaceDE/>
                    <w:autoSpaceDN/>
                    <w:bidi w:val="0"/>
                    <w:adjustRightInd w:val="0"/>
                    <w:snapToGrid/>
                    <w:spacing w:line="240" w:lineRule="atLeast"/>
                    <w:ind w:left="-21" w:leftChars="-10" w:right="21" w:rightChars="1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0.0003L</w:t>
                  </w:r>
                </w:p>
              </w:tc>
              <w:tc>
                <w:tcPr>
                  <w:tcW w:w="438" w:type="pct"/>
                  <w:vAlign w:val="center"/>
                </w:tcPr>
                <w:p>
                  <w:pPr>
                    <w:pStyle w:val="56"/>
                    <w:keepNext w:val="0"/>
                    <w:keepLines w:val="0"/>
                    <w:pageBreakBefore w:val="0"/>
                    <w:widowControl w:val="0"/>
                    <w:kinsoku/>
                    <w:wordWrap/>
                    <w:overflowPunct/>
                    <w:topLinePunct w:val="0"/>
                    <w:autoSpaceDE/>
                    <w:autoSpaceDN/>
                    <w:bidi w:val="0"/>
                    <w:adjustRightInd w:val="0"/>
                    <w:snapToGrid/>
                    <w:spacing w:line="240" w:lineRule="atLeast"/>
                    <w:ind w:left="-21" w:leftChars="-10" w:right="21" w:rightChars="1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0.0003L</w:t>
                  </w:r>
                </w:p>
              </w:tc>
              <w:tc>
                <w:tcPr>
                  <w:tcW w:w="441" w:type="pct"/>
                  <w:vAlign w:val="center"/>
                </w:tcPr>
                <w:p>
                  <w:pPr>
                    <w:pStyle w:val="56"/>
                    <w:keepNext w:val="0"/>
                    <w:keepLines w:val="0"/>
                    <w:pageBreakBefore w:val="0"/>
                    <w:widowControl w:val="0"/>
                    <w:kinsoku/>
                    <w:wordWrap/>
                    <w:overflowPunct/>
                    <w:topLinePunct w:val="0"/>
                    <w:autoSpaceDE/>
                    <w:autoSpaceDN/>
                    <w:bidi w:val="0"/>
                    <w:adjustRightInd w:val="0"/>
                    <w:snapToGrid/>
                    <w:spacing w:line="240" w:lineRule="atLeast"/>
                    <w:ind w:left="-21" w:leftChars="-10" w:right="21" w:rightChars="1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0.0003L</w:t>
                  </w:r>
                </w:p>
              </w:tc>
              <w:tc>
                <w:tcPr>
                  <w:tcW w:w="438" w:type="pct"/>
                  <w:vAlign w:val="center"/>
                </w:tcPr>
                <w:p>
                  <w:pPr>
                    <w:pStyle w:val="56"/>
                    <w:keepNext w:val="0"/>
                    <w:keepLines w:val="0"/>
                    <w:pageBreakBefore w:val="0"/>
                    <w:widowControl w:val="0"/>
                    <w:kinsoku/>
                    <w:wordWrap/>
                    <w:overflowPunct/>
                    <w:topLinePunct w:val="0"/>
                    <w:autoSpaceDE/>
                    <w:autoSpaceDN/>
                    <w:bidi w:val="0"/>
                    <w:adjustRightInd w:val="0"/>
                    <w:snapToGrid/>
                    <w:spacing w:line="240" w:lineRule="atLeast"/>
                    <w:ind w:left="-21" w:leftChars="-10" w:right="21" w:rightChars="1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0.0003L</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21" w:leftChars="-10" w:right="-21" w:rightChars="-1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0.0003L</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21" w:leftChars="-10" w:right="-21" w:rightChars="-1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0.0003L</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21" w:leftChars="-10" w:right="-21" w:rightChars="-1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0.0003L</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21" w:leftChars="-10" w:right="-21" w:rightChars="-1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0.0003L</w:t>
                  </w:r>
                </w:p>
              </w:tc>
              <w:tc>
                <w:tcPr>
                  <w:tcW w:w="420"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21" w:leftChars="-10" w:right="-21" w:rightChars="-1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0.0003L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石油类</w:t>
                  </w:r>
                </w:p>
              </w:tc>
              <w:tc>
                <w:tcPr>
                  <w:tcW w:w="38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mg/L</w:t>
                  </w:r>
                </w:p>
              </w:tc>
              <w:tc>
                <w:tcPr>
                  <w:tcW w:w="359"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0.01</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0.03</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0.03</w:t>
                  </w:r>
                </w:p>
              </w:tc>
              <w:tc>
                <w:tcPr>
                  <w:tcW w:w="441"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0.01</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0.03</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0.03</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0.03</w:t>
                  </w:r>
                </w:p>
              </w:tc>
              <w:tc>
                <w:tcPr>
                  <w:tcW w:w="420"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jc w:val="center"/>
              </w:trPr>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六价铬</w:t>
                  </w:r>
                </w:p>
              </w:tc>
              <w:tc>
                <w:tcPr>
                  <w:tcW w:w="38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mg/L</w:t>
                  </w:r>
                </w:p>
              </w:tc>
              <w:tc>
                <w:tcPr>
                  <w:tcW w:w="359"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41"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0.006</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0.005</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0.004L</w:t>
                  </w:r>
                </w:p>
              </w:tc>
              <w:tc>
                <w:tcPr>
                  <w:tcW w:w="420"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 w:hRule="atLeast"/>
                <w:jc w:val="center"/>
              </w:trPr>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38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mg/L</w:t>
                  </w:r>
                </w:p>
              </w:tc>
              <w:tc>
                <w:tcPr>
                  <w:tcW w:w="359"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0.02L</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0.02L</w:t>
                  </w:r>
                </w:p>
              </w:tc>
              <w:tc>
                <w:tcPr>
                  <w:tcW w:w="441"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0.02L</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0.02L</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0.02L</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0.02L</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0.02L</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0.02L</w:t>
                  </w:r>
                </w:p>
              </w:tc>
              <w:tc>
                <w:tcPr>
                  <w:tcW w:w="420"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0.02L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 w:hRule="atLeast"/>
                <w:jc w:val="center"/>
              </w:trPr>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rPr>
                    <w:t>锌</w:t>
                  </w:r>
                </w:p>
              </w:tc>
              <w:tc>
                <w:tcPr>
                  <w:tcW w:w="38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1"/>
                      <w:sz w:val="21"/>
                      <w:szCs w:val="21"/>
                    </w:rPr>
                    <w:t>mg/L</w:t>
                  </w:r>
                </w:p>
              </w:tc>
              <w:tc>
                <w:tcPr>
                  <w:tcW w:w="359"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2"/>
                      <w:sz w:val="21"/>
                      <w:szCs w:val="21"/>
                    </w:rPr>
                    <w:t>0.02</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2"/>
                      <w:sz w:val="21"/>
                      <w:szCs w:val="21"/>
                    </w:rPr>
                    <w:t>0.02L</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2"/>
                      <w:sz w:val="21"/>
                      <w:szCs w:val="21"/>
                    </w:rPr>
                    <w:t>0.02L</w:t>
                  </w:r>
                </w:p>
              </w:tc>
              <w:tc>
                <w:tcPr>
                  <w:tcW w:w="441"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2"/>
                      <w:sz w:val="21"/>
                      <w:szCs w:val="21"/>
                    </w:rPr>
                    <w:t>0.02L</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2"/>
                      <w:sz w:val="21"/>
                      <w:szCs w:val="21"/>
                    </w:rPr>
                    <w:t>0.02L</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2"/>
                      <w:sz w:val="21"/>
                      <w:szCs w:val="21"/>
                    </w:rPr>
                    <w:t>0.02L</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2"/>
                      <w:sz w:val="21"/>
                      <w:szCs w:val="21"/>
                    </w:rPr>
                    <w:t>0.02L</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2"/>
                      <w:sz w:val="21"/>
                      <w:szCs w:val="21"/>
                    </w:rPr>
                    <w:t>0.02L</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2"/>
                      <w:sz w:val="21"/>
                      <w:szCs w:val="21"/>
                    </w:rPr>
                    <w:t>0.02L</w:t>
                  </w:r>
                </w:p>
              </w:tc>
              <w:tc>
                <w:tcPr>
                  <w:tcW w:w="420"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2"/>
                      <w:sz w:val="21"/>
                      <w:szCs w:val="21"/>
                    </w:rPr>
                    <w:t>0.02L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 w:hRule="atLeast"/>
                <w:jc w:val="center"/>
              </w:trPr>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rPr>
                    <w:t>铅</w:t>
                  </w:r>
                </w:p>
              </w:tc>
              <w:tc>
                <w:tcPr>
                  <w:tcW w:w="38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11"/>
                      <w:sz w:val="21"/>
                      <w:szCs w:val="21"/>
                    </w:rPr>
                    <w:t>μg/L</w:t>
                  </w:r>
                </w:p>
              </w:tc>
              <w:tc>
                <w:tcPr>
                  <w:tcW w:w="359"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rPr>
                    <w:t>1</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6"/>
                      <w:sz w:val="21"/>
                      <w:szCs w:val="21"/>
                    </w:rPr>
                    <w:t>1L</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6"/>
                      <w:sz w:val="21"/>
                      <w:szCs w:val="21"/>
                    </w:rPr>
                    <w:t>1L</w:t>
                  </w:r>
                </w:p>
              </w:tc>
              <w:tc>
                <w:tcPr>
                  <w:tcW w:w="441"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6"/>
                      <w:sz w:val="21"/>
                      <w:szCs w:val="21"/>
                    </w:rPr>
                    <w:t>1L</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6"/>
                      <w:sz w:val="21"/>
                      <w:szCs w:val="21"/>
                    </w:rPr>
                    <w:t>1L</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6"/>
                      <w:sz w:val="21"/>
                      <w:szCs w:val="21"/>
                    </w:rPr>
                    <w:t>1L</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6"/>
                      <w:sz w:val="21"/>
                      <w:szCs w:val="21"/>
                    </w:rPr>
                    <w:t>1L</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6"/>
                      <w:sz w:val="21"/>
                      <w:szCs w:val="21"/>
                    </w:rPr>
                    <w:t>1L</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6"/>
                      <w:sz w:val="21"/>
                      <w:szCs w:val="21"/>
                    </w:rPr>
                    <w:t>1L</w:t>
                  </w:r>
                </w:p>
              </w:tc>
              <w:tc>
                <w:tcPr>
                  <w:tcW w:w="420"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6"/>
                      <w:sz w:val="21"/>
                      <w:szCs w:val="21"/>
                    </w:rPr>
                    <w:t>1L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 w:hRule="atLeast"/>
                <w:jc w:val="center"/>
              </w:trPr>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rPr>
                    <w:t>镉</w:t>
                  </w:r>
                </w:p>
              </w:tc>
              <w:tc>
                <w:tcPr>
                  <w:tcW w:w="38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11"/>
                      <w:sz w:val="21"/>
                      <w:szCs w:val="21"/>
                    </w:rPr>
                    <w:t>μg/L</w:t>
                  </w:r>
                </w:p>
              </w:tc>
              <w:tc>
                <w:tcPr>
                  <w:tcW w:w="359"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2"/>
                      <w:sz w:val="21"/>
                      <w:szCs w:val="21"/>
                    </w:rPr>
                    <w:t>0.1</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0.1L</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2"/>
                      <w:sz w:val="21"/>
                      <w:szCs w:val="21"/>
                    </w:rPr>
                    <w:t>0.1</w:t>
                  </w:r>
                </w:p>
              </w:tc>
              <w:tc>
                <w:tcPr>
                  <w:tcW w:w="441"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2"/>
                      <w:sz w:val="21"/>
                      <w:szCs w:val="21"/>
                    </w:rPr>
                    <w:t>0.1</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0.1L</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2"/>
                      <w:sz w:val="21"/>
                      <w:szCs w:val="21"/>
                    </w:rPr>
                    <w:t>0.2</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2"/>
                      <w:sz w:val="21"/>
                      <w:szCs w:val="21"/>
                    </w:rPr>
                    <w:t>0.3</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0.1L</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2"/>
                      <w:sz w:val="21"/>
                      <w:szCs w:val="21"/>
                    </w:rPr>
                    <w:t>0.1</w:t>
                  </w:r>
                </w:p>
              </w:tc>
              <w:tc>
                <w:tcPr>
                  <w:tcW w:w="420"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2"/>
                      <w:sz w:val="21"/>
                      <w:szCs w:val="21"/>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 w:hRule="atLeast"/>
                <w:jc w:val="center"/>
              </w:trPr>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rPr>
                    <w:t>镍</w:t>
                  </w:r>
                </w:p>
              </w:tc>
              <w:tc>
                <w:tcPr>
                  <w:tcW w:w="38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11"/>
                      <w:sz w:val="21"/>
                      <w:szCs w:val="21"/>
                    </w:rPr>
                    <w:t>μg/L</w:t>
                  </w:r>
                </w:p>
              </w:tc>
              <w:tc>
                <w:tcPr>
                  <w:tcW w:w="359"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rPr>
                    <w:t>5</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5L</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5L</w:t>
                  </w:r>
                </w:p>
              </w:tc>
              <w:tc>
                <w:tcPr>
                  <w:tcW w:w="441"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5L</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5L</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5L</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5L</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5L</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5L</w:t>
                  </w:r>
                </w:p>
              </w:tc>
              <w:tc>
                <w:tcPr>
                  <w:tcW w:w="420"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5L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 w:hRule="atLeast"/>
                <w:jc w:val="center"/>
              </w:trPr>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rPr>
                    <w:t>砷</w:t>
                  </w:r>
                </w:p>
              </w:tc>
              <w:tc>
                <w:tcPr>
                  <w:tcW w:w="38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11"/>
                      <w:sz w:val="21"/>
                      <w:szCs w:val="21"/>
                    </w:rPr>
                    <w:t>μg/L</w:t>
                  </w:r>
                </w:p>
              </w:tc>
              <w:tc>
                <w:tcPr>
                  <w:tcW w:w="359"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2"/>
                      <w:sz w:val="21"/>
                      <w:szCs w:val="21"/>
                    </w:rPr>
                    <w:t>0.3</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0.3L</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0.3I</w:t>
                  </w:r>
                </w:p>
              </w:tc>
              <w:tc>
                <w:tcPr>
                  <w:tcW w:w="441"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0.3L</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0.3L</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0.3L</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0.3L</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0.3L</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0.3L</w:t>
                  </w:r>
                </w:p>
              </w:tc>
              <w:tc>
                <w:tcPr>
                  <w:tcW w:w="420"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0.3L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 w:hRule="atLeast"/>
                <w:jc w:val="center"/>
              </w:trPr>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2"/>
                      <w:sz w:val="21"/>
                      <w:szCs w:val="21"/>
                    </w:rPr>
                    <w:t>粪大肠菌群</w:t>
                  </w:r>
                </w:p>
              </w:tc>
              <w:tc>
                <w:tcPr>
                  <w:tcW w:w="38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1"/>
                      <w:sz w:val="21"/>
                      <w:szCs w:val="21"/>
                    </w:rPr>
                    <w:t>MPN/L</w:t>
                  </w:r>
                </w:p>
              </w:tc>
              <w:tc>
                <w:tcPr>
                  <w:tcW w:w="359"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20</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4"/>
                      <w:sz w:val="21"/>
                      <w:szCs w:val="21"/>
                    </w:rPr>
                    <w:t>1.4×10²</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4"/>
                      <w:sz w:val="21"/>
                      <w:szCs w:val="21"/>
                    </w:rPr>
                    <w:t>1.1×10²</w:t>
                  </w:r>
                </w:p>
              </w:tc>
              <w:tc>
                <w:tcPr>
                  <w:tcW w:w="441"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70</w:t>
                  </w:r>
                </w:p>
              </w:tc>
              <w:tc>
                <w:tcPr>
                  <w:tcW w:w="438"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4"/>
                      <w:sz w:val="21"/>
                      <w:szCs w:val="21"/>
                    </w:rPr>
                    <w:t>1.1×10²</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4"/>
                      <w:sz w:val="21"/>
                      <w:szCs w:val="21"/>
                    </w:rPr>
                    <w:t>1.1×10²</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3"/>
                      <w:sz w:val="21"/>
                      <w:szCs w:val="21"/>
                    </w:rPr>
                    <w:t>80</w:t>
                  </w:r>
                </w:p>
              </w:tc>
              <w:tc>
                <w:tcPr>
                  <w:tcW w:w="414"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4"/>
                      <w:sz w:val="21"/>
                      <w:szCs w:val="21"/>
                    </w:rPr>
                    <w:t>1.1×10²</w:t>
                  </w:r>
                </w:p>
              </w:tc>
              <w:tc>
                <w:tcPr>
                  <w:tcW w:w="416"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4"/>
                      <w:sz w:val="21"/>
                      <w:szCs w:val="21"/>
                    </w:rPr>
                    <w:t>1.4×10²</w:t>
                  </w:r>
                </w:p>
              </w:tc>
              <w:tc>
                <w:tcPr>
                  <w:tcW w:w="420" w:type="pct"/>
                  <w:vAlign w:val="center"/>
                </w:tcPr>
                <w:p>
                  <w:pPr>
                    <w:pStyle w:val="56"/>
                    <w:keepNext w:val="0"/>
                    <w:keepLines w:val="0"/>
                    <w:pageBreakBefore w:val="0"/>
                    <w:widowControl w:val="0"/>
                    <w:kinsoku/>
                    <w:wordWrap/>
                    <w:overflowPunct/>
                    <w:topLinePunct w:val="0"/>
                    <w:autoSpaceDE/>
                    <w:autoSpaceDN/>
                    <w:bidi w:val="0"/>
                    <w:adjustRightInd/>
                    <w:snapToGrid/>
                    <w:spacing w:line="240" w:lineRule="atLeast"/>
                    <w:ind w:left="0" w:left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pacing w:val="-4"/>
                      <w:sz w:val="21"/>
                      <w:szCs w:val="21"/>
                    </w:rPr>
                    <w:t>1.1×10</w:t>
                  </w:r>
                  <w:r>
                    <w:rPr>
                      <w:rFonts w:hint="default" w:ascii="Times New Roman" w:hAnsi="Times New Roman" w:cs="Times New Roman"/>
                      <w:color w:val="auto"/>
                      <w:spacing w:val="-4"/>
                      <w:sz w:val="21"/>
                      <w:szCs w:val="21"/>
                      <w:vertAlign w:val="superscript"/>
                    </w:rPr>
                    <w:t>2</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史河</w:t>
            </w:r>
            <w:r>
              <w:rPr>
                <w:rFonts w:hint="default" w:ascii="Times New Roman" w:hAnsi="Times New Roman" w:cs="Times New Roman"/>
                <w:color w:val="auto"/>
                <w:sz w:val="24"/>
                <w:szCs w:val="24"/>
              </w:rPr>
              <w:t>水质</w:t>
            </w:r>
            <w:r>
              <w:rPr>
                <w:rFonts w:hint="default" w:ascii="Times New Roman" w:hAnsi="Times New Roman" w:cs="Times New Roman"/>
                <w:color w:val="auto"/>
                <w:sz w:val="24"/>
                <w:szCs w:val="24"/>
                <w:lang w:eastAsia="zh-CN"/>
              </w:rPr>
              <w:t>满足</w:t>
            </w:r>
            <w:r>
              <w:rPr>
                <w:rFonts w:hint="default" w:ascii="Times New Roman" w:hAnsi="Times New Roman" w:cs="Times New Roman"/>
                <w:color w:val="auto"/>
                <w:sz w:val="24"/>
                <w:szCs w:val="24"/>
              </w:rPr>
              <w:t>《地表水环境质量标准》（GB3838-2002）中的</w:t>
            </w:r>
            <w:r>
              <w:rPr>
                <w:rFonts w:hint="default" w:ascii="Times New Roman" w:hAnsi="Times New Roman" w:cs="Times New Roman"/>
                <w:color w:val="auto"/>
                <w:sz w:val="24"/>
                <w:szCs w:val="24"/>
                <w:lang w:val="en-US" w:eastAsia="zh-CN"/>
              </w:rPr>
              <w:t>Ⅲ</w:t>
            </w:r>
            <w:r>
              <w:rPr>
                <w:rFonts w:hint="default" w:ascii="Times New Roman" w:hAnsi="Times New Roman" w:cs="Times New Roman"/>
                <w:color w:val="auto"/>
                <w:sz w:val="24"/>
                <w:szCs w:val="24"/>
              </w:rPr>
              <w:t>类标准。</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rPr>
              <w:t>3、声环境</w:t>
            </w:r>
            <w:r>
              <w:rPr>
                <w:rFonts w:hint="default" w:ascii="Times New Roman" w:hAnsi="Times New Roman" w:cs="Times New Roman"/>
                <w:b/>
                <w:bCs/>
                <w:color w:val="auto"/>
                <w:sz w:val="24"/>
                <w:szCs w:val="24"/>
                <w:lang w:eastAsia="zh-CN"/>
              </w:rPr>
              <w:t>现状调查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本项目周边</w:t>
            </w:r>
            <w:r>
              <w:rPr>
                <w:rFonts w:hint="default" w:ascii="Times New Roman" w:hAnsi="Times New Roman" w:cs="Times New Roman"/>
                <w:color w:val="auto"/>
                <w:sz w:val="24"/>
                <w:lang w:val="en-US" w:eastAsia="zh-CN"/>
              </w:rPr>
              <w:t>50m范围内无声环境保护目标，</w:t>
            </w:r>
            <w:r>
              <w:rPr>
                <w:rFonts w:hint="default" w:ascii="Times New Roman" w:hAnsi="Times New Roman" w:eastAsia="宋体" w:cs="Times New Roman"/>
                <w:color w:val="auto"/>
                <w:sz w:val="24"/>
              </w:rPr>
              <w:t>根据《建设项目环境影响报告表编制技术指南（污染影响类）（试行）》，</w:t>
            </w:r>
            <w:r>
              <w:rPr>
                <w:rFonts w:hint="default" w:ascii="Times New Roman" w:hAnsi="Times New Roman" w:cs="Times New Roman"/>
                <w:color w:val="auto"/>
                <w:sz w:val="24"/>
                <w:lang w:eastAsia="zh-CN"/>
              </w:rPr>
              <w:t>可不进行声环境现状评价。</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lang w:val="en-GB" w:eastAsia="zh-CN"/>
              </w:rPr>
            </w:pPr>
            <w:r>
              <w:rPr>
                <w:rFonts w:hint="default" w:ascii="Times New Roman" w:hAnsi="Times New Roman" w:eastAsia="宋体" w:cs="Times New Roman"/>
                <w:b/>
                <w:bCs/>
                <w:color w:val="auto"/>
                <w:sz w:val="24"/>
                <w:lang w:val="en-GB"/>
              </w:rPr>
              <w:t>4、生态环境</w:t>
            </w:r>
            <w:r>
              <w:rPr>
                <w:rFonts w:hint="default" w:ascii="Times New Roman" w:hAnsi="Times New Roman" w:cs="Times New Roman"/>
                <w:b/>
                <w:bCs/>
                <w:color w:val="auto"/>
                <w:sz w:val="24"/>
                <w:lang w:val="en-GB" w:eastAsia="zh-CN"/>
              </w:rPr>
              <w:t>现状调查</w:t>
            </w:r>
          </w:p>
          <w:p>
            <w:pPr>
              <w:keepNext w:val="0"/>
              <w:keepLines w:val="0"/>
              <w:suppressLineNumbers w:val="0"/>
              <w:autoSpaceDE w:val="0"/>
              <w:spacing w:before="0" w:beforeAutospacing="0" w:after="0" w:afterAutospacing="0" w:line="360" w:lineRule="auto"/>
              <w:ind w:left="0" w:right="0" w:firstLine="480" w:firstLineChars="200"/>
              <w:rPr>
                <w:rFonts w:hint="default" w:ascii="Times New Roman" w:hAnsi="Times New Roman" w:eastAsia="宋体" w:cs="Times New Roman"/>
                <w:bCs/>
                <w:color w:val="auto"/>
                <w:kern w:val="1"/>
                <w:sz w:val="24"/>
                <w:szCs w:val="21"/>
              </w:rPr>
            </w:pPr>
            <w:r>
              <w:rPr>
                <w:rFonts w:hint="default" w:ascii="Times New Roman" w:hAnsi="Times New Roman" w:eastAsia="宋体" w:cs="Times New Roman"/>
                <w:bCs/>
                <w:color w:val="auto"/>
                <w:kern w:val="1"/>
                <w:sz w:val="24"/>
                <w:szCs w:val="21"/>
              </w:rPr>
              <w:t>项目用地范围内</w:t>
            </w:r>
            <w:r>
              <w:rPr>
                <w:rFonts w:hint="default" w:ascii="Times New Roman" w:hAnsi="Times New Roman" w:eastAsia="宋体" w:cs="Times New Roman"/>
                <w:color w:val="auto"/>
                <w:kern w:val="2"/>
                <w:sz w:val="24"/>
                <w:szCs w:val="24"/>
                <w:lang w:val="en-US" w:eastAsia="zh-CN" w:bidi="ar"/>
              </w:rPr>
              <w:t>不涉及生态环境保护目标，</w:t>
            </w:r>
            <w:r>
              <w:rPr>
                <w:rFonts w:hint="default" w:ascii="Times New Roman" w:hAnsi="Times New Roman" w:eastAsia="宋体" w:cs="Times New Roman"/>
                <w:color w:val="auto"/>
                <w:sz w:val="24"/>
                <w:szCs w:val="24"/>
                <w:lang w:val="en-US" w:eastAsia="zh-CN" w:bidi="ar"/>
              </w:rPr>
              <w:t>无需开展生态环境现状调查</w:t>
            </w:r>
            <w:r>
              <w:rPr>
                <w:rFonts w:hint="default" w:ascii="Times New Roman" w:hAnsi="Times New Roman" w:eastAsia="宋体" w:cs="Times New Roman"/>
                <w:bCs/>
                <w:color w:val="auto"/>
                <w:kern w:val="1"/>
                <w:sz w:val="24"/>
                <w:szCs w:val="21"/>
              </w:rPr>
              <w:t>。</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kern w:val="0"/>
                <w:sz w:val="24"/>
                <w:szCs w:val="21"/>
                <w:lang w:eastAsia="zh-CN"/>
              </w:rPr>
            </w:pPr>
            <w:r>
              <w:rPr>
                <w:rFonts w:hint="default" w:ascii="Times New Roman" w:hAnsi="Times New Roman" w:eastAsia="宋体" w:cs="Times New Roman"/>
                <w:b/>
                <w:bCs/>
                <w:color w:val="auto"/>
                <w:kern w:val="0"/>
                <w:sz w:val="24"/>
                <w:szCs w:val="21"/>
              </w:rPr>
              <w:t>5、电磁辐射</w:t>
            </w:r>
            <w:r>
              <w:rPr>
                <w:rFonts w:hint="default" w:ascii="Times New Roman" w:hAnsi="Times New Roman" w:cs="Times New Roman"/>
                <w:b/>
                <w:bCs/>
                <w:color w:val="auto"/>
                <w:kern w:val="0"/>
                <w:sz w:val="24"/>
                <w:szCs w:val="21"/>
                <w:lang w:eastAsia="zh-CN"/>
              </w:rPr>
              <w:t>现状调查</w:t>
            </w:r>
          </w:p>
          <w:p>
            <w:pPr>
              <w:pStyle w:val="2"/>
              <w:keepNext w:val="0"/>
              <w:keepLines w:val="0"/>
              <w:suppressLineNumbers w:val="0"/>
              <w:spacing w:before="0" w:beforeAutospacing="0" w:after="0" w:afterAutospacing="0" w:line="360" w:lineRule="auto"/>
              <w:ind w:left="0" w:right="0" w:firstLine="480"/>
              <w:jc w:val="both"/>
              <w:rPr>
                <w:rFonts w:hint="default" w:ascii="Times New Roman" w:hAnsi="Times New Roman" w:cs="Times New Roman"/>
                <w:b w:val="0"/>
                <w:color w:val="auto"/>
              </w:rPr>
            </w:pPr>
            <w:r>
              <w:rPr>
                <w:rFonts w:hint="default" w:ascii="Times New Roman" w:hAnsi="Times New Roman" w:cs="Times New Roman"/>
                <w:b w:val="0"/>
                <w:color w:val="auto"/>
              </w:rPr>
              <w:t>项目不涉及新建或改建、扩建广播电台、差转台、电视塔台、卫星地球上行站、雷达等电磁辐射类项目，无需开展电磁辐射现状监测与评价。</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kern w:val="0"/>
                <w:sz w:val="24"/>
                <w:szCs w:val="21"/>
                <w:lang w:eastAsia="zh-CN"/>
              </w:rPr>
            </w:pPr>
            <w:r>
              <w:rPr>
                <w:rFonts w:hint="default" w:ascii="Times New Roman" w:hAnsi="Times New Roman" w:eastAsia="宋体" w:cs="Times New Roman"/>
                <w:b/>
                <w:bCs/>
                <w:color w:val="auto"/>
                <w:kern w:val="0"/>
                <w:sz w:val="24"/>
                <w:szCs w:val="21"/>
              </w:rPr>
              <w:t>6、地下水、土壤</w:t>
            </w:r>
            <w:r>
              <w:rPr>
                <w:rFonts w:hint="default" w:ascii="Times New Roman" w:hAnsi="Times New Roman" w:cs="Times New Roman"/>
                <w:b/>
                <w:bCs/>
                <w:color w:val="auto"/>
                <w:kern w:val="0"/>
                <w:sz w:val="24"/>
                <w:szCs w:val="21"/>
                <w:lang w:eastAsia="zh-CN"/>
              </w:rPr>
              <w:t>现状调查</w:t>
            </w:r>
          </w:p>
          <w:p>
            <w:pPr>
              <w:pStyle w:val="2"/>
              <w:keepNext w:val="0"/>
              <w:keepLines w:val="0"/>
              <w:suppressLineNumbers w:val="0"/>
              <w:spacing w:before="0" w:beforeAutospacing="0" w:after="0" w:afterAutospacing="0" w:line="360" w:lineRule="auto"/>
              <w:ind w:left="0" w:right="0" w:firstLine="480"/>
              <w:jc w:val="both"/>
              <w:rPr>
                <w:rFonts w:hint="default" w:ascii="Times New Roman" w:hAnsi="Times New Roman" w:cs="Times New Roman"/>
                <w:b w:val="0"/>
                <w:color w:val="auto"/>
              </w:rPr>
            </w:pPr>
            <w:r>
              <w:rPr>
                <w:rFonts w:hint="default" w:ascii="Times New Roman" w:hAnsi="Times New Roman" w:cs="Times New Roman"/>
                <w:b w:val="0"/>
                <w:color w:val="auto"/>
              </w:rPr>
              <w:t>根据《建设项目环境影响报告表编制技术指南（污染影响类）》（试行），原则上对地下水和土壤不开展环境质量现状调查，本项目采取分区防渗措施；基本上不存在地下水和土壤污染途径，因此本次未开展地下水和土壤环境现状监</w:t>
            </w:r>
            <w:r>
              <w:rPr>
                <w:rFonts w:hint="default" w:ascii="Times New Roman" w:hAnsi="Times New Roman" w:cs="Times New Roman"/>
                <w:b w:val="0"/>
                <w:color w:val="auto"/>
                <w:lang w:eastAsia="zh-CN"/>
              </w:rPr>
              <w:t>测</w:t>
            </w:r>
            <w:r>
              <w:rPr>
                <w:rFonts w:hint="default" w:ascii="Times New Roman" w:hAnsi="Times New Roman" w:cs="Times New Roman"/>
                <w:b w:val="0"/>
                <w:color w:val="auto"/>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项目位于</w:t>
            </w:r>
            <w:r>
              <w:rPr>
                <w:rFonts w:hint="eastAsia" w:ascii="宋体" w:hAnsi="宋体" w:cs="宋体"/>
                <w:sz w:val="24"/>
                <w:szCs w:val="24"/>
                <w:lang w:eastAsia="zh-CN"/>
              </w:rPr>
              <w:t>安徽金寨经济开发区</w:t>
            </w:r>
            <w:r>
              <w:rPr>
                <w:rFonts w:ascii="宋体" w:hAnsi="宋体" w:eastAsia="宋体" w:cs="宋体"/>
                <w:sz w:val="24"/>
                <w:szCs w:val="24"/>
              </w:rPr>
              <w:t>清水路与新四路交叉口</w:t>
            </w:r>
            <w:r>
              <w:rPr>
                <w:rFonts w:hint="default" w:ascii="Times New Roman" w:hAnsi="Times New Roman" w:cs="Times New Roman"/>
                <w:color w:val="auto"/>
                <w:sz w:val="24"/>
                <w:szCs w:val="24"/>
                <w:lang w:val="en-US" w:eastAsia="zh-CN"/>
              </w:rPr>
              <w:t>，项目区500m范围内无自然保护区、风景名胜区和文物古迹等需要特殊保护的环境敏感对象；厂界外50m范围内无声环境保护目标；厂界外500m范围内无地下水集中式饮用水水源和热水、矿泉水、温泉等特殊地下水资源；项目周边范围内无生态环境保护目标。项目主要环境保护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1、大气环境：</w:t>
            </w:r>
            <w:r>
              <w:rPr>
                <w:rFonts w:hint="default" w:ascii="Times New Roman" w:hAnsi="Times New Roman" w:cs="Times New Roman"/>
                <w:color w:val="auto"/>
                <w:sz w:val="24"/>
                <w:szCs w:val="24"/>
                <w:lang w:val="en-US" w:eastAsia="zh-CN"/>
              </w:rPr>
              <w:t>评价区域环境空气质量满足《环境空气质量标准》（GB3095-2012）及2018年修改单中二级标准。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2、地表水环境：</w:t>
            </w:r>
            <w:r>
              <w:rPr>
                <w:rFonts w:hint="default" w:ascii="Times New Roman" w:hAnsi="Times New Roman" w:cs="Times New Roman"/>
                <w:color w:val="auto"/>
                <w:sz w:val="24"/>
                <w:szCs w:val="24"/>
                <w:lang w:val="en-US" w:eastAsia="zh-CN"/>
              </w:rPr>
              <w:t>史河水质满足《地表水环境质量标准》（GB3838-2002）中Ⅲ类标准。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3、声环境：</w:t>
            </w:r>
            <w:r>
              <w:rPr>
                <w:rFonts w:hint="default" w:ascii="Times New Roman" w:hAnsi="Times New Roman" w:cs="Times New Roman"/>
                <w:color w:val="auto"/>
                <w:sz w:val="24"/>
                <w:szCs w:val="24"/>
                <w:lang w:val="en-US" w:eastAsia="zh-CN"/>
              </w:rPr>
              <w:t>区域声环境满足《声环境质量标准》（GB3096-2008）中的3类标准。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4、地下水环境：</w:t>
            </w:r>
            <w:r>
              <w:rPr>
                <w:rFonts w:hint="default" w:ascii="Times New Roman" w:hAnsi="Times New Roman" w:cs="Times New Roman"/>
                <w:color w:val="auto"/>
                <w:sz w:val="24"/>
                <w:szCs w:val="24"/>
                <w:lang w:val="en-US" w:eastAsia="zh-CN"/>
              </w:rPr>
              <w:t>地下水质量满足《地下水质量标准》（GB/T14848-2017）中Ⅲ类标准。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5、生态环境：</w:t>
            </w:r>
            <w:r>
              <w:rPr>
                <w:rFonts w:hint="default" w:ascii="Times New Roman" w:hAnsi="Times New Roman" w:cs="Times New Roman"/>
                <w:color w:val="auto"/>
                <w:sz w:val="24"/>
                <w:szCs w:val="24"/>
                <w:lang w:val="en-US" w:eastAsia="zh-CN"/>
              </w:rPr>
              <w:t>项目位于</w:t>
            </w:r>
            <w:r>
              <w:rPr>
                <w:rFonts w:hint="eastAsia" w:ascii="宋体" w:hAnsi="宋体" w:cs="宋体"/>
                <w:sz w:val="24"/>
                <w:szCs w:val="24"/>
                <w:lang w:eastAsia="zh-CN"/>
              </w:rPr>
              <w:t>安徽金寨经济开发区</w:t>
            </w:r>
            <w:r>
              <w:rPr>
                <w:rFonts w:ascii="宋体" w:hAnsi="宋体" w:eastAsia="宋体" w:cs="宋体"/>
                <w:sz w:val="24"/>
                <w:szCs w:val="24"/>
              </w:rPr>
              <w:t>清水路与新四路交叉口</w:t>
            </w:r>
            <w:r>
              <w:rPr>
                <w:rFonts w:hint="default" w:ascii="Times New Roman" w:hAnsi="Times New Roman" w:cs="Times New Roman"/>
                <w:color w:val="auto"/>
                <w:sz w:val="24"/>
                <w:szCs w:val="24"/>
                <w:lang w:val="en-US" w:eastAsia="zh-CN"/>
              </w:rPr>
              <w:t>，无需保护的生态环境保护目标。根据现场勘查，项目地块周边主要环境保护目标如下表。</w:t>
            </w:r>
          </w:p>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color w:val="auto"/>
                <w:sz w:val="24"/>
                <w:szCs w:val="24"/>
                <w:lang w:val="en-US"/>
              </w:rPr>
            </w:pPr>
            <w:r>
              <w:rPr>
                <w:rFonts w:hint="default" w:ascii="Times New Roman" w:hAnsi="Times New Roman" w:eastAsia="Times New Roman" w:cs="Times New Roman"/>
                <w:b/>
                <w:bCs/>
                <w:color w:val="auto"/>
                <w:kern w:val="2"/>
                <w:sz w:val="24"/>
                <w:szCs w:val="24"/>
                <w:lang w:val="en-US" w:eastAsia="zh-CN" w:bidi="ar"/>
              </w:rPr>
              <w:t>表3.5主要环境保护目标</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4"/>
              <w:gridCol w:w="1141"/>
              <w:gridCol w:w="642"/>
              <w:gridCol w:w="611"/>
              <w:gridCol w:w="782"/>
              <w:gridCol w:w="970"/>
              <w:gridCol w:w="1553"/>
              <w:gridCol w:w="782"/>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lang w:val="en-US" w:eastAsia="zh-CN" w:bidi="ar"/>
                    </w:rPr>
                  </w:pPr>
                  <w:r>
                    <w:rPr>
                      <w:rFonts w:hint="default" w:ascii="Times New Roman" w:hAnsi="Times New Roman" w:eastAsia="宋体" w:cs="Times New Roman"/>
                      <w:b/>
                      <w:bCs/>
                      <w:color w:val="auto"/>
                      <w:kern w:val="2"/>
                      <w:sz w:val="21"/>
                      <w:szCs w:val="21"/>
                      <w:lang w:val="en-US" w:eastAsia="zh-CN" w:bidi="ar"/>
                    </w:rPr>
                    <w:t>环境</w:t>
                  </w:r>
                </w:p>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b/>
                      <w:bCs/>
                      <w:color w:val="auto"/>
                      <w:szCs w:val="21"/>
                      <w:lang w:val="en-US"/>
                    </w:rPr>
                  </w:pPr>
                  <w:r>
                    <w:rPr>
                      <w:rFonts w:hint="default" w:ascii="Times New Roman" w:hAnsi="Times New Roman" w:eastAsia="宋体" w:cs="Times New Roman"/>
                      <w:b/>
                      <w:bCs/>
                      <w:color w:val="auto"/>
                      <w:kern w:val="2"/>
                      <w:sz w:val="21"/>
                      <w:szCs w:val="21"/>
                      <w:lang w:val="en-US" w:eastAsia="zh-CN" w:bidi="ar"/>
                    </w:rPr>
                    <w:t>要素</w:t>
                  </w:r>
                </w:p>
              </w:tc>
              <w:tc>
                <w:tcPr>
                  <w:tcW w:w="681"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b/>
                      <w:bCs/>
                      <w:color w:val="auto"/>
                      <w:szCs w:val="21"/>
                      <w:lang w:val="en-US"/>
                    </w:rPr>
                  </w:pPr>
                  <w:r>
                    <w:rPr>
                      <w:rFonts w:hint="default" w:ascii="Times New Roman" w:hAnsi="Times New Roman" w:eastAsia="宋体" w:cs="Times New Roman"/>
                      <w:b/>
                      <w:bCs/>
                      <w:color w:val="auto"/>
                      <w:kern w:val="2"/>
                      <w:sz w:val="21"/>
                      <w:szCs w:val="21"/>
                      <w:lang w:val="en-US" w:eastAsia="zh-CN" w:bidi="ar"/>
                    </w:rPr>
                    <w:t>名称</w:t>
                  </w:r>
                </w:p>
              </w:tc>
              <w:tc>
                <w:tcPr>
                  <w:tcW w:w="748"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b/>
                      <w:bCs/>
                      <w:color w:val="auto"/>
                      <w:szCs w:val="21"/>
                      <w:lang w:val="en-US"/>
                    </w:rPr>
                  </w:pPr>
                  <w:r>
                    <w:rPr>
                      <w:rFonts w:hint="default" w:ascii="Times New Roman" w:hAnsi="Times New Roman" w:eastAsia="宋体" w:cs="Times New Roman"/>
                      <w:b/>
                      <w:bCs/>
                      <w:color w:val="auto"/>
                      <w:kern w:val="2"/>
                      <w:sz w:val="21"/>
                      <w:szCs w:val="21"/>
                      <w:lang w:val="en-US" w:eastAsia="zh-CN" w:bidi="ar"/>
                    </w:rPr>
                    <w:t>坐标/m</w:t>
                  </w:r>
                </w:p>
              </w:tc>
              <w:tc>
                <w:tcPr>
                  <w:tcW w:w="467"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b/>
                      <w:bCs/>
                      <w:color w:val="auto"/>
                      <w:szCs w:val="21"/>
                      <w:lang w:val="en-US"/>
                    </w:rPr>
                  </w:pPr>
                  <w:r>
                    <w:rPr>
                      <w:rFonts w:hint="default" w:ascii="Times New Roman" w:hAnsi="Times New Roman" w:eastAsia="宋体" w:cs="Times New Roman"/>
                      <w:b/>
                      <w:bCs/>
                      <w:color w:val="auto"/>
                      <w:kern w:val="2"/>
                      <w:sz w:val="21"/>
                      <w:szCs w:val="21"/>
                      <w:lang w:val="en-US" w:eastAsia="zh-CN" w:bidi="ar"/>
                    </w:rPr>
                    <w:t>保护对象</w:t>
                  </w:r>
                </w:p>
              </w:tc>
              <w:tc>
                <w:tcPr>
                  <w:tcW w:w="579"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b/>
                      <w:bCs/>
                      <w:color w:val="auto"/>
                      <w:szCs w:val="21"/>
                      <w:lang w:val="en-US"/>
                    </w:rPr>
                  </w:pPr>
                  <w:r>
                    <w:rPr>
                      <w:rFonts w:hint="default" w:ascii="Times New Roman" w:hAnsi="Times New Roman" w:eastAsia="宋体" w:cs="Times New Roman"/>
                      <w:b/>
                      <w:bCs/>
                      <w:color w:val="auto"/>
                      <w:kern w:val="2"/>
                      <w:sz w:val="21"/>
                      <w:szCs w:val="21"/>
                      <w:lang w:val="en-US" w:eastAsia="zh-CN" w:bidi="ar"/>
                    </w:rPr>
                    <w:t>保护内容</w:t>
                  </w:r>
                </w:p>
              </w:tc>
              <w:tc>
                <w:tcPr>
                  <w:tcW w:w="927"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b/>
                      <w:bCs/>
                      <w:color w:val="auto"/>
                      <w:szCs w:val="21"/>
                      <w:lang w:val="en-US"/>
                    </w:rPr>
                  </w:pPr>
                  <w:r>
                    <w:rPr>
                      <w:rFonts w:hint="default" w:ascii="Times New Roman" w:hAnsi="Times New Roman" w:eastAsia="宋体" w:cs="Times New Roman"/>
                      <w:b/>
                      <w:bCs/>
                      <w:color w:val="auto"/>
                      <w:kern w:val="2"/>
                      <w:sz w:val="21"/>
                      <w:szCs w:val="21"/>
                      <w:lang w:val="en-US" w:eastAsia="zh-CN" w:bidi="ar"/>
                    </w:rPr>
                    <w:t>环境功能区</w:t>
                  </w:r>
                </w:p>
              </w:tc>
              <w:tc>
                <w:tcPr>
                  <w:tcW w:w="467"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b/>
                      <w:bCs/>
                      <w:color w:val="auto"/>
                      <w:szCs w:val="21"/>
                      <w:lang w:val="en-US"/>
                    </w:rPr>
                  </w:pPr>
                  <w:r>
                    <w:rPr>
                      <w:rFonts w:hint="default" w:ascii="Times New Roman" w:hAnsi="Times New Roman" w:eastAsia="宋体" w:cs="Times New Roman"/>
                      <w:b/>
                      <w:bCs/>
                      <w:color w:val="auto"/>
                      <w:kern w:val="2"/>
                      <w:sz w:val="21"/>
                      <w:szCs w:val="21"/>
                      <w:lang w:val="en-US" w:eastAsia="zh-CN" w:bidi="ar"/>
                    </w:rPr>
                    <w:t>相对厂址位置</w:t>
                  </w:r>
                </w:p>
              </w:tc>
              <w:tc>
                <w:tcPr>
                  <w:tcW w:w="589"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b/>
                      <w:bCs/>
                      <w:color w:val="auto"/>
                      <w:szCs w:val="21"/>
                      <w:lang w:val="en-US"/>
                    </w:rPr>
                  </w:pPr>
                  <w:r>
                    <w:rPr>
                      <w:rFonts w:hint="default" w:ascii="Times New Roman" w:hAnsi="Times New Roman" w:eastAsia="宋体" w:cs="Times New Roman"/>
                      <w:b/>
                      <w:bCs/>
                      <w:color w:val="auto"/>
                      <w:kern w:val="2"/>
                      <w:sz w:val="21"/>
                      <w:szCs w:val="21"/>
                      <w:lang w:val="en-US" w:eastAsia="zh-CN" w:bidi="ar"/>
                    </w:rPr>
                    <w:t>相对厂界最近距离/m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540" w:type="pct"/>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color w:val="auto"/>
                      <w:sz w:val="20"/>
                      <w:szCs w:val="20"/>
                    </w:rPr>
                  </w:pPr>
                </w:p>
              </w:tc>
              <w:tc>
                <w:tcPr>
                  <w:tcW w:w="681" w:type="pct"/>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color w:val="auto"/>
                      <w:sz w:val="20"/>
                      <w:szCs w:val="20"/>
                    </w:rPr>
                  </w:pPr>
                </w:p>
              </w:tc>
              <w:tc>
                <w:tcPr>
                  <w:tcW w:w="3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kern w:val="2"/>
                      <w:sz w:val="21"/>
                      <w:szCs w:val="21"/>
                      <w:lang w:val="en-US" w:eastAsia="zh-CN" w:bidi="ar"/>
                    </w:rPr>
                    <w:t>X</w:t>
                  </w:r>
                </w:p>
              </w:tc>
              <w:tc>
                <w:tcPr>
                  <w:tcW w:w="36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Cs w:val="21"/>
                      <w:lang w:val="en-US"/>
                    </w:rPr>
                  </w:pPr>
                  <w:r>
                    <w:rPr>
                      <w:rFonts w:hint="default" w:ascii="Times New Roman" w:hAnsi="Times New Roman" w:eastAsia="宋体" w:cs="Times New Roman"/>
                      <w:b/>
                      <w:bCs/>
                      <w:color w:val="auto"/>
                      <w:kern w:val="2"/>
                      <w:sz w:val="21"/>
                      <w:szCs w:val="21"/>
                      <w:lang w:val="en-US" w:eastAsia="zh-CN" w:bidi="ar"/>
                    </w:rPr>
                    <w:t>Y</w:t>
                  </w:r>
                </w:p>
              </w:tc>
              <w:tc>
                <w:tcPr>
                  <w:tcW w:w="467" w:type="pct"/>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color w:val="auto"/>
                      <w:sz w:val="20"/>
                      <w:szCs w:val="20"/>
                    </w:rPr>
                  </w:pPr>
                </w:p>
              </w:tc>
              <w:tc>
                <w:tcPr>
                  <w:tcW w:w="579" w:type="pct"/>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color w:val="auto"/>
                      <w:sz w:val="20"/>
                      <w:szCs w:val="20"/>
                    </w:rPr>
                  </w:pPr>
                </w:p>
              </w:tc>
              <w:tc>
                <w:tcPr>
                  <w:tcW w:w="927" w:type="pct"/>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color w:val="auto"/>
                      <w:sz w:val="20"/>
                      <w:szCs w:val="20"/>
                    </w:rPr>
                  </w:pPr>
                </w:p>
              </w:tc>
              <w:tc>
                <w:tcPr>
                  <w:tcW w:w="467" w:type="pct"/>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color w:val="auto"/>
                      <w:sz w:val="20"/>
                      <w:szCs w:val="20"/>
                    </w:rPr>
                  </w:pPr>
                </w:p>
              </w:tc>
              <w:tc>
                <w:tcPr>
                  <w:tcW w:w="589" w:type="pct"/>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540" w:type="pct"/>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bookmarkStart w:id="16" w:name="OLE_LINK161" w:colFirst="4" w:colLast="5"/>
                  <w:r>
                    <w:rPr>
                      <w:rFonts w:hint="default" w:ascii="Times New Roman" w:hAnsi="Times New Roman" w:eastAsia="宋体" w:cs="Times New Roman"/>
                      <w:color w:val="auto"/>
                      <w:sz w:val="21"/>
                      <w:szCs w:val="21"/>
                    </w:rPr>
                    <w:t>大气</w:t>
                  </w:r>
                </w:p>
                <w:p>
                  <w:pPr>
                    <w:keepNext w:val="0"/>
                    <w:keepLines w:val="0"/>
                    <w:pageBreakBefore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w:t>
                  </w:r>
                </w:p>
              </w:tc>
              <w:tc>
                <w:tcPr>
                  <w:tcW w:w="68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spacing w:line="240" w:lineRule="auto"/>
                    <w:ind w:left="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rPr>
                    <w:t>/</w:t>
                  </w:r>
                </w:p>
              </w:tc>
              <w:tc>
                <w:tcPr>
                  <w:tcW w:w="383"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color w:val="auto"/>
                      <w:sz w:val="21"/>
                      <w:szCs w:val="21"/>
                    </w:rPr>
                    <w:t>/</w:t>
                  </w:r>
                </w:p>
              </w:tc>
              <w:tc>
                <w:tcPr>
                  <w:tcW w:w="364"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color w:val="auto"/>
                      <w:sz w:val="21"/>
                      <w:szCs w:val="21"/>
                    </w:rPr>
                    <w:t>/</w:t>
                  </w:r>
                </w:p>
              </w:tc>
              <w:tc>
                <w:tcPr>
                  <w:tcW w:w="46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rPr>
                    <w:t>/</w:t>
                  </w:r>
                </w:p>
              </w:tc>
              <w:tc>
                <w:tcPr>
                  <w:tcW w:w="57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rPr>
                    <w:t>/</w:t>
                  </w:r>
                </w:p>
              </w:tc>
              <w:tc>
                <w:tcPr>
                  <w:tcW w:w="92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《环境空气质量标准》（G</w:t>
                  </w:r>
                </w:p>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B3095-2</w:t>
                  </w:r>
                  <w:r>
                    <w:rPr>
                      <w:rFonts w:hint="default" w:ascii="Times New Roman" w:hAnsi="Times New Roman" w:cs="Times New Roman"/>
                      <w:color w:val="auto"/>
                      <w:szCs w:val="21"/>
                      <w:lang w:val="en-US" w:eastAsia="zh-CN"/>
                    </w:rPr>
                    <w:t>0</w:t>
                  </w:r>
                  <w:r>
                    <w:rPr>
                      <w:rFonts w:hint="default" w:ascii="Times New Roman" w:hAnsi="Times New Roman" w:eastAsia="宋体" w:cs="Times New Roman"/>
                      <w:color w:val="auto"/>
                      <w:szCs w:val="21"/>
                      <w:lang w:val="en-US" w:eastAsia="zh-CN"/>
                    </w:rPr>
                    <w:t>12）二类功能区</w:t>
                  </w:r>
                </w:p>
              </w:tc>
              <w:tc>
                <w:tcPr>
                  <w:tcW w:w="46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rPr>
                    <w:t>/</w:t>
                  </w:r>
                </w:p>
              </w:tc>
              <w:tc>
                <w:tcPr>
                  <w:tcW w:w="58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rPr>
                    <w:t>/</w:t>
                  </w:r>
                </w:p>
              </w:tc>
            </w:tr>
            <w:bookmarkEnd w:id="1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540" w:type="pct"/>
                  <w:tcBorders>
                    <w:tl2br w:val="nil"/>
                    <w:tr2bl w:val="nil"/>
                  </w:tcBorders>
                  <w:shd w:val="clear" w:color="auto" w:fill="auto"/>
                  <w:vAlign w:val="center"/>
                </w:tcPr>
                <w:p>
                  <w:pPr>
                    <w:pStyle w:val="64"/>
                    <w:keepNext w:val="0"/>
                    <w:keepLines w:val="0"/>
                    <w:pageBreakBefore w:val="0"/>
                    <w:widowControl/>
                    <w:kinsoku/>
                    <w:wordWrap/>
                    <w:overflowPunct/>
                    <w:topLinePunct w:val="0"/>
                    <w:autoSpaceDE/>
                    <w:autoSpaceDN/>
                    <w:bidi w:val="0"/>
                    <w:snapToGrid/>
                    <w:spacing w:before="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地表水</w:t>
                  </w:r>
                </w:p>
              </w:tc>
              <w:tc>
                <w:tcPr>
                  <w:tcW w:w="681" w:type="pct"/>
                  <w:tcBorders>
                    <w:tl2br w:val="nil"/>
                    <w:tr2bl w:val="nil"/>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val="0"/>
                    <w:snapToGrid/>
                    <w:spacing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史河</w:t>
                  </w:r>
                </w:p>
              </w:tc>
              <w:tc>
                <w:tcPr>
                  <w:tcW w:w="383" w:type="pct"/>
                  <w:tcBorders>
                    <w:tl2br w:val="nil"/>
                    <w:tr2bl w:val="nil"/>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val="0"/>
                    <w:snapToGrid/>
                    <w:spacing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364" w:type="pct"/>
                  <w:tcBorders>
                    <w:tl2br w:val="nil"/>
                    <w:tr2bl w:val="nil"/>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val="0"/>
                    <w:snapToGrid/>
                    <w:spacing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467" w:type="pct"/>
                  <w:tcBorders>
                    <w:tl2br w:val="nil"/>
                    <w:tr2bl w:val="nil"/>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val="0"/>
                    <w:snapToGrid/>
                    <w:spacing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河流</w:t>
                  </w:r>
                </w:p>
              </w:tc>
              <w:tc>
                <w:tcPr>
                  <w:tcW w:w="579" w:type="pct"/>
                  <w:tcBorders>
                    <w:tl2br w:val="nil"/>
                    <w:tr2bl w:val="nil"/>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val="0"/>
                    <w:snapToGrid/>
                    <w:spacing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中型河</w:t>
                  </w:r>
                </w:p>
              </w:tc>
              <w:tc>
                <w:tcPr>
                  <w:tcW w:w="927" w:type="pct"/>
                  <w:tcBorders>
                    <w:tl2br w:val="nil"/>
                    <w:tr2bl w:val="nil"/>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val="0"/>
                    <w:snapToGrid/>
                    <w:spacing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Ⅲ</w:t>
                  </w:r>
                  <w:r>
                    <w:rPr>
                      <w:rFonts w:hint="default" w:ascii="Times New Roman" w:hAnsi="Times New Roman" w:cs="Times New Roman"/>
                      <w:color w:val="auto"/>
                      <w:kern w:val="2"/>
                      <w:sz w:val="21"/>
                      <w:szCs w:val="21"/>
                      <w:lang w:val="en-US" w:eastAsia="zh-CN" w:bidi="ar-SA"/>
                    </w:rPr>
                    <w:t>类</w:t>
                  </w:r>
                </w:p>
              </w:tc>
              <w:tc>
                <w:tcPr>
                  <w:tcW w:w="467" w:type="pct"/>
                  <w:tcBorders>
                    <w:tl2br w:val="nil"/>
                    <w:tr2bl w:val="nil"/>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val="0"/>
                    <w:snapToGrid/>
                    <w:spacing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w:t>
                  </w:r>
                </w:p>
              </w:tc>
              <w:tc>
                <w:tcPr>
                  <w:tcW w:w="589" w:type="pct"/>
                  <w:tcBorders>
                    <w:tl2br w:val="nil"/>
                    <w:tr2bl w:val="nil"/>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val="0"/>
                    <w:snapToGrid/>
                    <w:spacing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6598</w:t>
                  </w:r>
                  <w:r>
                    <w:rPr>
                      <w:rFonts w:hint="default" w:ascii="Times New Roman" w:hAnsi="Times New Roman" w:eastAsia="宋体" w:cs="Times New Roman"/>
                      <w:color w:val="auto"/>
                      <w:kern w:val="2"/>
                      <w:sz w:val="21"/>
                      <w:szCs w:val="21"/>
                      <w:lang w:val="en-US" w:eastAsia="zh-CN" w:bidi="ar-SA"/>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540" w:type="pct"/>
                  <w:tcBorders>
                    <w:tl2br w:val="nil"/>
                    <w:tr2bl w:val="nil"/>
                  </w:tcBorders>
                  <w:shd w:val="clear" w:color="auto" w:fill="auto"/>
                  <w:vAlign w:val="center"/>
                </w:tcPr>
                <w:p>
                  <w:pPr>
                    <w:pStyle w:val="64"/>
                    <w:keepNext w:val="0"/>
                    <w:keepLines w:val="0"/>
                    <w:pageBreakBefore w:val="0"/>
                    <w:widowControl/>
                    <w:kinsoku/>
                    <w:wordWrap/>
                    <w:overflowPunct/>
                    <w:topLinePunct w:val="0"/>
                    <w:autoSpaceDE/>
                    <w:autoSpaceDN/>
                    <w:bidi w:val="0"/>
                    <w:snapToGrid/>
                    <w:spacing w:before="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rPr>
                    <w:t>声环境</w:t>
                  </w:r>
                </w:p>
              </w:tc>
              <w:tc>
                <w:tcPr>
                  <w:tcW w:w="681" w:type="pct"/>
                  <w:tcBorders>
                    <w:tl2br w:val="nil"/>
                    <w:tr2bl w:val="nil"/>
                  </w:tcBorders>
                  <w:shd w:val="clear" w:color="auto" w:fill="auto"/>
                  <w:vAlign w:val="center"/>
                </w:tcPr>
                <w:p>
                  <w:pPr>
                    <w:pStyle w:val="64"/>
                    <w:keepNext w:val="0"/>
                    <w:keepLines w:val="0"/>
                    <w:pageBreakBefore w:val="0"/>
                    <w:widowControl/>
                    <w:kinsoku/>
                    <w:wordWrap/>
                    <w:overflowPunct/>
                    <w:topLinePunct w:val="0"/>
                    <w:autoSpaceDE/>
                    <w:autoSpaceDN/>
                    <w:bidi w:val="0"/>
                    <w:snapToGrid/>
                    <w:spacing w:before="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rPr>
                    <w:t>项目区</w:t>
                  </w:r>
                </w:p>
              </w:tc>
              <w:tc>
                <w:tcPr>
                  <w:tcW w:w="3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val="en-US"/>
                    </w:rPr>
                    <w:t>/</w:t>
                  </w:r>
                </w:p>
              </w:tc>
              <w:tc>
                <w:tcPr>
                  <w:tcW w:w="364"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val="en-US"/>
                    </w:rPr>
                    <w:t>/</w:t>
                  </w:r>
                </w:p>
              </w:tc>
              <w:tc>
                <w:tcPr>
                  <w:tcW w:w="46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val="en-US"/>
                    </w:rPr>
                    <w:t>/</w:t>
                  </w:r>
                </w:p>
              </w:tc>
              <w:tc>
                <w:tcPr>
                  <w:tcW w:w="57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rPr>
                    <w:t>/</w:t>
                  </w:r>
                </w:p>
              </w:tc>
              <w:tc>
                <w:tcPr>
                  <w:tcW w:w="92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3类区</w:t>
                  </w:r>
                </w:p>
              </w:tc>
              <w:tc>
                <w:tcPr>
                  <w:tcW w:w="46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rPr>
                    <w:t>/</w:t>
                  </w:r>
                </w:p>
              </w:tc>
              <w:tc>
                <w:tcPr>
                  <w:tcW w:w="58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540" w:type="pct"/>
                  <w:tcBorders>
                    <w:tl2br w:val="nil"/>
                    <w:tr2bl w:val="nil"/>
                  </w:tcBorders>
                  <w:shd w:val="clear" w:color="auto" w:fill="auto"/>
                  <w:vAlign w:val="center"/>
                </w:tcPr>
                <w:p>
                  <w:pPr>
                    <w:pStyle w:val="9"/>
                    <w:keepNext w:val="0"/>
                    <w:keepLines w:val="0"/>
                    <w:pageBreakBefore w:val="0"/>
                    <w:suppressLineNumbers w:val="0"/>
                    <w:kinsoku/>
                    <w:wordWrap/>
                    <w:overflowPunct/>
                    <w:topLinePunct w:val="0"/>
                    <w:autoSpaceDE/>
                    <w:autoSpaceDN/>
                    <w:bidi w:val="0"/>
                    <w:snapToGrid/>
                    <w:spacing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地下水环境</w:t>
                  </w:r>
                </w:p>
              </w:tc>
              <w:tc>
                <w:tcPr>
                  <w:tcW w:w="4459" w:type="pct"/>
                  <w:gridSpan w:val="8"/>
                  <w:tcBorders>
                    <w:tl2br w:val="nil"/>
                    <w:tr2bl w:val="nil"/>
                  </w:tcBorders>
                  <w:shd w:val="clear" w:color="auto" w:fill="auto"/>
                  <w:vAlign w:val="center"/>
                </w:tcPr>
                <w:p>
                  <w:pPr>
                    <w:pStyle w:val="9"/>
                    <w:keepNext w:val="0"/>
                    <w:keepLines w:val="0"/>
                    <w:pageBreakBefore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厂界500m范围内无地下水集中式饮用水源和热水、矿泉水、温泉等特殊地下水资源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540" w:type="pct"/>
                  <w:tcBorders>
                    <w:tl2br w:val="nil"/>
                    <w:tr2bl w:val="nil"/>
                  </w:tcBorders>
                  <w:shd w:val="clear" w:color="auto" w:fill="auto"/>
                  <w:vAlign w:val="center"/>
                </w:tcPr>
                <w:p>
                  <w:pPr>
                    <w:pStyle w:val="9"/>
                    <w:keepNext w:val="0"/>
                    <w:keepLines w:val="0"/>
                    <w:pageBreakBefore w:val="0"/>
                    <w:suppressLineNumbers w:val="0"/>
                    <w:kinsoku/>
                    <w:wordWrap/>
                    <w:overflowPunct/>
                    <w:topLinePunct w:val="0"/>
                    <w:autoSpaceDE/>
                    <w:autoSpaceDN/>
                    <w:bidi w:val="0"/>
                    <w:snapToGrid/>
                    <w:spacing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生态</w:t>
                  </w:r>
                </w:p>
                <w:p>
                  <w:pPr>
                    <w:pStyle w:val="9"/>
                    <w:keepNext w:val="0"/>
                    <w:keepLines w:val="0"/>
                    <w:pageBreakBefore w:val="0"/>
                    <w:suppressLineNumbers w:val="0"/>
                    <w:kinsoku/>
                    <w:wordWrap/>
                    <w:overflowPunct/>
                    <w:topLinePunct w:val="0"/>
                    <w:autoSpaceDE/>
                    <w:autoSpaceDN/>
                    <w:bidi w:val="0"/>
                    <w:snapToGrid/>
                    <w:spacing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环境</w:t>
                  </w:r>
                </w:p>
              </w:tc>
              <w:tc>
                <w:tcPr>
                  <w:tcW w:w="4459" w:type="pct"/>
                  <w:gridSpan w:val="8"/>
                  <w:tcBorders>
                    <w:tl2br w:val="nil"/>
                    <w:tr2bl w:val="nil"/>
                  </w:tcBorders>
                  <w:shd w:val="clear" w:color="auto" w:fill="auto"/>
                  <w:vAlign w:val="center"/>
                </w:tcPr>
                <w:p>
                  <w:pPr>
                    <w:pStyle w:val="9"/>
                    <w:keepNext w:val="0"/>
                    <w:keepLines w:val="0"/>
                    <w:pageBreakBefore w:val="0"/>
                    <w:suppressLineNumbers w:val="0"/>
                    <w:kinsoku/>
                    <w:wordWrap/>
                    <w:overflowPunct/>
                    <w:topLinePunct w:val="0"/>
                    <w:autoSpaceDE/>
                    <w:autoSpaceDN/>
                    <w:bidi w:val="0"/>
                    <w:snapToGrid/>
                    <w:spacing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项目位于</w:t>
                  </w:r>
                  <w:r>
                    <w:rPr>
                      <w:rFonts w:hint="eastAsia" w:ascii="宋体" w:hAnsi="宋体" w:cs="宋体"/>
                      <w:sz w:val="21"/>
                      <w:szCs w:val="21"/>
                      <w:lang w:eastAsia="zh-CN"/>
                    </w:rPr>
                    <w:t>安徽金寨经济开发区</w:t>
                  </w:r>
                  <w:r>
                    <w:rPr>
                      <w:rFonts w:ascii="宋体" w:hAnsi="宋体" w:eastAsia="宋体" w:cs="宋体"/>
                      <w:sz w:val="21"/>
                      <w:szCs w:val="21"/>
                    </w:rPr>
                    <w:t>清水路与新四路交叉口</w:t>
                  </w:r>
                  <w:r>
                    <w:rPr>
                      <w:rFonts w:hint="default" w:ascii="Times New Roman" w:hAnsi="Times New Roman" w:eastAsia="宋体" w:cs="Times New Roman"/>
                      <w:color w:val="auto"/>
                    </w:rPr>
                    <w:t>，无生态环境保护目标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5000" w:type="pct"/>
                  <w:gridSpan w:val="9"/>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snapToGrid/>
                    <w:spacing w:beforeAutospacing="0" w:after="0" w:afterAutospacing="0" w:line="240" w:lineRule="auto"/>
                    <w:ind w:left="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注：以项目区东南角为坐标原点，正东方向为X轴，正北方向为Y轴</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b/>
                <w:bCs w:val="0"/>
                <w:color w:val="auto"/>
                <w:sz w:val="24"/>
                <w:szCs w:val="24"/>
                <w:lang w:val="en-US" w:eastAsia="zh-CN"/>
              </w:rPr>
            </w:pPr>
          </w:p>
          <w:p>
            <w:pPr>
              <w:pStyle w:val="19"/>
              <w:rPr>
                <w:rFonts w:hint="default"/>
                <w:lang w:val="en-US" w:eastAsia="zh-CN"/>
              </w:rPr>
            </w:pPr>
          </w:p>
          <w:p>
            <w:pPr>
              <w:rPr>
                <w:rFonts w:hint="default"/>
                <w:lang w:val="en-US" w:eastAsia="zh-CN"/>
              </w:rPr>
            </w:pPr>
          </w:p>
          <w:p>
            <w:pPr>
              <w:pStyle w:val="2"/>
              <w:rPr>
                <w:rFonts w:hint="default"/>
                <w:lang w:val="en-US" w:eastAsia="zh-CN"/>
              </w:rPr>
            </w:pPr>
          </w:p>
          <w:p>
            <w:pPr>
              <w:pStyle w:val="2"/>
              <w:rPr>
                <w:rFonts w:hint="default"/>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kern w:val="0"/>
                <w:sz w:val="24"/>
                <w:szCs w:val="24"/>
                <w:lang w:val="en-US" w:eastAsia="zh-CN" w:bidi="ar"/>
              </w:rPr>
            </w:pPr>
            <w:r>
              <w:rPr>
                <w:rFonts w:hint="eastAsia" w:cs="Times New Roman"/>
                <w:b/>
                <w:bCs/>
                <w:color w:val="auto"/>
                <w:sz w:val="24"/>
                <w:szCs w:val="24"/>
                <w:lang w:val="en-US" w:eastAsia="zh-CN"/>
              </w:rPr>
              <w:t>1</w:t>
            </w:r>
            <w:r>
              <w:rPr>
                <w:rFonts w:hint="eastAsia" w:ascii="Times New Roman" w:hAnsi="Times New Roman" w:cs="Times New Roman"/>
                <w:b/>
                <w:bCs/>
                <w:color w:val="auto"/>
                <w:sz w:val="24"/>
                <w:szCs w:val="24"/>
                <w:lang w:val="en-US" w:eastAsia="zh-CN"/>
              </w:rPr>
              <w:t>、</w:t>
            </w:r>
            <w:r>
              <w:rPr>
                <w:rFonts w:hint="eastAsia" w:cs="Times New Roman"/>
                <w:b/>
                <w:bCs/>
                <w:color w:val="auto"/>
                <w:sz w:val="24"/>
                <w:szCs w:val="24"/>
                <w:lang w:val="en-US" w:eastAsia="zh-CN"/>
              </w:rPr>
              <w:t>废气</w:t>
            </w:r>
            <w:r>
              <w:rPr>
                <w:rFonts w:hint="default" w:ascii="Times New Roman" w:hAnsi="Times New Roman" w:eastAsia="宋体" w:cs="Times New Roman"/>
                <w:b/>
                <w:bCs/>
                <w:color w:val="auto"/>
                <w:sz w:val="24"/>
                <w:szCs w:val="24"/>
                <w:lang w:eastAsia="zh-CN"/>
              </w:rPr>
              <w:t>排放标准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cs="Times New Roman"/>
                <w:sz w:val="24"/>
                <w:lang w:val="en-US" w:eastAsia="zh-CN"/>
              </w:rPr>
            </w:pPr>
            <w:r>
              <w:rPr>
                <w:rFonts w:hint="eastAsia" w:cs="Times New Roman"/>
                <w:sz w:val="24"/>
                <w:lang w:val="en-US" w:eastAsia="zh-CN"/>
              </w:rPr>
              <w:t>厂区内</w:t>
            </w:r>
            <w:r>
              <w:rPr>
                <w:rFonts w:hint="default" w:ascii="Times New Roman" w:hAnsi="Times New Roman" w:cs="Times New Roman"/>
                <w:sz w:val="24"/>
                <w:lang w:eastAsia="zh-CN"/>
              </w:rPr>
              <w:t>非甲烷总烃有组织排放执行《固定源挥发性有机物综合排放标准第6部分：其他行业》(DB34_4812.6-2024)表1中挥发性有机物基本污染物项目排放限值</w:t>
            </w:r>
            <w:r>
              <w:rPr>
                <w:rFonts w:hint="eastAsia" w:ascii="Times New Roman" w:hAnsi="Times New Roman" w:cs="Times New Roman"/>
                <w:sz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sz w:val="24"/>
                <w:lang w:val="en-US" w:eastAsia="zh-CN"/>
              </w:rPr>
              <w:t>厂区内非甲烷总烃无组织排放执行《固定源挥发性有机物综合排放标准第6部分：其他行业》(DB 34_4812.6-2024）表4厂区内VOCs无组织排放限值要求。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cs="Times New Roman"/>
                <w:sz w:val="24"/>
                <w:lang w:val="en-US" w:eastAsia="zh-CN"/>
              </w:rPr>
            </w:pPr>
            <w:r>
              <w:rPr>
                <w:rFonts w:hint="default" w:ascii="Times New Roman" w:hAnsi="Times New Roman" w:cs="Times New Roman"/>
                <w:sz w:val="24"/>
                <w:lang w:val="en-US" w:eastAsia="zh-CN"/>
              </w:rPr>
              <w:t>厂界非甲烷总烃排放执行《合成树脂工业污染物排放标准》(GB31572-2015）表9中企业边界大气污染物浓度限值</w:t>
            </w:r>
            <w:r>
              <w:rPr>
                <w:rFonts w:hint="eastAsia" w:ascii="Times New Roman" w:hAnsi="Times New Roman" w:cs="Times New Roman"/>
                <w:sz w:val="24"/>
                <w:lang w:val="en-US"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具体标准见下：</w:t>
            </w:r>
          </w:p>
          <w:p>
            <w:pPr>
              <w:autoSpaceDE w:val="0"/>
              <w:autoSpaceDN w:val="0"/>
              <w:adjustRightInd w:val="0"/>
              <w:spacing w:line="240" w:lineRule="auto"/>
              <w:jc w:val="center"/>
              <w:rPr>
                <w:rFonts w:hint="default" w:ascii="Times New Roman" w:hAnsi="Times New Roman" w:eastAsia="宋体" w:cs="Times New Roman"/>
                <w:b/>
                <w:color w:val="auto"/>
                <w:kern w:val="0"/>
                <w:sz w:val="24"/>
                <w:szCs w:val="24"/>
                <w:lang w:val="en-US" w:eastAsia="zh-CN"/>
              </w:rPr>
            </w:pPr>
            <w:r>
              <w:rPr>
                <w:rFonts w:hint="eastAsia" w:ascii="Times New Roman" w:hAnsi="Times New Roman" w:eastAsia="宋体" w:cs="Times New Roman"/>
                <w:b/>
                <w:color w:val="auto"/>
                <w:kern w:val="0"/>
                <w:sz w:val="24"/>
                <w:szCs w:val="24"/>
                <w:lang w:val="en-US" w:eastAsia="zh-CN"/>
              </w:rPr>
              <w:t>表3.6</w:t>
            </w:r>
            <w:r>
              <w:rPr>
                <w:rFonts w:hint="eastAsia" w:ascii="Times New Roman" w:hAnsi="Times New Roman" w:eastAsia="宋体" w:cs="Times New Roman"/>
                <w:b/>
                <w:color w:val="auto"/>
                <w:kern w:val="0"/>
                <w:sz w:val="24"/>
                <w:szCs w:val="24"/>
              </w:rPr>
              <w:t>项目</w:t>
            </w:r>
            <w:r>
              <w:rPr>
                <w:rFonts w:hint="eastAsia" w:ascii="Times New Roman" w:hAnsi="Times New Roman" w:eastAsia="宋体" w:cs="Times New Roman"/>
                <w:b/>
                <w:color w:val="auto"/>
                <w:kern w:val="0"/>
                <w:sz w:val="24"/>
                <w:szCs w:val="24"/>
                <w:lang w:val="en-US" w:eastAsia="zh-CN"/>
              </w:rPr>
              <w:t>有</w:t>
            </w:r>
            <w:r>
              <w:rPr>
                <w:rFonts w:hint="eastAsia" w:ascii="Times New Roman" w:hAnsi="Times New Roman" w:eastAsia="宋体" w:cs="Times New Roman"/>
                <w:b/>
                <w:color w:val="auto"/>
                <w:kern w:val="0"/>
                <w:sz w:val="24"/>
                <w:szCs w:val="24"/>
              </w:rPr>
              <w:t>组织废气污染物排放标准一览表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665"/>
              <w:gridCol w:w="1199"/>
              <w:gridCol w:w="982"/>
              <w:gridCol w:w="3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污染物</w:t>
                  </w:r>
                  <w:r>
                    <w:rPr>
                      <w:rFonts w:hint="eastAsia" w:ascii="Times New Roman" w:hAnsi="Times New Roman" w:cs="Times New Roman"/>
                      <w:b/>
                      <w:bCs/>
                      <w:sz w:val="21"/>
                      <w:szCs w:val="21"/>
                      <w:vertAlign w:val="baseline"/>
                      <w:lang w:val="en-US" w:eastAsia="zh-CN"/>
                    </w:rPr>
                    <w:t>项目</w:t>
                  </w:r>
                </w:p>
              </w:tc>
              <w:tc>
                <w:tcPr>
                  <w:tcW w:w="16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最高允许排放浓度（mg/m</w:t>
                  </w:r>
                  <w:r>
                    <w:rPr>
                      <w:rFonts w:hint="default" w:ascii="Times New Roman" w:hAnsi="Times New Roman" w:cs="Times New Roman"/>
                      <w:b/>
                      <w:bCs/>
                      <w:sz w:val="21"/>
                      <w:szCs w:val="21"/>
                      <w:vertAlign w:val="superscript"/>
                      <w:lang w:val="en-US" w:eastAsia="zh-CN"/>
                    </w:rPr>
                    <w:t>3</w:t>
                  </w:r>
                  <w:r>
                    <w:rPr>
                      <w:rFonts w:hint="default" w:ascii="Times New Roman" w:hAnsi="Times New Roman" w:cs="Times New Roman"/>
                      <w:b/>
                      <w:bCs/>
                      <w:sz w:val="21"/>
                      <w:szCs w:val="21"/>
                      <w:vertAlign w:val="baseline"/>
                      <w:lang w:val="en-US" w:eastAsia="zh-CN"/>
                    </w:rPr>
                    <w:t>）</w:t>
                  </w:r>
                </w:p>
              </w:tc>
              <w:tc>
                <w:tcPr>
                  <w:tcW w:w="11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最高允许排放速率(kg/h)</w:t>
                  </w:r>
                </w:p>
              </w:tc>
              <w:tc>
                <w:tcPr>
                  <w:tcW w:w="98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污染物排放监控位置</w:t>
                  </w:r>
                </w:p>
              </w:tc>
              <w:tc>
                <w:tcPr>
                  <w:tcW w:w="357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NMHC</w:t>
                  </w:r>
                </w:p>
              </w:tc>
              <w:tc>
                <w:tcPr>
                  <w:tcW w:w="16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40</w:t>
                  </w:r>
                </w:p>
              </w:tc>
              <w:tc>
                <w:tcPr>
                  <w:tcW w:w="11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1.6</w:t>
                  </w:r>
                </w:p>
              </w:tc>
              <w:tc>
                <w:tcPr>
                  <w:tcW w:w="98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车间或生产设施的排气筒</w:t>
                  </w:r>
                </w:p>
              </w:tc>
              <w:tc>
                <w:tcPr>
                  <w:tcW w:w="357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eastAsia="zh-CN"/>
                    </w:rPr>
                    <w:t>《固定源挥发性有机物综合排放标准第6部分：其他行业》(DB34_4812.6-2024)表1</w:t>
                  </w:r>
                </w:p>
              </w:tc>
            </w:tr>
          </w:tbl>
          <w:p>
            <w:pPr>
              <w:autoSpaceDE w:val="0"/>
              <w:autoSpaceDN w:val="0"/>
              <w:adjustRightInd w:val="0"/>
              <w:spacing w:line="240" w:lineRule="auto"/>
              <w:jc w:val="center"/>
              <w:rPr>
                <w:rFonts w:hint="eastAsia" w:ascii="Times New Roman" w:hAnsi="Times New Roman" w:eastAsia="宋体" w:cs="Times New Roman"/>
                <w:b/>
                <w:color w:val="auto"/>
                <w:kern w:val="0"/>
                <w:sz w:val="24"/>
                <w:szCs w:val="24"/>
                <w:lang w:val="en-US" w:eastAsia="zh-CN"/>
              </w:rPr>
            </w:pPr>
          </w:p>
          <w:p>
            <w:pPr>
              <w:autoSpaceDE w:val="0"/>
              <w:autoSpaceDN w:val="0"/>
              <w:adjustRightInd w:val="0"/>
              <w:spacing w:line="240" w:lineRule="auto"/>
              <w:jc w:val="center"/>
              <w:rPr>
                <w:rFonts w:hint="default" w:ascii="Times New Roman" w:hAnsi="Times New Roman" w:cs="Times New Roman"/>
                <w:sz w:val="24"/>
                <w:lang w:val="en-US" w:eastAsia="zh-CN"/>
              </w:rPr>
            </w:pPr>
            <w:r>
              <w:rPr>
                <w:rFonts w:hint="eastAsia" w:ascii="Times New Roman" w:hAnsi="Times New Roman" w:eastAsia="宋体" w:cs="Times New Roman"/>
                <w:b/>
                <w:color w:val="auto"/>
                <w:kern w:val="0"/>
                <w:sz w:val="24"/>
                <w:szCs w:val="24"/>
                <w:lang w:val="en-US" w:eastAsia="zh-CN"/>
              </w:rPr>
              <w:t>表3.7</w:t>
            </w:r>
            <w:r>
              <w:rPr>
                <w:rFonts w:hint="eastAsia" w:ascii="Times New Roman" w:hAnsi="Times New Roman" w:eastAsia="宋体" w:cs="Times New Roman"/>
                <w:b/>
                <w:color w:val="auto"/>
                <w:kern w:val="0"/>
                <w:sz w:val="24"/>
                <w:szCs w:val="24"/>
              </w:rPr>
              <w:t>项目</w:t>
            </w:r>
            <w:r>
              <w:rPr>
                <w:rFonts w:hint="eastAsia"/>
                <w:b/>
                <w:bCs/>
                <w:sz w:val="24"/>
                <w:szCs w:val="32"/>
                <w:lang w:val="en-US" w:eastAsia="zh-CN"/>
              </w:rPr>
              <w:t>厂区内</w:t>
            </w:r>
            <w:r>
              <w:rPr>
                <w:rFonts w:hint="eastAsia" w:ascii="Times New Roman" w:hAnsi="Times New Roman" w:eastAsia="宋体" w:cs="Times New Roman"/>
                <w:b/>
                <w:color w:val="auto"/>
                <w:kern w:val="0"/>
                <w:sz w:val="24"/>
                <w:szCs w:val="24"/>
              </w:rPr>
              <w:t>无组织废气污染物排放标准一览表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1670"/>
              <w:gridCol w:w="988"/>
              <w:gridCol w:w="877"/>
              <w:gridCol w:w="3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2" w:type="pct"/>
                  <w:noWrap w:val="0"/>
                  <w:vAlign w:val="center"/>
                </w:tcPr>
                <w:p>
                  <w:pPr>
                    <w:autoSpaceDE w:val="0"/>
                    <w:autoSpaceDN w:val="0"/>
                    <w:adjustRightInd w:val="0"/>
                    <w:spacing w:line="260" w:lineRule="exact"/>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污染</w:t>
                  </w:r>
                  <w:r>
                    <w:rPr>
                      <w:rFonts w:hint="eastAsia" w:ascii="Times New Roman" w:hAnsi="Times New Roman" w:eastAsia="宋体" w:cs="Times New Roman"/>
                      <w:b/>
                      <w:bCs/>
                      <w:color w:val="auto"/>
                      <w:kern w:val="0"/>
                      <w:szCs w:val="21"/>
                      <w:lang w:val="en-US" w:eastAsia="zh-CN"/>
                    </w:rPr>
                    <w:t>物项目</w:t>
                  </w:r>
                </w:p>
              </w:tc>
              <w:tc>
                <w:tcPr>
                  <w:tcW w:w="996" w:type="pct"/>
                  <w:noWrap w:val="0"/>
                  <w:vAlign w:val="center"/>
                </w:tcPr>
                <w:p>
                  <w:pPr>
                    <w:autoSpaceDE w:val="0"/>
                    <w:autoSpaceDN w:val="0"/>
                    <w:adjustRightInd w:val="0"/>
                    <w:spacing w:line="260" w:lineRule="exact"/>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sz w:val="21"/>
                      <w:szCs w:val="21"/>
                      <w:vertAlign w:val="baseline"/>
                      <w:lang w:val="en-US" w:eastAsia="zh-CN"/>
                    </w:rPr>
                    <w:t>最高允许排放浓度（mg/m</w:t>
                  </w:r>
                  <w:r>
                    <w:rPr>
                      <w:rFonts w:hint="default" w:ascii="Times New Roman" w:hAnsi="Times New Roman" w:cs="Times New Roman"/>
                      <w:b/>
                      <w:bCs/>
                      <w:sz w:val="21"/>
                      <w:szCs w:val="21"/>
                      <w:vertAlign w:val="superscript"/>
                      <w:lang w:val="en-US" w:eastAsia="zh-CN"/>
                    </w:rPr>
                    <w:t>3</w:t>
                  </w:r>
                  <w:r>
                    <w:rPr>
                      <w:rFonts w:hint="default" w:ascii="Times New Roman" w:hAnsi="Times New Roman" w:cs="Times New Roman"/>
                      <w:b/>
                      <w:bCs/>
                      <w:sz w:val="21"/>
                      <w:szCs w:val="21"/>
                      <w:vertAlign w:val="baseline"/>
                      <w:lang w:val="en-US" w:eastAsia="zh-CN"/>
                    </w:rPr>
                    <w:t>）</w:t>
                  </w:r>
                </w:p>
              </w:tc>
              <w:tc>
                <w:tcPr>
                  <w:tcW w:w="589" w:type="pct"/>
                  <w:noWrap w:val="0"/>
                  <w:vAlign w:val="center"/>
                </w:tcPr>
                <w:p>
                  <w:pPr>
                    <w:autoSpaceDE w:val="0"/>
                    <w:autoSpaceDN w:val="0"/>
                    <w:adjustRightInd w:val="0"/>
                    <w:spacing w:line="260" w:lineRule="exact"/>
                    <w:jc w:val="center"/>
                    <w:rPr>
                      <w:rFonts w:hint="default"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排放</w:t>
                  </w:r>
                  <w:r>
                    <w:rPr>
                      <w:rFonts w:hint="default" w:ascii="Times New Roman" w:hAnsi="Times New Roman" w:eastAsia="宋体" w:cs="Times New Roman"/>
                      <w:b/>
                      <w:bCs/>
                      <w:color w:val="auto"/>
                      <w:kern w:val="0"/>
                      <w:szCs w:val="21"/>
                      <w:lang w:val="en-US" w:eastAsia="zh-CN"/>
                    </w:rPr>
                    <w:t>限值含义</w:t>
                  </w:r>
                </w:p>
              </w:tc>
              <w:tc>
                <w:tcPr>
                  <w:tcW w:w="523" w:type="pct"/>
                  <w:noWrap w:val="0"/>
                  <w:vAlign w:val="center"/>
                </w:tcPr>
                <w:p>
                  <w:pPr>
                    <w:autoSpaceDE w:val="0"/>
                    <w:autoSpaceDN w:val="0"/>
                    <w:adjustRightInd w:val="0"/>
                    <w:spacing w:line="260" w:lineRule="exact"/>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无组织排放监控位置</w:t>
                  </w:r>
                </w:p>
              </w:tc>
              <w:tc>
                <w:tcPr>
                  <w:tcW w:w="2317" w:type="pct"/>
                  <w:noWrap w:val="0"/>
                  <w:vAlign w:val="center"/>
                </w:tcPr>
                <w:p>
                  <w:pPr>
                    <w:autoSpaceDE w:val="0"/>
                    <w:autoSpaceDN w:val="0"/>
                    <w:adjustRightInd w:val="0"/>
                    <w:spacing w:line="260" w:lineRule="exact"/>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72" w:type="pct"/>
                  <w:vMerge w:val="restart"/>
                  <w:noWrap w:val="0"/>
                  <w:vAlign w:val="center"/>
                </w:tcPr>
                <w:p>
                  <w:pPr>
                    <w:autoSpaceDE w:val="0"/>
                    <w:autoSpaceDN w:val="0"/>
                    <w:adjustRightInd w:val="0"/>
                    <w:spacing w:line="26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NMHC</w:t>
                  </w:r>
                </w:p>
              </w:tc>
              <w:tc>
                <w:tcPr>
                  <w:tcW w:w="996" w:type="pct"/>
                  <w:noWrap w:val="0"/>
                  <w:vAlign w:val="center"/>
                </w:tcPr>
                <w:p>
                  <w:pPr>
                    <w:autoSpaceDE w:val="0"/>
                    <w:autoSpaceDN w:val="0"/>
                    <w:adjustRightInd w:val="0"/>
                    <w:spacing w:line="26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6</w:t>
                  </w:r>
                </w:p>
              </w:tc>
              <w:tc>
                <w:tcPr>
                  <w:tcW w:w="589" w:type="pct"/>
                  <w:noWrap w:val="0"/>
                  <w:vAlign w:val="center"/>
                </w:tcPr>
                <w:p>
                  <w:pPr>
                    <w:autoSpaceDE w:val="0"/>
                    <w:autoSpaceDN w:val="0"/>
                    <w:adjustRightInd w:val="0"/>
                    <w:spacing w:line="26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监控点处1h平均浓度值</w:t>
                  </w:r>
                </w:p>
              </w:tc>
              <w:tc>
                <w:tcPr>
                  <w:tcW w:w="523" w:type="pct"/>
                  <w:vMerge w:val="restart"/>
                  <w:noWrap w:val="0"/>
                  <w:vAlign w:val="center"/>
                </w:tcPr>
                <w:p>
                  <w:pPr>
                    <w:autoSpaceDE w:val="0"/>
                    <w:autoSpaceDN w:val="0"/>
                    <w:adjustRightInd w:val="0"/>
                    <w:spacing w:line="26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在厂房外设置监控点</w:t>
                  </w:r>
                </w:p>
              </w:tc>
              <w:tc>
                <w:tcPr>
                  <w:tcW w:w="2317" w:type="pct"/>
                  <w:vMerge w:val="restart"/>
                  <w:noWrap w:val="0"/>
                  <w:vAlign w:val="center"/>
                </w:tcPr>
                <w:p>
                  <w:pPr>
                    <w:autoSpaceDE w:val="0"/>
                    <w:autoSpaceDN w:val="0"/>
                    <w:adjustRightInd w:val="0"/>
                    <w:spacing w:line="26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《固定源挥发性有机物综合排放标准》第6部分：其他行业（DB34_4812.6-2024）表</w:t>
                  </w:r>
                  <w:r>
                    <w:rPr>
                      <w:rFonts w:hint="eastAsia" w:ascii="Times New Roman" w:hAnsi="Times New Roman" w:eastAsia="宋体" w:cs="Times New Roman"/>
                      <w:color w:val="auto"/>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2" w:type="pct"/>
                  <w:vMerge w:val="continue"/>
                  <w:noWrap w:val="0"/>
                  <w:vAlign w:val="center"/>
                </w:tcPr>
                <w:p>
                  <w:pPr>
                    <w:widowControl/>
                    <w:jc w:val="left"/>
                    <w:rPr>
                      <w:rFonts w:hint="default" w:ascii="Times New Roman" w:hAnsi="Times New Roman" w:eastAsia="宋体" w:cs="Times New Roman"/>
                      <w:color w:val="auto"/>
                      <w:szCs w:val="21"/>
                    </w:rPr>
                  </w:pPr>
                </w:p>
              </w:tc>
              <w:tc>
                <w:tcPr>
                  <w:tcW w:w="996" w:type="pct"/>
                  <w:noWrap w:val="0"/>
                  <w:vAlign w:val="center"/>
                </w:tcPr>
                <w:p>
                  <w:pPr>
                    <w:autoSpaceDE w:val="0"/>
                    <w:autoSpaceDN w:val="0"/>
                    <w:adjustRightInd w:val="0"/>
                    <w:spacing w:line="26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20</w:t>
                  </w:r>
                </w:p>
              </w:tc>
              <w:tc>
                <w:tcPr>
                  <w:tcW w:w="589" w:type="pct"/>
                  <w:noWrap w:val="0"/>
                  <w:vAlign w:val="center"/>
                </w:tcPr>
                <w:p>
                  <w:pPr>
                    <w:autoSpaceDE w:val="0"/>
                    <w:autoSpaceDN w:val="0"/>
                    <w:adjustRightInd w:val="0"/>
                    <w:spacing w:line="26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监控点处任意一次浓度值</w:t>
                  </w:r>
                </w:p>
              </w:tc>
              <w:tc>
                <w:tcPr>
                  <w:tcW w:w="523" w:type="pct"/>
                  <w:vMerge w:val="continue"/>
                  <w:noWrap w:val="0"/>
                  <w:vAlign w:val="center"/>
                </w:tcPr>
                <w:p>
                  <w:pPr>
                    <w:widowControl/>
                    <w:jc w:val="left"/>
                    <w:rPr>
                      <w:rFonts w:hint="default" w:ascii="Times New Roman" w:hAnsi="Times New Roman" w:eastAsia="宋体" w:cs="Times New Roman"/>
                      <w:color w:val="auto"/>
                      <w:szCs w:val="21"/>
                    </w:rPr>
                  </w:pPr>
                </w:p>
              </w:tc>
              <w:tc>
                <w:tcPr>
                  <w:tcW w:w="2317" w:type="pct"/>
                  <w:vMerge w:val="continue"/>
                  <w:noWrap w:val="0"/>
                  <w:vAlign w:val="center"/>
                </w:tcPr>
                <w:p>
                  <w:pPr>
                    <w:widowControl/>
                    <w:jc w:val="left"/>
                    <w:rPr>
                      <w:rFonts w:hint="default" w:ascii="Times New Roman" w:hAnsi="Times New Roman" w:eastAsia="宋体" w:cs="Times New Roman"/>
                      <w:color w:val="auto"/>
                      <w:szCs w:val="21"/>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1" w:firstLineChars="200"/>
              <w:jc w:val="center"/>
              <w:textAlignment w:val="auto"/>
              <w:rPr>
                <w:rFonts w:hint="eastAsia" w:ascii="Times New Roman" w:hAnsi="Times New Roman" w:cs="Times New Roman"/>
                <w:b/>
                <w:bCs/>
                <w:sz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1" w:firstLineChars="200"/>
              <w:jc w:val="center"/>
              <w:textAlignment w:val="auto"/>
              <w:rPr>
                <w:rFonts w:hint="default" w:ascii="Times New Roman" w:hAnsi="Times New Roman" w:cs="Times New Roman"/>
                <w:sz w:val="24"/>
                <w:lang w:val="en-US" w:eastAsia="zh-CN"/>
              </w:rPr>
            </w:pPr>
            <w:r>
              <w:rPr>
                <w:rFonts w:hint="eastAsia" w:ascii="Times New Roman" w:hAnsi="Times New Roman" w:cs="Times New Roman"/>
                <w:b/>
                <w:bCs/>
                <w:sz w:val="24"/>
                <w:lang w:val="en-US" w:eastAsia="zh-CN"/>
              </w:rPr>
              <w:t>表3.8</w:t>
            </w:r>
            <w:r>
              <w:rPr>
                <w:rFonts w:hint="default" w:ascii="Times New Roman" w:hAnsi="Times New Roman" w:cs="Times New Roman"/>
                <w:b/>
                <w:bCs/>
                <w:sz w:val="24"/>
                <w:lang w:val="en-US" w:eastAsia="zh-CN"/>
              </w:rPr>
              <w:t>厂界非甲烷总烃排放</w:t>
            </w:r>
            <w:r>
              <w:rPr>
                <w:rFonts w:hint="eastAsia" w:ascii="Times New Roman" w:hAnsi="Times New Roman" w:cs="Times New Roman"/>
                <w:b/>
                <w:bCs/>
                <w:sz w:val="24"/>
                <w:lang w:val="en-US" w:eastAsia="zh-CN"/>
              </w:rPr>
              <w:t>标准一览表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4"/>
              <w:gridCol w:w="2096"/>
              <w:gridCol w:w="4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污染物项目</w:t>
                  </w:r>
                </w:p>
              </w:tc>
              <w:tc>
                <w:tcPr>
                  <w:tcW w:w="20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限值（mg/m</w:t>
                  </w:r>
                  <w:r>
                    <w:rPr>
                      <w:rFonts w:hint="default" w:ascii="Times New Roman" w:hAnsi="Times New Roman" w:cs="Times New Roman"/>
                      <w:b/>
                      <w:bCs/>
                      <w:sz w:val="21"/>
                      <w:szCs w:val="21"/>
                      <w:vertAlign w:val="superscript"/>
                      <w:lang w:val="en-US" w:eastAsia="zh-CN"/>
                    </w:rPr>
                    <w:t>3</w:t>
                  </w:r>
                  <w:r>
                    <w:rPr>
                      <w:rFonts w:hint="default" w:ascii="Times New Roman" w:hAnsi="Times New Roman" w:cs="Times New Roman"/>
                      <w:b/>
                      <w:bCs/>
                      <w:sz w:val="21"/>
                      <w:szCs w:val="21"/>
                      <w:vertAlign w:val="baseline"/>
                      <w:lang w:val="en-US" w:eastAsia="zh-CN"/>
                    </w:rPr>
                    <w:t>）</w:t>
                  </w:r>
                </w:p>
              </w:tc>
              <w:tc>
                <w:tcPr>
                  <w:tcW w:w="41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NMHC</w:t>
                  </w:r>
                </w:p>
              </w:tc>
              <w:tc>
                <w:tcPr>
                  <w:tcW w:w="20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4.0</w:t>
                  </w:r>
                </w:p>
              </w:tc>
              <w:tc>
                <w:tcPr>
                  <w:tcW w:w="41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《合成树脂工业污染物排放标准》(GB31572-2015）表9</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val="0"/>
                <w:color w:val="auto"/>
                <w:sz w:val="24"/>
                <w:szCs w:val="24"/>
              </w:rPr>
            </w:pPr>
            <w:r>
              <w:rPr>
                <w:rFonts w:hint="eastAsia" w:cs="Times New Roman"/>
                <w:b/>
                <w:bCs w:val="0"/>
                <w:color w:val="auto"/>
                <w:sz w:val="24"/>
                <w:szCs w:val="24"/>
                <w:lang w:val="en-US" w:eastAsia="zh-CN"/>
              </w:rPr>
              <w:t>2、</w:t>
            </w:r>
            <w:r>
              <w:rPr>
                <w:rFonts w:hint="default" w:ascii="Times New Roman" w:hAnsi="Times New Roman" w:eastAsia="宋体" w:cs="Times New Roman"/>
                <w:b/>
                <w:bCs w:val="0"/>
                <w:color w:val="auto"/>
                <w:sz w:val="24"/>
                <w:szCs w:val="24"/>
              </w:rPr>
              <w:t>废水排放标准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bookmarkStart w:id="17" w:name="OLE_LINK4"/>
            <w:r>
              <w:rPr>
                <w:rFonts w:hint="eastAsia" w:cs="Times New Roman"/>
                <w:color w:val="auto"/>
                <w:sz w:val="24"/>
                <w:szCs w:val="24"/>
                <w:lang w:val="en-US" w:eastAsia="zh-CN"/>
              </w:rPr>
              <w:t>项目废水</w:t>
            </w:r>
            <w:r>
              <w:rPr>
                <w:rFonts w:hint="default" w:ascii="Times New Roman" w:hAnsi="Times New Roman" w:cs="Times New Roman"/>
                <w:color w:val="auto"/>
                <w:sz w:val="24"/>
                <w:szCs w:val="24"/>
                <w:lang w:val="en-US" w:eastAsia="zh-CN"/>
              </w:rPr>
              <w:t>接入市政污水管网纳入</w:t>
            </w:r>
            <w:r>
              <w:rPr>
                <w:rFonts w:hint="eastAsia" w:cs="Times New Roman"/>
                <w:color w:val="auto"/>
                <w:sz w:val="24"/>
                <w:szCs w:val="24"/>
                <w:lang w:val="en-US" w:eastAsia="zh-CN"/>
              </w:rPr>
              <w:t>金寨现代产业园污水处理厂</w:t>
            </w:r>
            <w:r>
              <w:rPr>
                <w:rFonts w:hint="default" w:ascii="Times New Roman" w:hAnsi="Times New Roman" w:cs="Times New Roman"/>
                <w:color w:val="auto"/>
                <w:sz w:val="24"/>
                <w:szCs w:val="24"/>
                <w:lang w:val="en-US" w:eastAsia="zh-CN"/>
              </w:rPr>
              <w:t>处理；</w:t>
            </w:r>
            <w:r>
              <w:rPr>
                <w:rFonts w:hint="eastAsia" w:cs="Times New Roman"/>
                <w:color w:val="auto"/>
                <w:sz w:val="24"/>
                <w:szCs w:val="24"/>
                <w:lang w:val="en-US" w:eastAsia="zh-CN"/>
              </w:rPr>
              <w:t>废</w:t>
            </w:r>
            <w:r>
              <w:rPr>
                <w:rFonts w:hint="default" w:ascii="Times New Roman" w:hAnsi="Times New Roman" w:cs="Times New Roman"/>
                <w:color w:val="auto"/>
                <w:sz w:val="24"/>
                <w:szCs w:val="24"/>
                <w:lang w:eastAsia="zh-CN"/>
              </w:rPr>
              <w:t>水</w:t>
            </w:r>
            <w:r>
              <w:rPr>
                <w:rFonts w:hint="default" w:ascii="Times New Roman" w:hAnsi="Times New Roman" w:eastAsia="宋体" w:cs="Times New Roman"/>
                <w:color w:val="auto"/>
                <w:sz w:val="24"/>
                <w:szCs w:val="24"/>
                <w:lang w:eastAsia="zh-CN"/>
              </w:rPr>
              <w:t>接管</w:t>
            </w:r>
            <w:r>
              <w:rPr>
                <w:rFonts w:hint="default" w:ascii="Times New Roman" w:hAnsi="Times New Roman" w:cs="Times New Roman"/>
                <w:color w:val="auto"/>
                <w:sz w:val="24"/>
                <w:szCs w:val="24"/>
                <w:lang w:val="en-US" w:eastAsia="zh-CN"/>
              </w:rPr>
              <w:t>执行</w:t>
            </w:r>
            <w:r>
              <w:rPr>
                <w:rFonts w:hint="eastAsia" w:cs="Times New Roman"/>
                <w:color w:val="auto"/>
                <w:sz w:val="24"/>
                <w:szCs w:val="24"/>
                <w:lang w:val="en-US" w:eastAsia="zh-CN"/>
              </w:rPr>
              <w:t>金寨现代产业园污水处理厂</w:t>
            </w:r>
            <w:r>
              <w:rPr>
                <w:rFonts w:hint="default" w:ascii="Times New Roman" w:hAnsi="Times New Roman" w:eastAsia="宋体" w:cs="Times New Roman"/>
                <w:color w:val="auto"/>
                <w:kern w:val="0"/>
                <w:sz w:val="24"/>
                <w:szCs w:val="24"/>
                <w:lang w:val="zh-CN" w:eastAsia="zh-CN" w:bidi="ar"/>
              </w:rPr>
              <w:t>的接管标准</w:t>
            </w:r>
            <w:bookmarkEnd w:id="17"/>
            <w:r>
              <w:rPr>
                <w:rFonts w:hint="default" w:ascii="Times New Roman" w:hAnsi="Times New Roman" w:cs="Times New Roman"/>
                <w:color w:val="auto"/>
                <w:kern w:val="0"/>
                <w:sz w:val="24"/>
                <w:szCs w:val="24"/>
                <w:lang w:val="zh-CN" w:eastAsia="zh-CN" w:bidi="ar"/>
              </w:rPr>
              <w:t>，</w:t>
            </w:r>
            <w:r>
              <w:rPr>
                <w:rFonts w:hint="default" w:ascii="Times New Roman" w:hAnsi="Times New Roman" w:eastAsia="宋体" w:cs="Times New Roman"/>
                <w:color w:val="auto"/>
                <w:sz w:val="24"/>
                <w:szCs w:val="24"/>
                <w:lang w:val="en-US" w:eastAsia="zh-CN"/>
              </w:rPr>
              <w:t>具体标准限值见下表。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right"/>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
                <w:bCs/>
                <w:color w:val="auto"/>
                <w:sz w:val="24"/>
                <w:szCs w:val="24"/>
                <w:lang w:val="en-US" w:eastAsia="zh-CN"/>
              </w:rPr>
              <w:t>表3</w:t>
            </w:r>
            <w:r>
              <w:rPr>
                <w:rFonts w:hint="default" w:ascii="Times New Roman" w:hAnsi="Times New Roman" w:cs="Times New Roman"/>
                <w:b/>
                <w:bCs/>
                <w:color w:val="auto"/>
                <w:sz w:val="24"/>
                <w:szCs w:val="24"/>
                <w:lang w:val="en-US" w:eastAsia="zh-CN"/>
              </w:rPr>
              <w:t>.</w:t>
            </w:r>
            <w:r>
              <w:rPr>
                <w:rFonts w:hint="eastAsia" w:cs="Times New Roman"/>
                <w:b/>
                <w:bCs/>
                <w:color w:val="auto"/>
                <w:sz w:val="24"/>
                <w:szCs w:val="24"/>
                <w:lang w:val="en-US" w:eastAsia="zh-CN"/>
              </w:rPr>
              <w:t>9</w:t>
            </w:r>
            <w:r>
              <w:rPr>
                <w:rFonts w:hint="default" w:ascii="Times New Roman" w:hAnsi="Times New Roman" w:eastAsia="宋体" w:cs="Times New Roman"/>
                <w:b/>
                <w:bCs/>
                <w:color w:val="auto"/>
                <w:sz w:val="24"/>
                <w:szCs w:val="24"/>
                <w:lang w:val="en-US" w:eastAsia="zh-CN"/>
              </w:rPr>
              <w:t>污水</w:t>
            </w:r>
            <w:r>
              <w:rPr>
                <w:rFonts w:hint="default" w:ascii="Times New Roman" w:hAnsi="Times New Roman" w:cs="Times New Roman"/>
                <w:b/>
                <w:bCs/>
                <w:color w:val="auto"/>
                <w:sz w:val="24"/>
                <w:szCs w:val="24"/>
                <w:lang w:val="en-US" w:eastAsia="zh-CN"/>
              </w:rPr>
              <w:t>接管水质</w:t>
            </w:r>
            <w:r>
              <w:rPr>
                <w:rFonts w:hint="default" w:ascii="Times New Roman" w:hAnsi="Times New Roman" w:eastAsia="宋体" w:cs="Times New Roman"/>
                <w:b/>
                <w:bCs/>
                <w:color w:val="auto"/>
                <w:sz w:val="24"/>
                <w:szCs w:val="24"/>
                <w:lang w:val="en-US" w:eastAsia="zh-CN"/>
              </w:rPr>
              <w:t>标准</w:t>
            </w:r>
            <w:r>
              <w:rPr>
                <w:rFonts w:hint="default" w:ascii="Times New Roman" w:hAnsi="Times New Roman" w:eastAsia="宋体" w:cs="Times New Roman"/>
                <w:bCs/>
                <w:color w:val="auto"/>
                <w:sz w:val="24"/>
                <w:szCs w:val="24"/>
              </w:rPr>
              <w:t>单位：mg/L pH无量纲</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1"/>
              <w:gridCol w:w="864"/>
              <w:gridCol w:w="817"/>
              <w:gridCol w:w="801"/>
              <w:gridCol w:w="974"/>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44"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c>
                <w:tcPr>
                  <w:tcW w:w="825"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pH</w:t>
                  </w:r>
                </w:p>
              </w:tc>
              <w:tc>
                <w:tcPr>
                  <w:tcW w:w="780"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COD</w:t>
                  </w:r>
                </w:p>
              </w:tc>
              <w:tc>
                <w:tcPr>
                  <w:tcW w:w="765"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BOD</w:t>
                  </w:r>
                  <w:r>
                    <w:rPr>
                      <w:rFonts w:hint="default" w:ascii="Times New Roman" w:hAnsi="Times New Roman" w:cs="Times New Roman"/>
                      <w:b/>
                      <w:bCs/>
                      <w:color w:val="auto"/>
                      <w:sz w:val="21"/>
                      <w:szCs w:val="21"/>
                      <w:vertAlign w:val="subscript"/>
                      <w:lang w:val="en-US" w:eastAsia="zh-CN"/>
                    </w:rPr>
                    <w:t>5</w:t>
                  </w:r>
                </w:p>
              </w:tc>
              <w:tc>
                <w:tcPr>
                  <w:tcW w:w="930"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NH</w:t>
                  </w:r>
                  <w:r>
                    <w:rPr>
                      <w:rFonts w:hint="default" w:ascii="Times New Roman" w:hAnsi="Times New Roman" w:eastAsia="宋体" w:cs="Times New Roman"/>
                      <w:b/>
                      <w:bCs/>
                      <w:color w:val="auto"/>
                      <w:sz w:val="21"/>
                      <w:szCs w:val="21"/>
                      <w:vertAlign w:val="subscript"/>
                      <w:lang w:val="en-US" w:eastAsia="zh-CN"/>
                    </w:rPr>
                    <w:t>3</w:t>
                  </w:r>
                  <w:r>
                    <w:rPr>
                      <w:rFonts w:hint="default" w:ascii="Times New Roman" w:hAnsi="Times New Roman" w:eastAsia="宋体" w:cs="Times New Roman"/>
                      <w:b/>
                      <w:bCs/>
                      <w:color w:val="auto"/>
                      <w:sz w:val="21"/>
                      <w:szCs w:val="21"/>
                      <w:lang w:val="en-US" w:eastAsia="zh-CN"/>
                    </w:rPr>
                    <w:t>-N</w:t>
                  </w:r>
                </w:p>
              </w:tc>
              <w:tc>
                <w:tcPr>
                  <w:tcW w:w="748"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44"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金寨现代产业园污水处理厂</w:t>
                  </w:r>
                  <w:r>
                    <w:rPr>
                      <w:rFonts w:hint="default" w:ascii="Times New Roman" w:hAnsi="Times New Roman" w:eastAsia="宋体" w:cs="Times New Roman"/>
                      <w:color w:val="auto"/>
                      <w:sz w:val="21"/>
                      <w:szCs w:val="21"/>
                    </w:rPr>
                    <w:t>接管标准</w:t>
                  </w:r>
                </w:p>
              </w:tc>
              <w:tc>
                <w:tcPr>
                  <w:tcW w:w="825"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6~9</w:t>
                  </w:r>
                </w:p>
              </w:tc>
              <w:tc>
                <w:tcPr>
                  <w:tcW w:w="780"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400</w:t>
                  </w:r>
                </w:p>
              </w:tc>
              <w:tc>
                <w:tcPr>
                  <w:tcW w:w="765"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180</w:t>
                  </w:r>
                </w:p>
              </w:tc>
              <w:tc>
                <w:tcPr>
                  <w:tcW w:w="930"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748"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280</w:t>
                  </w:r>
                </w:p>
              </w:tc>
            </w:tr>
          </w:tbl>
          <w:p>
            <w:pPr>
              <w:pStyle w:val="5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b/>
                <w:bCs/>
                <w:color w:val="auto"/>
                <w:sz w:val="24"/>
                <w:szCs w:val="24"/>
              </w:rPr>
            </w:pPr>
            <w:r>
              <w:rPr>
                <w:rFonts w:hint="eastAsia" w:ascii="Times New Roman" w:hAnsi="Times New Roman" w:cs="Times New Roman"/>
                <w:b/>
                <w:bCs/>
                <w:color w:val="auto"/>
                <w:sz w:val="24"/>
                <w:szCs w:val="24"/>
                <w:lang w:val="en-US" w:eastAsia="zh-CN"/>
              </w:rPr>
              <w:t>3、</w:t>
            </w:r>
            <w:r>
              <w:rPr>
                <w:rFonts w:hint="default" w:ascii="Times New Roman" w:hAnsi="Times New Roman" w:eastAsia="宋体" w:cs="Times New Roman"/>
                <w:b/>
                <w:bCs/>
                <w:color w:val="auto"/>
                <w:sz w:val="24"/>
                <w:szCs w:val="24"/>
              </w:rPr>
              <w:t>噪声</w:t>
            </w:r>
            <w:r>
              <w:rPr>
                <w:rFonts w:hint="default" w:ascii="Times New Roman" w:hAnsi="Times New Roman" w:eastAsia="宋体" w:cs="Times New Roman"/>
                <w:b/>
                <w:bCs/>
                <w:color w:val="auto"/>
                <w:sz w:val="24"/>
                <w:szCs w:val="24"/>
                <w:lang w:eastAsia="zh-CN"/>
              </w:rPr>
              <w:t>排放标准</w:t>
            </w:r>
          </w:p>
          <w:p>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color w:val="auto"/>
                <w:sz w:val="24"/>
                <w:szCs w:val="24"/>
              </w:rPr>
            </w:pPr>
            <w:r>
              <w:rPr>
                <w:rFonts w:hint="default" w:ascii="Times New Roman" w:hAnsi="Times New Roman" w:cs="Times New Roman"/>
                <w:sz w:val="24"/>
                <w:szCs w:val="24"/>
                <w:lang w:eastAsia="zh-CN"/>
              </w:rPr>
              <w:t>施工期噪声执行《建筑施工场界环境噪声排放标准》（GB12523-2011），</w:t>
            </w:r>
            <w:r>
              <w:rPr>
                <w:rFonts w:hint="default" w:ascii="Times New Roman" w:hAnsi="Times New Roman" w:cs="Times New Roman"/>
                <w:color w:val="auto"/>
                <w:sz w:val="24"/>
                <w:szCs w:val="24"/>
                <w:lang w:eastAsia="zh-CN"/>
              </w:rPr>
              <w:t>运营期</w:t>
            </w:r>
            <w:r>
              <w:rPr>
                <w:rFonts w:hint="default" w:ascii="Times New Roman" w:hAnsi="Times New Roman" w:eastAsia="宋体" w:cs="Times New Roman"/>
                <w:color w:val="auto"/>
                <w:sz w:val="24"/>
                <w:szCs w:val="24"/>
              </w:rPr>
              <w:t>噪声执行《工业企业厂界环境噪声排放标准》（GB12348-2008）中</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类标准</w:t>
            </w:r>
            <w:r>
              <w:rPr>
                <w:rFonts w:hint="default" w:ascii="Times New Roman" w:hAnsi="Times New Roman" w:cs="Times New Roman"/>
                <w:color w:val="auto"/>
                <w:sz w:val="24"/>
                <w:szCs w:val="24"/>
                <w:lang w:eastAsia="zh-CN"/>
              </w:rPr>
              <w:t>，标准值见下表。</w:t>
            </w:r>
            <w:bookmarkStart w:id="18" w:name="OLE_LINK3"/>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right"/>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cs="Times New Roman"/>
                <w:b/>
                <w:color w:val="auto"/>
                <w:sz w:val="24"/>
                <w:szCs w:val="24"/>
                <w:lang w:val="en-US" w:eastAsia="zh-CN"/>
              </w:rPr>
              <w:t>3</w:t>
            </w:r>
            <w:r>
              <w:rPr>
                <w:rFonts w:hint="default" w:ascii="Times New Roman" w:hAnsi="Times New Roman" w:cs="Times New Roman"/>
                <w:b/>
                <w:color w:val="auto"/>
                <w:sz w:val="24"/>
                <w:szCs w:val="24"/>
                <w:lang w:val="en-US" w:eastAsia="zh-CN"/>
              </w:rPr>
              <w:t>.</w:t>
            </w:r>
            <w:r>
              <w:rPr>
                <w:rFonts w:hint="eastAsia" w:cs="Times New Roman"/>
                <w:b/>
                <w:color w:val="auto"/>
                <w:sz w:val="24"/>
                <w:szCs w:val="24"/>
                <w:lang w:val="en-US" w:eastAsia="zh-CN"/>
              </w:rPr>
              <w:t>10</w:t>
            </w:r>
            <w:r>
              <w:rPr>
                <w:rFonts w:hint="default" w:ascii="Times New Roman" w:hAnsi="Times New Roman" w:eastAsia="宋体" w:cs="Times New Roman"/>
                <w:b/>
                <w:color w:val="auto"/>
                <w:sz w:val="24"/>
                <w:szCs w:val="24"/>
              </w:rPr>
              <w:t>工业企业厂界环境噪声控制执行标准</w:t>
            </w:r>
            <w:r>
              <w:rPr>
                <w:rFonts w:hint="default" w:ascii="Times New Roman" w:hAnsi="Times New Roman" w:eastAsia="宋体" w:cs="Times New Roman"/>
                <w:color w:val="auto"/>
                <w:sz w:val="24"/>
                <w:szCs w:val="24"/>
              </w:rPr>
              <w:t>单位：dB（A）</w:t>
            </w:r>
          </w:p>
          <w:bookmarkEnd w:id="18"/>
          <w:tbl>
            <w:tblPr>
              <w:tblStyle w:val="33"/>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904"/>
              <w:gridCol w:w="1272"/>
              <w:gridCol w:w="121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8" w:hRule="exact"/>
                <w:jc w:val="center"/>
              </w:trPr>
              <w:tc>
                <w:tcPr>
                  <w:tcW w:w="3519" w:type="pct"/>
                  <w:tcBorders>
                    <w:top w:val="single" w:color="auto" w:sz="8" w:space="0"/>
                    <w:left w:val="single" w:color="auto" w:sz="8" w:space="0"/>
                    <w:bottom w:val="single" w:color="auto" w:sz="8" w:space="0"/>
                  </w:tcBorders>
                  <w:noWrap w:val="0"/>
                  <w:vAlign w:val="center"/>
                </w:tcPr>
                <w:p>
                  <w:pPr>
                    <w:spacing w:line="240" w:lineRule="exact"/>
                    <w:jc w:val="center"/>
                    <w:rPr>
                      <w:rFonts w:hint="default" w:ascii="Times New Roman" w:hAnsi="Times New Roman" w:cs="Times New Roman"/>
                      <w:b/>
                      <w:bCs w:val="0"/>
                      <w:color w:val="auto"/>
                      <w:szCs w:val="21"/>
                      <w:lang w:val="zh-CN"/>
                    </w:rPr>
                  </w:pPr>
                  <w:r>
                    <w:rPr>
                      <w:rFonts w:hint="default" w:ascii="Times New Roman" w:hAnsi="Times New Roman" w:cs="Times New Roman"/>
                      <w:b/>
                      <w:bCs w:val="0"/>
                      <w:color w:val="auto"/>
                      <w:szCs w:val="21"/>
                      <w:lang w:val="zh-CN"/>
                    </w:rPr>
                    <w:t>声环境功能区类别</w:t>
                  </w:r>
                </w:p>
              </w:tc>
              <w:tc>
                <w:tcPr>
                  <w:tcW w:w="758" w:type="pct"/>
                  <w:tcBorders>
                    <w:top w:val="single" w:color="auto" w:sz="8" w:space="0"/>
                    <w:bottom w:val="single" w:color="auto" w:sz="8" w:space="0"/>
                  </w:tcBorders>
                  <w:noWrap w:val="0"/>
                  <w:vAlign w:val="center"/>
                </w:tcPr>
                <w:p>
                  <w:pPr>
                    <w:spacing w:line="240" w:lineRule="exact"/>
                    <w:jc w:val="center"/>
                    <w:rPr>
                      <w:rFonts w:hint="default" w:ascii="Times New Roman" w:hAnsi="Times New Roman" w:cs="Times New Roman"/>
                      <w:b/>
                      <w:bCs w:val="0"/>
                      <w:color w:val="auto"/>
                      <w:szCs w:val="21"/>
                      <w:lang w:val="zh-CN"/>
                    </w:rPr>
                  </w:pPr>
                  <w:r>
                    <w:rPr>
                      <w:rFonts w:hint="default" w:ascii="Times New Roman" w:hAnsi="Times New Roman" w:cs="Times New Roman"/>
                      <w:b/>
                      <w:bCs w:val="0"/>
                      <w:color w:val="auto"/>
                      <w:szCs w:val="21"/>
                      <w:lang w:val="zh-CN"/>
                    </w:rPr>
                    <w:t>昼间</w:t>
                  </w:r>
                </w:p>
              </w:tc>
              <w:tc>
                <w:tcPr>
                  <w:tcW w:w="721" w:type="pct"/>
                  <w:tcBorders>
                    <w:top w:val="single" w:color="auto" w:sz="8" w:space="0"/>
                    <w:bottom w:val="single" w:color="auto" w:sz="8" w:space="0"/>
                    <w:right w:val="single" w:color="auto" w:sz="8" w:space="0"/>
                  </w:tcBorders>
                  <w:noWrap w:val="0"/>
                  <w:vAlign w:val="center"/>
                </w:tcPr>
                <w:p>
                  <w:pPr>
                    <w:spacing w:line="240" w:lineRule="exact"/>
                    <w:jc w:val="center"/>
                    <w:rPr>
                      <w:rFonts w:hint="default" w:ascii="Times New Roman" w:hAnsi="Times New Roman" w:cs="Times New Roman"/>
                      <w:b/>
                      <w:bCs w:val="0"/>
                      <w:color w:val="auto"/>
                      <w:szCs w:val="21"/>
                      <w:lang w:val="zh-CN"/>
                    </w:rPr>
                  </w:pPr>
                  <w:r>
                    <w:rPr>
                      <w:rFonts w:hint="default" w:ascii="Times New Roman" w:hAnsi="Times New Roman" w:cs="Times New Roman"/>
                      <w:b/>
                      <w:bCs w:val="0"/>
                      <w:color w:val="auto"/>
                      <w:szCs w:val="21"/>
                      <w:lang w:val="zh-CN"/>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36" w:hRule="exact"/>
                <w:jc w:val="center"/>
              </w:trPr>
              <w:tc>
                <w:tcPr>
                  <w:tcW w:w="3519" w:type="pct"/>
                  <w:tcBorders>
                    <w:top w:val="single" w:color="auto" w:sz="8" w:space="0"/>
                    <w:left w:val="single" w:color="auto" w:sz="8" w:space="0"/>
                    <w:bottom w:val="single" w:color="auto" w:sz="8" w:space="0"/>
                  </w:tcBorders>
                  <w:noWrap w:val="0"/>
                  <w:vAlign w:val="center"/>
                </w:tcPr>
                <w:p>
                  <w:pPr>
                    <w:spacing w:line="240" w:lineRule="exact"/>
                    <w:jc w:val="center"/>
                    <w:rPr>
                      <w:rFonts w:hint="default" w:ascii="Times New Roman" w:hAnsi="Times New Roman" w:cs="Times New Roman"/>
                      <w:bCs/>
                      <w:color w:val="auto"/>
                      <w:szCs w:val="21"/>
                      <w:lang w:val="zh-CN"/>
                    </w:rPr>
                  </w:pPr>
                  <w:r>
                    <w:rPr>
                      <w:rFonts w:hint="default" w:ascii="Times New Roman" w:hAnsi="Times New Roman" w:cs="Times New Roman"/>
                      <w:bCs/>
                      <w:color w:val="auto"/>
                      <w:szCs w:val="21"/>
                    </w:rPr>
                    <w:t>《工业企业厂界环境噪声排放标准》（GB12348-2008）中</w:t>
                  </w:r>
                  <w:r>
                    <w:rPr>
                      <w:rFonts w:hint="default" w:ascii="Times New Roman" w:hAnsi="Times New Roman" w:cs="Times New Roman"/>
                      <w:bCs/>
                      <w:color w:val="auto"/>
                      <w:szCs w:val="21"/>
                      <w:lang w:val="en-US" w:eastAsia="zh-CN"/>
                    </w:rPr>
                    <w:t>3</w:t>
                  </w:r>
                  <w:r>
                    <w:rPr>
                      <w:rFonts w:hint="default" w:ascii="Times New Roman" w:hAnsi="Times New Roman" w:cs="Times New Roman"/>
                      <w:bCs/>
                      <w:color w:val="auto"/>
                      <w:szCs w:val="21"/>
                      <w:lang w:val="zh-CN"/>
                    </w:rPr>
                    <w:t>类区标准</w:t>
                  </w:r>
                </w:p>
              </w:tc>
              <w:tc>
                <w:tcPr>
                  <w:tcW w:w="758" w:type="pct"/>
                  <w:tcBorders>
                    <w:top w:val="single" w:color="auto" w:sz="8" w:space="0"/>
                    <w:bottom w:val="single" w:color="auto" w:sz="8" w:space="0"/>
                  </w:tcBorders>
                  <w:noWrap w:val="0"/>
                  <w:vAlign w:val="center"/>
                </w:tcPr>
                <w:p>
                  <w:pPr>
                    <w:spacing w:line="240" w:lineRule="exact"/>
                    <w:jc w:val="center"/>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6</w:t>
                  </w:r>
                  <w:r>
                    <w:rPr>
                      <w:rFonts w:hint="default" w:ascii="Times New Roman" w:hAnsi="Times New Roman" w:cs="Times New Roman"/>
                      <w:bCs/>
                      <w:color w:val="auto"/>
                      <w:szCs w:val="21"/>
                      <w:lang w:val="en-US" w:eastAsia="zh-CN"/>
                    </w:rPr>
                    <w:t>5</w:t>
                  </w:r>
                </w:p>
              </w:tc>
              <w:tc>
                <w:tcPr>
                  <w:tcW w:w="721" w:type="pct"/>
                  <w:tcBorders>
                    <w:top w:val="single" w:color="auto" w:sz="8" w:space="0"/>
                    <w:bottom w:val="single" w:color="auto" w:sz="8" w:space="0"/>
                    <w:right w:val="single" w:color="auto" w:sz="8" w:space="0"/>
                  </w:tcBorders>
                  <w:noWrap w:val="0"/>
                  <w:vAlign w:val="center"/>
                </w:tcPr>
                <w:p>
                  <w:pPr>
                    <w:spacing w:line="240" w:lineRule="exact"/>
                    <w:jc w:val="center"/>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5</w:t>
                  </w:r>
                  <w:r>
                    <w:rPr>
                      <w:rFonts w:hint="default" w:ascii="Times New Roman" w:hAnsi="Times New Roman" w:cs="Times New Roman"/>
                      <w:bCs/>
                      <w:color w:val="auto"/>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3" w:hRule="exact"/>
                <w:jc w:val="center"/>
              </w:trPr>
              <w:tc>
                <w:tcPr>
                  <w:tcW w:w="3519" w:type="pct"/>
                  <w:tcBorders>
                    <w:top w:val="single" w:color="auto" w:sz="8" w:space="0"/>
                    <w:left w:val="single" w:color="auto" w:sz="8" w:space="0"/>
                    <w:bottom w:val="single" w:color="auto" w:sz="8" w:space="0"/>
                  </w:tcBorders>
                  <w:noWrap w:val="0"/>
                  <w:vAlign w:val="center"/>
                </w:tcPr>
                <w:p>
                  <w:pPr>
                    <w:spacing w:line="24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《建筑施工场界环境噪声排放标准》（GB12523-2011）</w:t>
                  </w:r>
                </w:p>
              </w:tc>
              <w:tc>
                <w:tcPr>
                  <w:tcW w:w="758" w:type="pct"/>
                  <w:tcBorders>
                    <w:top w:val="single" w:color="auto" w:sz="8" w:space="0"/>
                    <w:bottom w:val="single" w:color="auto" w:sz="8" w:space="0"/>
                  </w:tcBorders>
                  <w:noWrap w:val="0"/>
                  <w:vAlign w:val="center"/>
                </w:tcPr>
                <w:p>
                  <w:pPr>
                    <w:spacing w:line="24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70</w:t>
                  </w:r>
                </w:p>
              </w:tc>
              <w:tc>
                <w:tcPr>
                  <w:tcW w:w="721" w:type="pct"/>
                  <w:tcBorders>
                    <w:top w:val="single" w:color="auto" w:sz="8" w:space="0"/>
                    <w:bottom w:val="single" w:color="auto" w:sz="8" w:space="0"/>
                    <w:right w:val="single" w:color="auto" w:sz="8" w:space="0"/>
                  </w:tcBorders>
                  <w:noWrap w:val="0"/>
                  <w:vAlign w:val="center"/>
                </w:tcPr>
                <w:p>
                  <w:pPr>
                    <w:spacing w:line="24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55</w:t>
                  </w:r>
                </w:p>
              </w:tc>
            </w:tr>
          </w:tbl>
          <w:p>
            <w:pPr>
              <w:pStyle w:val="3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rPr>
              <w:t>固体废物</w:t>
            </w:r>
            <w:r>
              <w:rPr>
                <w:rFonts w:hint="default" w:ascii="Times New Roman" w:hAnsi="Times New Roman" w:eastAsia="宋体" w:cs="Times New Roman"/>
                <w:b/>
                <w:bCs/>
                <w:color w:val="auto"/>
                <w:sz w:val="24"/>
                <w:szCs w:val="24"/>
                <w:lang w:eastAsia="zh-CN"/>
              </w:rPr>
              <w:t>污染物控制标准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cs="Times New Roman"/>
                <w:color w:val="auto"/>
                <w:kern w:val="0"/>
                <w:sz w:val="24"/>
                <w:szCs w:val="24"/>
                <w:lang w:eastAsia="zh-CN"/>
              </w:rPr>
            </w:pPr>
            <w:r>
              <w:rPr>
                <w:rFonts w:hint="default" w:ascii="Times New Roman" w:hAnsi="Times New Roman" w:eastAsia="宋体" w:cs="Times New Roman"/>
                <w:bCs/>
                <w:color w:val="auto"/>
                <w:kern w:val="0"/>
                <w:sz w:val="24"/>
                <w:szCs w:val="24"/>
                <w:u w:val="none"/>
              </w:rPr>
              <w:t>一般固废</w:t>
            </w:r>
            <w:r>
              <w:rPr>
                <w:rFonts w:hint="default" w:cs="Times New Roman"/>
                <w:bCs/>
                <w:color w:val="auto"/>
                <w:kern w:val="0"/>
                <w:sz w:val="24"/>
                <w:szCs w:val="24"/>
                <w:u w:val="none"/>
                <w:lang w:eastAsia="zh-CN"/>
              </w:rPr>
              <w:t>执行</w:t>
            </w:r>
            <w:r>
              <w:rPr>
                <w:rFonts w:hint="default" w:ascii="Times New Roman" w:hAnsi="Times New Roman" w:cs="Times New Roman"/>
                <w:sz w:val="24"/>
                <w:szCs w:val="24"/>
                <w:lang w:eastAsia="zh-CN"/>
              </w:rPr>
              <w:t>《</w:t>
            </w:r>
            <w:r>
              <w:rPr>
                <w:rFonts w:hint="default" w:ascii="Times New Roman" w:hAnsi="Times New Roman" w:eastAsia="宋体" w:cs="Times New Roman"/>
                <w:bCs/>
                <w:color w:val="auto"/>
                <w:spacing w:val="-8"/>
                <w:kern w:val="0"/>
                <w:sz w:val="24"/>
                <w:szCs w:val="24"/>
              </w:rPr>
              <w:t>一般工业固体废物贮存</w:t>
            </w:r>
            <w:r>
              <w:rPr>
                <w:rFonts w:hint="default" w:ascii="Times New Roman" w:hAnsi="Times New Roman" w:cs="Times New Roman"/>
                <w:bCs/>
                <w:color w:val="auto"/>
                <w:spacing w:val="-8"/>
                <w:kern w:val="0"/>
                <w:sz w:val="24"/>
                <w:szCs w:val="24"/>
                <w:lang w:eastAsia="zh-CN"/>
              </w:rPr>
              <w:t>和填埋</w:t>
            </w:r>
            <w:r>
              <w:rPr>
                <w:rFonts w:hint="default" w:ascii="Times New Roman" w:hAnsi="Times New Roman" w:eastAsia="宋体" w:cs="Times New Roman"/>
                <w:bCs/>
                <w:color w:val="auto"/>
                <w:spacing w:val="-8"/>
                <w:kern w:val="0"/>
                <w:sz w:val="24"/>
                <w:szCs w:val="24"/>
              </w:rPr>
              <w:t>污染控制标准》（GB18599-20</w:t>
            </w:r>
            <w:r>
              <w:rPr>
                <w:rFonts w:hint="default" w:ascii="Times New Roman" w:hAnsi="Times New Roman" w:cs="Times New Roman"/>
                <w:bCs/>
                <w:color w:val="auto"/>
                <w:spacing w:val="-8"/>
                <w:kern w:val="0"/>
                <w:sz w:val="24"/>
                <w:szCs w:val="24"/>
                <w:lang w:val="en-US" w:eastAsia="zh-CN"/>
              </w:rPr>
              <w:t>20</w:t>
            </w:r>
            <w:r>
              <w:rPr>
                <w:rFonts w:hint="default" w:ascii="Times New Roman" w:hAnsi="Times New Roman" w:eastAsia="宋体" w:cs="Times New Roman"/>
                <w:bCs/>
                <w:color w:val="auto"/>
                <w:spacing w:val="-8"/>
                <w:kern w:val="0"/>
                <w:sz w:val="24"/>
                <w:szCs w:val="24"/>
              </w:rPr>
              <w:t>）中相应标准</w:t>
            </w:r>
            <w:r>
              <w:rPr>
                <w:rFonts w:hint="default" w:ascii="Times New Roman" w:hAnsi="Times New Roman" w:eastAsia="宋体" w:cs="Times New Roman"/>
                <w:color w:val="auto"/>
                <w:kern w:val="0"/>
                <w:sz w:val="24"/>
                <w:szCs w:val="24"/>
              </w:rPr>
              <w:t>，危险废物</w:t>
            </w:r>
            <w:r>
              <w:rPr>
                <w:rFonts w:hint="default" w:cs="Times New Roman"/>
                <w:color w:val="auto"/>
                <w:kern w:val="0"/>
                <w:sz w:val="24"/>
                <w:szCs w:val="24"/>
              </w:rPr>
              <w:t>执行</w:t>
            </w:r>
            <w:r>
              <w:rPr>
                <w:rFonts w:hint="default" w:ascii="Times New Roman" w:hAnsi="Times New Roman" w:cs="Times New Roman"/>
                <w:sz w:val="24"/>
                <w:szCs w:val="24"/>
                <w:lang w:eastAsia="zh-CN"/>
              </w:rPr>
              <w:t>《</w:t>
            </w:r>
            <w:r>
              <w:rPr>
                <w:rFonts w:hint="default" w:ascii="Times New Roman" w:hAnsi="Times New Roman" w:eastAsia="宋体" w:cs="Times New Roman"/>
                <w:color w:val="auto"/>
                <w:kern w:val="0"/>
                <w:sz w:val="24"/>
                <w:szCs w:val="24"/>
              </w:rPr>
              <w:t>危险废物贮存污染控制标准》（GB18597-20</w:t>
            </w:r>
            <w:r>
              <w:rPr>
                <w:rFonts w:hint="default" w:ascii="Times New Roman" w:hAnsi="Times New Roman" w:cs="Times New Roman"/>
                <w:color w:val="auto"/>
                <w:kern w:val="0"/>
                <w:sz w:val="24"/>
                <w:szCs w:val="24"/>
                <w:lang w:val="en-US" w:eastAsia="zh-CN"/>
              </w:rPr>
              <w:t>23</w:t>
            </w:r>
            <w:r>
              <w:rPr>
                <w:rFonts w:hint="default" w:ascii="Times New Roman" w:hAnsi="Times New Roman" w:eastAsia="宋体" w:cs="Times New Roman"/>
                <w:color w:val="auto"/>
                <w:kern w:val="0"/>
                <w:sz w:val="24"/>
                <w:szCs w:val="24"/>
              </w:rPr>
              <w:t>）</w:t>
            </w:r>
            <w:r>
              <w:rPr>
                <w:rFonts w:hint="default" w:ascii="Times New Roman" w:hAnsi="Times New Roman" w:cs="Times New Roman"/>
                <w:color w:val="auto"/>
                <w:kern w:val="0"/>
                <w:sz w:val="24"/>
                <w:szCs w:val="24"/>
                <w:lang w:eastAsia="zh-CN"/>
              </w:rPr>
              <w:t>中的有关规定执行。</w:t>
            </w:r>
          </w:p>
          <w:p>
            <w:pPr>
              <w:pStyle w:val="48"/>
              <w:ind w:left="0" w:leftChars="0" w:firstLine="0" w:firstLineChars="0"/>
              <w:rPr>
                <w:rFonts w:hint="default" w:ascii="Times New Roman" w:hAnsi="Times New Roman" w:cs="Times New Roman"/>
                <w:color w:val="auto"/>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kern w:val="0"/>
                <w:sz w:val="24"/>
              </w:rPr>
            </w:pP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kern w:val="0"/>
                <w:sz w:val="24"/>
              </w:rPr>
            </w:pP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kern w:val="0"/>
                <w:sz w:val="24"/>
              </w:rPr>
            </w:pP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kern w:val="0"/>
                <w:sz w:val="24"/>
              </w:rPr>
            </w:pP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kern w:val="0"/>
                <w:sz w:val="24"/>
              </w:rPr>
            </w:pP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kern w:val="0"/>
                <w:sz w:val="24"/>
              </w:rPr>
            </w:pP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kern w:val="0"/>
                <w:sz w:val="24"/>
              </w:rPr>
            </w:pP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kern w:val="0"/>
                <w:sz w:val="24"/>
              </w:rPr>
            </w:pP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kern w:val="0"/>
                <w:sz w:val="24"/>
              </w:rPr>
            </w:pP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kern w:val="0"/>
                <w:sz w:val="24"/>
              </w:rPr>
            </w:pP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kern w:val="0"/>
                <w:sz w:val="24"/>
              </w:rPr>
            </w:pP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kern w:val="0"/>
                <w:sz w:val="24"/>
              </w:rPr>
            </w:pP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kern w:val="0"/>
                <w:sz w:val="24"/>
              </w:rPr>
            </w:pP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kern w:val="0"/>
                <w:sz w:val="24"/>
              </w:rPr>
            </w:pP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kern w:val="0"/>
                <w:sz w:val="24"/>
              </w:rPr>
            </w:pP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pStyle w:val="2"/>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pStyle w:val="48"/>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 w:val="24"/>
              </w:rPr>
            </w:pPr>
          </w:p>
          <w:p>
            <w:pPr>
              <w:pStyle w:val="19"/>
              <w:rPr>
                <w:rFonts w:hint="default"/>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kern w:val="0"/>
                <w:sz w:val="24"/>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auto"/>
                <w:kern w:val="0"/>
                <w:sz w:val="24"/>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auto"/>
                <w:kern w:val="0"/>
                <w:sz w:val="24"/>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auto"/>
                <w:kern w:val="0"/>
                <w:sz w:val="24"/>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auto"/>
                <w:kern w:val="0"/>
                <w:sz w:val="24"/>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auto"/>
                <w:kern w:val="0"/>
                <w:sz w:val="24"/>
              </w:rPr>
            </w:pPr>
          </w:p>
          <w:p>
            <w:pPr>
              <w:pStyle w:val="11"/>
              <w:ind w:left="0" w:leftChars="0" w:firstLine="0" w:firstLineChars="0"/>
              <w:rPr>
                <w:rFonts w:hint="default" w:ascii="Times New Roman" w:hAnsi="Times New Roman" w:cs="Times New Roman"/>
                <w:color w:val="auto"/>
              </w:rPr>
            </w:pPr>
          </w:p>
          <w:p>
            <w:pPr>
              <w:pStyle w:val="8"/>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eastAsia" w:cs="Times New Roman"/>
                <w:color w:val="auto"/>
                <w:sz w:val="22"/>
                <w:szCs w:val="28"/>
                <w:lang w:val="en-US" w:eastAsia="zh-CN"/>
              </w:rPr>
            </w:pPr>
            <w:r>
              <w:rPr>
                <w:rFonts w:hint="eastAsia" w:cs="Times New Roman"/>
                <w:b/>
                <w:bCs/>
                <w:color w:val="auto"/>
                <w:sz w:val="24"/>
                <w:szCs w:val="24"/>
                <w:lang w:val="en-US" w:eastAsia="zh-CN"/>
              </w:rPr>
              <w:t>环境保护目标</w:t>
            </w: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pStyle w:val="2"/>
              <w:rPr>
                <w:rFonts w:hint="eastAsia" w:cs="Times New Roman"/>
                <w:color w:val="auto"/>
                <w:lang w:val="en-US" w:eastAsia="zh-CN"/>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污染</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物排</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放控</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制标</w:t>
            </w:r>
          </w:p>
          <w:p>
            <w:pPr>
              <w:pStyle w:val="2"/>
              <w:rPr>
                <w:rFonts w:hint="default" w:cs="Times New Roman"/>
                <w:color w:val="auto"/>
                <w:lang w:val="en-US" w:eastAsia="zh-CN"/>
              </w:rPr>
            </w:pPr>
            <w:r>
              <w:rPr>
                <w:rFonts w:hint="default" w:ascii="Times New Roman" w:hAnsi="Times New Roman" w:cs="Times New Roman"/>
                <w:b/>
                <w:bCs/>
                <w:color w:val="auto"/>
                <w:kern w:val="0"/>
                <w:sz w:val="24"/>
              </w:rPr>
              <w:t>准</w:t>
            </w:r>
          </w:p>
        </w:tc>
        <w:tc>
          <w:tcPr>
            <w:tcW w:w="8604" w:type="dxa"/>
            <w:vMerge w:val="continue"/>
            <w:noWrap w:val="0"/>
            <w:vAlign w:val="top"/>
          </w:tcPr>
          <w:p>
            <w:pPr>
              <w:pStyle w:val="59"/>
              <w:keepNext w:val="0"/>
              <w:keepLines w:val="0"/>
              <w:suppressLineNumbers w:val="0"/>
              <w:spacing w:before="0" w:beforeAutospacing="0" w:after="0" w:afterAutospacing="0" w:line="360" w:lineRule="auto"/>
              <w:ind w:left="0" w:right="0"/>
              <w:jc w:val="both"/>
              <w:rPr>
                <w:rFonts w:hint="default" w:ascii="Times New Roman" w:hAnsi="Times New Roman"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13" w:hRule="atLeast"/>
          <w:jc w:val="center"/>
        </w:trPr>
        <w:tc>
          <w:tcPr>
            <w:tcW w:w="45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总量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控制</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b/>
                <w:bCs/>
                <w:color w:val="auto"/>
                <w:kern w:val="0"/>
                <w:sz w:val="24"/>
              </w:rPr>
              <w:t>指标</w:t>
            </w:r>
          </w:p>
        </w:tc>
        <w:tc>
          <w:tcPr>
            <w:tcW w:w="8604"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根据“十四五”生态环境保护规划及地方环保要求，结合项目生产及排污特点，确定本项目的污染物总量控制指标为COD、NH</w:t>
            </w:r>
            <w:r>
              <w:rPr>
                <w:rFonts w:hint="default" w:ascii="Times New Roman" w:hAnsi="Times New Roman" w:eastAsia="宋体" w:cs="Times New Roman"/>
                <w:color w:val="auto"/>
                <w:kern w:val="0"/>
                <w:sz w:val="24"/>
                <w:szCs w:val="24"/>
                <w:highlight w:val="none"/>
                <w:vertAlign w:val="sub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-N、VOCs</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（1）废水总量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cs="Times New Roman"/>
                <w:color w:val="auto"/>
                <w:sz w:val="24"/>
                <w:szCs w:val="24"/>
                <w:lang w:val="en-US" w:eastAsia="zh-CN"/>
              </w:rPr>
              <w:t>废水接入市政污水管网纳入</w:t>
            </w:r>
            <w:r>
              <w:rPr>
                <w:rFonts w:hint="eastAsia" w:cs="Times New Roman"/>
                <w:color w:val="auto"/>
                <w:sz w:val="24"/>
                <w:szCs w:val="24"/>
                <w:lang w:val="en-US" w:eastAsia="zh-CN"/>
              </w:rPr>
              <w:t>金寨现代产业园污水处理厂</w:t>
            </w:r>
            <w:r>
              <w:rPr>
                <w:rFonts w:hint="default" w:ascii="Times New Roman" w:hAnsi="Times New Roman" w:cs="Times New Roman"/>
                <w:color w:val="auto"/>
                <w:sz w:val="24"/>
                <w:szCs w:val="24"/>
                <w:lang w:val="en-US" w:eastAsia="zh-CN"/>
              </w:rPr>
              <w:t>处理</w:t>
            </w:r>
            <w:r>
              <w:rPr>
                <w:rFonts w:hint="default" w:ascii="Times New Roman" w:hAnsi="Times New Roman" w:eastAsia="宋体" w:cs="Times New Roman"/>
                <w:color w:val="auto"/>
                <w:kern w:val="0"/>
                <w:sz w:val="24"/>
                <w:szCs w:val="24"/>
              </w:rPr>
              <w:t>，总量控制纳入</w:t>
            </w:r>
            <w:r>
              <w:rPr>
                <w:rFonts w:hint="eastAsia" w:cs="Times New Roman"/>
                <w:color w:val="auto"/>
                <w:kern w:val="0"/>
                <w:sz w:val="24"/>
                <w:szCs w:val="24"/>
                <w:lang w:eastAsia="zh-CN"/>
              </w:rPr>
              <w:t>金寨现代产业园污水处理厂</w:t>
            </w:r>
            <w:r>
              <w:rPr>
                <w:rFonts w:hint="default" w:ascii="Times New Roman" w:hAnsi="Times New Roman" w:eastAsia="宋体" w:cs="Times New Roman"/>
                <w:color w:val="auto"/>
                <w:kern w:val="0"/>
                <w:sz w:val="24"/>
                <w:szCs w:val="24"/>
              </w:rPr>
              <w:t>一并管理，无需</w:t>
            </w:r>
            <w:r>
              <w:rPr>
                <w:rFonts w:hint="default" w:ascii="Times New Roman" w:hAnsi="Times New Roman" w:cs="Times New Roman"/>
                <w:color w:val="auto"/>
                <w:kern w:val="0"/>
                <w:sz w:val="24"/>
                <w:szCs w:val="24"/>
                <w:lang w:val="en-US" w:eastAsia="zh-CN"/>
              </w:rPr>
              <w:t>另行</w:t>
            </w:r>
            <w:r>
              <w:rPr>
                <w:rFonts w:hint="default" w:ascii="Times New Roman" w:hAnsi="Times New Roman" w:eastAsia="宋体" w:cs="Times New Roman"/>
                <w:color w:val="auto"/>
                <w:kern w:val="0"/>
                <w:sz w:val="24"/>
                <w:szCs w:val="24"/>
              </w:rPr>
              <w:t>申请总量。</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32"/>
                <w:lang w:eastAsia="zh-CN"/>
              </w:rPr>
              <w:t>（</w:t>
            </w:r>
            <w:r>
              <w:rPr>
                <w:rFonts w:hint="default" w:ascii="Times New Roman" w:hAnsi="Times New Roman" w:cs="Times New Roman"/>
                <w:color w:val="auto"/>
                <w:sz w:val="24"/>
                <w:szCs w:val="32"/>
                <w:lang w:val="en-US" w:eastAsia="zh-CN"/>
              </w:rPr>
              <w:t>2</w:t>
            </w:r>
            <w:r>
              <w:rPr>
                <w:rFonts w:hint="default" w:ascii="Times New Roman" w:hAnsi="Times New Roman" w:cs="Times New Roman"/>
                <w:color w:val="auto"/>
                <w:sz w:val="24"/>
                <w:szCs w:val="32"/>
                <w:lang w:eastAsia="zh-CN"/>
              </w:rPr>
              <w:t>）</w:t>
            </w:r>
            <w:r>
              <w:rPr>
                <w:rFonts w:hint="default" w:ascii="Times New Roman" w:hAnsi="Times New Roman" w:cs="Times New Roman"/>
                <w:color w:val="auto"/>
                <w:sz w:val="24"/>
                <w:szCs w:val="32"/>
                <w:lang w:val="en-US" w:eastAsia="zh-CN"/>
              </w:rPr>
              <w:t>废气总量</w:t>
            </w:r>
          </w:p>
          <w:p>
            <w:pPr>
              <w:pStyle w:val="2"/>
              <w:keepNext w:val="0"/>
              <w:keepLines w:val="0"/>
              <w:pageBreakBefore w:val="0"/>
              <w:kinsoku/>
              <w:wordWrap/>
              <w:overflowPunct/>
              <w:topLinePunct w:val="0"/>
              <w:bidi w:val="0"/>
              <w:ind w:firstLine="480" w:firstLineChars="200"/>
              <w:textAlignment w:val="auto"/>
              <w:rPr>
                <w:rFonts w:hint="default" w:ascii="Times New Roman" w:hAnsi="Times New Roman" w:cs="Times New Roman"/>
              </w:rPr>
            </w:pPr>
            <w:r>
              <w:rPr>
                <w:rFonts w:hint="default" w:ascii="Times New Roman" w:hAnsi="Times New Roman" w:eastAsia="宋体" w:cs="Times New Roman"/>
                <w:b w:val="0"/>
                <w:bCs/>
                <w:color w:val="auto"/>
                <w:sz w:val="24"/>
                <w:highlight w:val="none"/>
                <w:lang w:eastAsia="zh-CN"/>
              </w:rPr>
              <w:t>本项目废气总量指标</w:t>
            </w:r>
            <w:r>
              <w:rPr>
                <w:rFonts w:hint="eastAsia" w:ascii="Times New Roman" w:hAnsi="Times New Roman" w:eastAsia="宋体" w:cs="Times New Roman"/>
                <w:b w:val="0"/>
                <w:bCs/>
                <w:color w:val="auto"/>
                <w:sz w:val="24"/>
                <w:highlight w:val="none"/>
                <w:lang w:val="en-US" w:eastAsia="zh-CN"/>
              </w:rPr>
              <w:t>为：</w:t>
            </w:r>
            <w:r>
              <w:rPr>
                <w:rFonts w:hint="default" w:ascii="Times New Roman" w:hAnsi="Times New Roman" w:eastAsia="宋体" w:cs="Times New Roman"/>
                <w:b w:val="0"/>
                <w:bCs/>
                <w:color w:val="auto"/>
                <w:sz w:val="24"/>
                <w:highlight w:val="none"/>
                <w:lang w:eastAsia="zh-CN"/>
              </w:rPr>
              <w:t>非甲烷总烃：</w:t>
            </w:r>
            <w:commentRangeStart w:id="0"/>
            <w:r>
              <w:rPr>
                <w:rFonts w:hint="eastAsia" w:ascii="Times New Roman" w:cs="Times New Roman"/>
                <w:b w:val="0"/>
                <w:bCs/>
                <w:color w:val="000000"/>
                <w:kern w:val="0"/>
                <w:sz w:val="24"/>
                <w:szCs w:val="24"/>
                <w:lang w:val="en-US" w:eastAsia="zh-CN" w:bidi="ar"/>
              </w:rPr>
              <w:t>0.1575</w:t>
            </w:r>
            <w:r>
              <w:rPr>
                <w:rFonts w:hint="default" w:ascii="Times New Roman" w:hAnsi="Times New Roman" w:eastAsia="宋体" w:cs="Times New Roman"/>
                <w:b w:val="0"/>
                <w:bCs/>
                <w:color w:val="000000"/>
                <w:kern w:val="0"/>
                <w:sz w:val="24"/>
                <w:szCs w:val="24"/>
                <w:lang w:val="en-US" w:eastAsia="zh-CN" w:bidi="ar"/>
              </w:rPr>
              <w:t>t/a</w:t>
            </w:r>
            <w:commentRangeEnd w:id="0"/>
            <w:r>
              <w:commentReference w:id="0"/>
            </w:r>
            <w:r>
              <w:rPr>
                <w:rFonts w:hint="default" w:ascii="Times New Roman" w:hAnsi="Times New Roman" w:eastAsia="宋体" w:cs="Times New Roman"/>
                <w:b w:val="0"/>
                <w:bCs/>
                <w:color w:val="000000"/>
                <w:kern w:val="0"/>
                <w:sz w:val="24"/>
                <w:szCs w:val="24"/>
                <w:lang w:val="en-US" w:eastAsia="zh-CN" w:bidi="ar"/>
              </w:rPr>
              <w:t>。</w:t>
            </w:r>
          </w:p>
          <w:p>
            <w:pPr>
              <w:pStyle w:val="2"/>
              <w:rPr>
                <w:rFonts w:hint="default"/>
                <w:lang w:val="en-US" w:eastAsia="zh-CN"/>
              </w:rPr>
            </w:pPr>
          </w:p>
        </w:tc>
      </w:tr>
    </w:tbl>
    <w:p>
      <w:pPr>
        <w:pStyle w:val="32"/>
        <w:spacing w:before="0" w:beforeAutospacing="0" w:after="0" w:afterAutospacing="0" w:line="360" w:lineRule="auto"/>
        <w:jc w:val="center"/>
        <w:outlineLvl w:val="0"/>
        <w:rPr>
          <w:rFonts w:hint="default" w:ascii="Times New Roman" w:hAnsi="Times New Roman" w:cs="Times New Roman"/>
          <w:snapToGrid w:val="0"/>
          <w:color w:val="auto"/>
          <w:sz w:val="30"/>
          <w:szCs w:val="30"/>
        </w:rPr>
      </w:pPr>
      <w:bookmarkStart w:id="19" w:name="_Hlk54167917"/>
      <w:r>
        <w:rPr>
          <w:rFonts w:hint="default" w:ascii="Times New Roman" w:hAnsi="Times New Roman" w:cs="Times New Roman"/>
          <w:snapToGrid w:val="0"/>
          <w:color w:val="auto"/>
          <w:sz w:val="36"/>
          <w:szCs w:val="36"/>
        </w:rPr>
        <w:br w:type="page"/>
      </w:r>
      <w:bookmarkStart w:id="20" w:name="_Toc13595"/>
      <w:r>
        <w:rPr>
          <w:rFonts w:hint="default" w:ascii="Times New Roman" w:hAnsi="Times New Roman" w:eastAsia="黑体" w:cs="Times New Roman"/>
          <w:snapToGrid w:val="0"/>
          <w:color w:val="auto"/>
          <w:sz w:val="30"/>
          <w:szCs w:val="30"/>
        </w:rPr>
        <w:t>四、主要环境影响和保护措施</w:t>
      </w:r>
      <w:bookmarkEnd w:id="20"/>
    </w:p>
    <w:tbl>
      <w:tblPr>
        <w:tblStyle w:val="3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7"/>
        <w:gridCol w:w="86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93" w:hRule="atLeast"/>
          <w:jc w:val="center"/>
        </w:trPr>
        <w:tc>
          <w:tcPr>
            <w:tcW w:w="283" w:type="dxa"/>
            <w:noWrap w:val="0"/>
            <w:tcMar>
              <w:left w:w="28" w:type="dxa"/>
              <w:right w:w="28" w:type="dxa"/>
            </w:tcMar>
            <w:vAlign w:val="center"/>
          </w:tcPr>
          <w:p>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2"/>
                <w:szCs w:val="24"/>
                <w:lang w:val="en-US" w:eastAsia="zh-CN"/>
              </w:rPr>
            </w:pPr>
            <w:r>
              <w:rPr>
                <w:rFonts w:hint="default" w:ascii="Times New Roman" w:hAnsi="Times New Roman" w:cs="Times New Roman"/>
                <w:b/>
                <w:bCs/>
                <w:color w:val="auto"/>
                <w:kern w:val="2"/>
                <w:szCs w:val="24"/>
                <w:lang w:val="en-US" w:eastAsia="zh-CN"/>
              </w:rPr>
              <w:t>施工</w:t>
            </w:r>
          </w:p>
          <w:p>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2"/>
                <w:szCs w:val="24"/>
                <w:lang w:val="en-US" w:eastAsia="zh-CN"/>
              </w:rPr>
            </w:pPr>
            <w:r>
              <w:rPr>
                <w:rFonts w:hint="default" w:ascii="Times New Roman" w:hAnsi="Times New Roman" w:cs="Times New Roman"/>
                <w:b/>
                <w:bCs/>
                <w:color w:val="auto"/>
                <w:kern w:val="2"/>
                <w:szCs w:val="24"/>
                <w:lang w:val="en-US" w:eastAsia="zh-CN"/>
              </w:rPr>
              <w:t>期环</w:t>
            </w:r>
          </w:p>
          <w:p>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2"/>
                <w:szCs w:val="24"/>
                <w:lang w:val="en-US" w:eastAsia="zh-CN"/>
              </w:rPr>
            </w:pPr>
            <w:r>
              <w:rPr>
                <w:rFonts w:hint="default" w:ascii="Times New Roman" w:hAnsi="Times New Roman" w:cs="Times New Roman"/>
                <w:b/>
                <w:bCs/>
                <w:color w:val="auto"/>
                <w:kern w:val="2"/>
                <w:szCs w:val="24"/>
                <w:lang w:val="en-US" w:eastAsia="zh-CN"/>
              </w:rPr>
              <w:t>境保</w:t>
            </w:r>
          </w:p>
          <w:p>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2"/>
                <w:szCs w:val="24"/>
                <w:lang w:val="en-US" w:eastAsia="zh-CN"/>
              </w:rPr>
            </w:pPr>
            <w:r>
              <w:rPr>
                <w:rFonts w:hint="default" w:ascii="Times New Roman" w:hAnsi="Times New Roman" w:cs="Times New Roman"/>
                <w:b/>
                <w:bCs/>
                <w:color w:val="auto"/>
                <w:kern w:val="2"/>
                <w:szCs w:val="24"/>
                <w:lang w:val="en-US" w:eastAsia="zh-CN"/>
              </w:rPr>
              <w:t>护措</w:t>
            </w:r>
          </w:p>
          <w:p>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lang w:val="en-US" w:eastAsia="zh-CN"/>
              </w:rPr>
            </w:pPr>
            <w:r>
              <w:rPr>
                <w:rFonts w:hint="default" w:ascii="Times New Roman" w:hAnsi="Times New Roman" w:cs="Times New Roman"/>
                <w:b/>
                <w:bCs/>
                <w:color w:val="auto"/>
                <w:kern w:val="2"/>
                <w:szCs w:val="24"/>
                <w:lang w:val="en-US" w:eastAsia="zh-CN"/>
              </w:rPr>
              <w:t>施</w:t>
            </w:r>
          </w:p>
        </w:tc>
        <w:tc>
          <w:tcPr>
            <w:tcW w:w="8698" w:type="dxa"/>
            <w:noWrap w:val="0"/>
            <w:vAlign w:val="top"/>
          </w:tcPr>
          <w:p>
            <w:pPr>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color w:val="auto"/>
              </w:rPr>
            </w:pPr>
            <w:bookmarkStart w:id="21" w:name="OLE_LINK205"/>
            <w:r>
              <w:rPr>
                <w:rFonts w:hint="default"/>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租赁</w:t>
            </w:r>
            <w:r>
              <w:rPr>
                <w:rFonts w:hint="eastAsia"/>
                <w:color w:val="000000" w:themeColor="text1"/>
                <w:sz w:val="24"/>
                <w:lang w:eastAsia="zh-CN"/>
                <w14:textFill>
                  <w14:solidFill>
                    <w14:schemeClr w14:val="tx1"/>
                  </w14:solidFill>
                </w14:textFill>
              </w:rPr>
              <w:t>现有</w:t>
            </w:r>
            <w:r>
              <w:rPr>
                <w:rFonts w:hint="eastAsia"/>
                <w:color w:val="000000" w:themeColor="text1"/>
                <w:sz w:val="24"/>
                <w14:textFill>
                  <w14:solidFill>
                    <w14:schemeClr w14:val="tx1"/>
                  </w14:solidFill>
                </w14:textFill>
              </w:rPr>
              <w:t>已建</w:t>
            </w:r>
            <w:r>
              <w:rPr>
                <w:rFonts w:hint="default"/>
                <w:color w:val="000000" w:themeColor="text1"/>
                <w:sz w:val="24"/>
                <w14:textFill>
                  <w14:solidFill>
                    <w14:schemeClr w14:val="tx1"/>
                  </w14:solidFill>
                </w14:textFill>
              </w:rPr>
              <w:t>厂房作为生产场所，项目不涉及大型的土建作业，仅为设备安装，因此本项目不对施工期</w:t>
            </w:r>
            <w:r>
              <w:rPr>
                <w:rFonts w:hint="eastAsia"/>
                <w:color w:val="000000" w:themeColor="text1"/>
                <w:sz w:val="24"/>
                <w:lang w:val="en-US" w:eastAsia="zh-CN"/>
                <w14:textFill>
                  <w14:solidFill>
                    <w14:schemeClr w14:val="tx1"/>
                  </w14:solidFill>
                </w14:textFill>
              </w:rPr>
              <w:t>环境保护措施</w:t>
            </w:r>
            <w:r>
              <w:rPr>
                <w:rFonts w:hint="default"/>
                <w:color w:val="000000" w:themeColor="text1"/>
                <w:sz w:val="24"/>
                <w14:textFill>
                  <w14:solidFill>
                    <w14:schemeClr w14:val="tx1"/>
                  </w14:solidFill>
                </w14:textFill>
              </w:rPr>
              <w:t>进行分析。</w:t>
            </w:r>
          </w:p>
          <w:bookmarkEnd w:id="21"/>
          <w:p>
            <w:pPr>
              <w:pStyle w:val="19"/>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cs="Times New Roman"/>
                <w:color w:val="auto"/>
                <w:lang w:val="en-US" w:eastAsia="zh-CN"/>
              </w:rPr>
            </w:pPr>
          </w:p>
        </w:tc>
      </w:tr>
    </w:tbl>
    <w:p>
      <w:pPr>
        <w:adjustRightInd w:val="0"/>
        <w:snapToGrid w:val="0"/>
        <w:jc w:val="both"/>
        <w:rPr>
          <w:rFonts w:hint="default" w:ascii="Times New Roman" w:hAnsi="Times New Roman" w:cs="Times New Roman"/>
          <w:bCs/>
          <w:color w:val="auto"/>
          <w:sz w:val="24"/>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3"/>
        <w:tblW w:w="535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9"/>
        <w:gridCol w:w="137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73" w:hRule="atLeast"/>
          <w:jc w:val="center"/>
        </w:trPr>
        <w:tc>
          <w:tcPr>
            <w:tcW w:w="106" w:type="pct"/>
            <w:noWrap w:val="0"/>
            <w:tcMar>
              <w:left w:w="28" w:type="dxa"/>
              <w:right w:w="28" w:type="dxa"/>
            </w:tcMar>
            <w:vAlign w:val="center"/>
          </w:tcPr>
          <w:p>
            <w:pPr>
              <w:pStyle w:val="32"/>
              <w:keepNext w:val="0"/>
              <w:keepLines w:val="0"/>
              <w:suppressLineNumbers w:val="0"/>
              <w:spacing w:before="0" w:after="0"/>
              <w:ind w:left="0" w:right="0"/>
              <w:jc w:val="cente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运营期环境保护措施</w:t>
            </w:r>
          </w:p>
        </w:tc>
        <w:tc>
          <w:tcPr>
            <w:tcW w:w="4893" w:type="pct"/>
            <w:noWrap w:val="0"/>
            <w:vAlign w:val="top"/>
          </w:tcPr>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1、废气</w:t>
            </w:r>
          </w:p>
          <w:p>
            <w:pPr>
              <w:pStyle w:val="12"/>
              <w:spacing w:line="360" w:lineRule="auto"/>
              <w:rPr>
                <w:rFonts w:hint="eastAsia" w:ascii="宋体" w:hAnsi="宋体" w:eastAsia="宋体" w:cs="宋体"/>
                <w:b/>
                <w:bCs/>
                <w:color w:val="auto"/>
                <w:sz w:val="24"/>
                <w:szCs w:val="24"/>
              </w:rPr>
            </w:pPr>
            <w:r>
              <w:rPr>
                <w:rFonts w:hint="eastAsia" w:ascii="宋体" w:hAnsi="宋体" w:eastAsia="宋体" w:cs="宋体"/>
                <w:b/>
                <w:bCs/>
                <w:color w:val="000000"/>
                <w:kern w:val="0"/>
                <w:sz w:val="24"/>
                <w:szCs w:val="24"/>
                <w:lang w:val="en-US" w:eastAsia="zh-CN" w:bidi="ar"/>
              </w:rPr>
              <w:t>（1）</w:t>
            </w:r>
            <w:r>
              <w:rPr>
                <w:rFonts w:hint="eastAsia" w:ascii="宋体" w:hAnsi="宋体" w:eastAsia="宋体" w:cs="宋体"/>
                <w:b/>
                <w:bCs/>
                <w:color w:val="auto"/>
                <w:sz w:val="24"/>
                <w:szCs w:val="24"/>
              </w:rPr>
              <w:t>废气污染源情况</w:t>
            </w:r>
          </w:p>
          <w:p>
            <w:pPr>
              <w:pStyle w:val="12"/>
              <w:spacing w:line="360" w:lineRule="auto"/>
              <w:jc w:val="center"/>
            </w:pPr>
            <w:r>
              <w:rPr>
                <w:rFonts w:hint="default" w:ascii="Times New Roman" w:hAnsi="Times New Roman" w:eastAsia="宋体" w:cs="Times New Roman"/>
                <w:b/>
                <w:bCs/>
                <w:sz w:val="24"/>
                <w:szCs w:val="24"/>
              </w:rPr>
              <w:t>表</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SEQ表\*ARABIC</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sz w:val="24"/>
                <w:szCs w:val="24"/>
                <w:lang w:eastAsia="zh-CN"/>
              </w:rPr>
              <w:t>废气污染源正常排放汇总表</w:t>
            </w:r>
          </w:p>
          <w:tbl>
            <w:tblPr>
              <w:tblStyle w:val="33"/>
              <w:tblW w:w="4994"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29"/>
              <w:gridCol w:w="222"/>
              <w:gridCol w:w="433"/>
              <w:gridCol w:w="828"/>
              <w:gridCol w:w="741"/>
              <w:gridCol w:w="608"/>
              <w:gridCol w:w="675"/>
              <w:gridCol w:w="274"/>
              <w:gridCol w:w="484"/>
              <w:gridCol w:w="222"/>
              <w:gridCol w:w="654"/>
              <w:gridCol w:w="773"/>
              <w:gridCol w:w="875"/>
              <w:gridCol w:w="741"/>
              <w:gridCol w:w="709"/>
              <w:gridCol w:w="274"/>
              <w:gridCol w:w="229"/>
              <w:gridCol w:w="274"/>
              <w:gridCol w:w="674"/>
              <w:gridCol w:w="2146"/>
              <w:gridCol w:w="831"/>
              <w:gridCol w:w="541"/>
              <w:gridCol w:w="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138" w:type="pct"/>
                  <w:vMerge w:val="restar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产排污环节</w:t>
                  </w:r>
                </w:p>
              </w:tc>
              <w:tc>
                <w:tcPr>
                  <w:tcW w:w="93" w:type="pct"/>
                  <w:vMerge w:val="restar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排放形式</w:t>
                  </w:r>
                </w:p>
              </w:tc>
              <w:tc>
                <w:tcPr>
                  <w:tcW w:w="180" w:type="pct"/>
                  <w:vMerge w:val="restar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种类</w:t>
                  </w:r>
                </w:p>
              </w:tc>
              <w:tc>
                <w:tcPr>
                  <w:tcW w:w="765" w:type="pct"/>
                  <w:gridSpan w:val="3"/>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污染物产生量和浓度</w:t>
                  </w:r>
                </w:p>
              </w:tc>
              <w:tc>
                <w:tcPr>
                  <w:tcW w:w="853" w:type="pct"/>
                  <w:gridSpan w:val="5"/>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污染治理设施</w:t>
                  </w:r>
                </w:p>
              </w:tc>
              <w:tc>
                <w:tcPr>
                  <w:tcW w:w="808" w:type="pct"/>
                  <w:gridSpan w:val="3"/>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污染物排放量和浓度</w:t>
                  </w:r>
                </w:p>
              </w:tc>
              <w:tc>
                <w:tcPr>
                  <w:tcW w:w="1618" w:type="pct"/>
                  <w:gridSpan w:val="6"/>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排放口基本情况</w:t>
                  </w:r>
                </w:p>
              </w:tc>
              <w:tc>
                <w:tcPr>
                  <w:tcW w:w="539" w:type="pct"/>
                  <w:gridSpan w:val="2"/>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138" w:type="pct"/>
                  <w:vMerge w:val="continue"/>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p>
              </w:tc>
              <w:tc>
                <w:tcPr>
                  <w:tcW w:w="93" w:type="pct"/>
                  <w:vMerge w:val="continue"/>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p>
              </w:tc>
              <w:tc>
                <w:tcPr>
                  <w:tcW w:w="180" w:type="pct"/>
                  <w:vMerge w:val="continue"/>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p>
              </w:tc>
              <w:tc>
                <w:tcPr>
                  <w:tcW w:w="322" w:type="pct"/>
                  <w:vMerge w:val="restar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产生浓度</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c>
                <w:tcPr>
                  <w:tcW w:w="443" w:type="pct"/>
                  <w:gridSpan w:val="2"/>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tc>
              <w:tc>
                <w:tcPr>
                  <w:tcW w:w="226"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处理能力</w:t>
                  </w:r>
                </w:p>
              </w:tc>
              <w:tc>
                <w:tcPr>
                  <w:tcW w:w="105"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收集效率</w:t>
                  </w:r>
                </w:p>
              </w:tc>
              <w:tc>
                <w:tcPr>
                  <w:tcW w:w="157"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去除效率</w:t>
                  </w:r>
                </w:p>
              </w:tc>
              <w:tc>
                <w:tcPr>
                  <w:tcW w:w="101" w:type="pct"/>
                  <w:vMerge w:val="restar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是否可行技术</w:t>
                  </w:r>
                </w:p>
              </w:tc>
              <w:tc>
                <w:tcPr>
                  <w:tcW w:w="264" w:type="pct"/>
                  <w:vMerge w:val="restar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处理工艺</w:t>
                  </w:r>
                </w:p>
              </w:tc>
              <w:tc>
                <w:tcPr>
                  <w:tcW w:w="296" w:type="pct"/>
                  <w:vMerge w:val="restar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排放浓度</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c>
                <w:tcPr>
                  <w:tcW w:w="512" w:type="pct"/>
                  <w:gridSpan w:val="2"/>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w:t>
                  </w:r>
                </w:p>
              </w:tc>
              <w:tc>
                <w:tcPr>
                  <w:tcW w:w="230"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编号及名称</w:t>
                  </w:r>
                </w:p>
              </w:tc>
              <w:tc>
                <w:tcPr>
                  <w:tcW w:w="94"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高度</w:t>
                  </w:r>
                </w:p>
              </w:tc>
              <w:tc>
                <w:tcPr>
                  <w:tcW w:w="105"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内径</w:t>
                  </w:r>
                </w:p>
              </w:tc>
              <w:tc>
                <w:tcPr>
                  <w:tcW w:w="111"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温度</w:t>
                  </w:r>
                </w:p>
              </w:tc>
              <w:tc>
                <w:tcPr>
                  <w:tcW w:w="270"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类型</w:t>
                  </w:r>
                </w:p>
              </w:tc>
              <w:tc>
                <w:tcPr>
                  <w:tcW w:w="806"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地理</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坐标</w:t>
                  </w:r>
                </w:p>
              </w:tc>
              <w:tc>
                <w:tcPr>
                  <w:tcW w:w="323" w:type="pct"/>
                  <w:vMerge w:val="restar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c>
                <w:tcPr>
                  <w:tcW w:w="216" w:type="pct"/>
                  <w:vMerge w:val="restar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138" w:type="pct"/>
                  <w:vMerge w:val="continue"/>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93" w:type="pct"/>
                  <w:vMerge w:val="continue"/>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180" w:type="pct"/>
                  <w:vMerge w:val="continue"/>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322" w:type="pct"/>
                  <w:vMerge w:val="continue"/>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257"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kg/h</w:t>
                  </w:r>
                </w:p>
              </w:tc>
              <w:tc>
                <w:tcPr>
                  <w:tcW w:w="186"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t/a</w:t>
                  </w:r>
                </w:p>
              </w:tc>
              <w:tc>
                <w:tcPr>
                  <w:tcW w:w="226"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/h</w:t>
                  </w:r>
                </w:p>
              </w:tc>
              <w:tc>
                <w:tcPr>
                  <w:tcW w:w="105"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157"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101" w:type="pct"/>
                  <w:vMerge w:val="continue"/>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p>
              </w:tc>
              <w:tc>
                <w:tcPr>
                  <w:tcW w:w="264" w:type="pct"/>
                  <w:vMerge w:val="continue"/>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p>
              </w:tc>
              <w:tc>
                <w:tcPr>
                  <w:tcW w:w="296" w:type="pct"/>
                  <w:vMerge w:val="continue"/>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p>
              </w:tc>
              <w:tc>
                <w:tcPr>
                  <w:tcW w:w="254"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kg/h</w:t>
                  </w:r>
                </w:p>
              </w:tc>
              <w:tc>
                <w:tcPr>
                  <w:tcW w:w="258"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t/a</w:t>
                  </w:r>
                </w:p>
              </w:tc>
              <w:tc>
                <w:tcPr>
                  <w:tcW w:w="230"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94"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p>
              </w:tc>
              <w:tc>
                <w:tcPr>
                  <w:tcW w:w="105"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p>
              </w:tc>
              <w:tc>
                <w:tcPr>
                  <w:tcW w:w="111"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270"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806"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323" w:type="pct"/>
                  <w:vMerge w:val="continue"/>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216" w:type="pct"/>
                  <w:vMerge w:val="continue"/>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trPr>
              <w:tc>
                <w:tcPr>
                  <w:tcW w:w="138" w:type="pct"/>
                  <w:vMerge w:val="restar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加热熔化</w:t>
                  </w:r>
                </w:p>
              </w:tc>
              <w:tc>
                <w:tcPr>
                  <w:tcW w:w="93"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有组织</w:t>
                  </w:r>
                </w:p>
              </w:tc>
              <w:tc>
                <w:tcPr>
                  <w:tcW w:w="180"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kern w:val="0"/>
                      <w:sz w:val="21"/>
                      <w:szCs w:val="21"/>
                      <w:lang w:val="en-US" w:eastAsia="zh-CN" w:bidi="ar"/>
                    </w:rPr>
                    <w:t>非甲烷总烃</w:t>
                  </w:r>
                </w:p>
              </w:tc>
              <w:tc>
                <w:tcPr>
                  <w:tcW w:w="872"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8.184</w:t>
                  </w:r>
                </w:p>
              </w:tc>
              <w:tc>
                <w:tcPr>
                  <w:tcW w:w="697"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0.221</w:t>
                  </w:r>
                </w:p>
              </w:tc>
              <w:tc>
                <w:tcPr>
                  <w:tcW w:w="504"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1.75</w:t>
                  </w:r>
                </w:p>
              </w:tc>
              <w:tc>
                <w:tcPr>
                  <w:tcW w:w="613"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27000</w:t>
                  </w:r>
                </w:p>
              </w:tc>
              <w:tc>
                <w:tcPr>
                  <w:tcW w:w="285"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90</w:t>
                  </w:r>
                </w:p>
              </w:tc>
              <w:tc>
                <w:tcPr>
                  <w:tcW w:w="426" w:type="dxa"/>
                  <w:tcBorders>
                    <w:tl2br w:val="nil"/>
                    <w:tr2bl w:val="nil"/>
                  </w:tcBorders>
                  <w:noWrap w:val="0"/>
                  <w:vAlign w:val="center"/>
                </w:tcPr>
                <w:p>
                  <w:pPr>
                    <w:bidi w:val="0"/>
                    <w:jc w:val="left"/>
                    <w:rPr>
                      <w:rFonts w:hint="default" w:eastAsia="宋体"/>
                      <w:b w:val="0"/>
                      <w:bCs w:val="0"/>
                      <w:color w:val="auto"/>
                      <w:sz w:val="21"/>
                      <w:szCs w:val="21"/>
                      <w:lang w:val="en-US" w:eastAsia="zh-CN"/>
                    </w:rPr>
                  </w:pPr>
                  <w:r>
                    <w:rPr>
                      <w:rFonts w:hint="default" w:ascii="Times New Roman" w:hAnsi="Times New Roman" w:cs="Times New Roman"/>
                    </w:rPr>
                    <w:commentReference w:id="1"/>
                  </w:r>
                  <w:r>
                    <w:rPr>
                      <w:rFonts w:hint="default" w:ascii="Times New Roman" w:hAnsi="Times New Roman" w:cs="Times New Roman"/>
                      <w:b w:val="0"/>
                      <w:bCs w:val="0"/>
                      <w:color w:val="auto"/>
                      <w:sz w:val="21"/>
                      <w:szCs w:val="21"/>
                      <w:lang w:val="en-US" w:eastAsia="zh-CN"/>
                    </w:rPr>
                    <w:t>90</w:t>
                  </w:r>
                </w:p>
              </w:tc>
              <w:tc>
                <w:tcPr>
                  <w:tcW w:w="274"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是</w:t>
                  </w:r>
                </w:p>
              </w:tc>
              <w:tc>
                <w:tcPr>
                  <w:tcW w:w="716" w:type="dxa"/>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b w:val="0"/>
                      <w:bCs w:val="0"/>
                      <w:color w:val="auto"/>
                      <w:sz w:val="21"/>
                      <w:szCs w:val="21"/>
                    </w:rPr>
                  </w:pPr>
                  <w:r>
                    <w:rPr>
                      <w:rFonts w:hint="eastAsia" w:cs="Times New Roman"/>
                      <w:b w:val="0"/>
                      <w:bCs w:val="0"/>
                      <w:color w:val="auto"/>
                      <w:kern w:val="0"/>
                      <w:sz w:val="21"/>
                      <w:szCs w:val="21"/>
                      <w:lang w:val="en-US" w:eastAsia="zh-CN" w:bidi="ar"/>
                    </w:rPr>
                    <w:t>集气罩+喷淋塔+二级活性炭吸附装置</w:t>
                  </w:r>
                </w:p>
              </w:tc>
              <w:tc>
                <w:tcPr>
                  <w:tcW w:w="802"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0.7365</w:t>
                  </w:r>
                </w:p>
              </w:tc>
              <w:tc>
                <w:tcPr>
                  <w:tcW w:w="688"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0.01989</w:t>
                  </w:r>
                </w:p>
              </w:tc>
              <w:tc>
                <w:tcPr>
                  <w:tcW w:w="699"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0.1575</w:t>
                  </w:r>
                </w:p>
              </w:tc>
              <w:tc>
                <w:tcPr>
                  <w:tcW w:w="230"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DA001</w:t>
                  </w:r>
                </w:p>
              </w:tc>
              <w:tc>
                <w:tcPr>
                  <w:tcW w:w="94"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w:t>
                  </w:r>
                </w:p>
              </w:tc>
              <w:tc>
                <w:tcPr>
                  <w:tcW w:w="105"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w:t>
                  </w:r>
                </w:p>
              </w:tc>
              <w:tc>
                <w:tcPr>
                  <w:tcW w:w="111"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40</w:t>
                  </w:r>
                </w:p>
              </w:tc>
              <w:tc>
                <w:tcPr>
                  <w:tcW w:w="270"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一般排放口</w:t>
                  </w:r>
                </w:p>
              </w:tc>
              <w:tc>
                <w:tcPr>
                  <w:tcW w:w="806"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115°59′48.713″</w:t>
                  </w:r>
                  <w:r>
                    <w:rPr>
                      <w:rFonts w:hint="eastAsia" w:cs="Times New Roman"/>
                      <w:b w:val="0"/>
                      <w:bCs w:val="0"/>
                      <w:color w:val="auto"/>
                      <w:sz w:val="21"/>
                      <w:szCs w:val="21"/>
                      <w:lang w:eastAsia="zh-CN"/>
                    </w:rPr>
                    <w:t>，</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31°45′57.06</w:t>
                  </w:r>
                  <w:r>
                    <w:rPr>
                      <w:rFonts w:hint="eastAsia"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rPr>
                    <w:t>″</w:t>
                  </w:r>
                </w:p>
              </w:tc>
              <w:tc>
                <w:tcPr>
                  <w:tcW w:w="323"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40</w:t>
                  </w:r>
                </w:p>
              </w:tc>
              <w:tc>
                <w:tcPr>
                  <w:tcW w:w="217" w:type="pct"/>
                  <w:gridSpan w:val="2"/>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802" w:hRule="atLeast"/>
              </w:trPr>
              <w:tc>
                <w:tcPr>
                  <w:tcW w:w="138" w:type="pct"/>
                  <w:vMerge w:val="continue"/>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c>
                <w:tcPr>
                  <w:tcW w:w="93"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无组织</w:t>
                  </w:r>
                </w:p>
              </w:tc>
              <w:tc>
                <w:tcPr>
                  <w:tcW w:w="180"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kern w:val="0"/>
                      <w:sz w:val="21"/>
                      <w:szCs w:val="21"/>
                      <w:lang w:val="en-US" w:eastAsia="zh-CN" w:bidi="ar"/>
                    </w:rPr>
                    <w:t>非甲烷总烃</w:t>
                  </w:r>
                </w:p>
              </w:tc>
              <w:tc>
                <w:tcPr>
                  <w:tcW w:w="322"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696"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0.0221</w:t>
                  </w:r>
                </w:p>
              </w:tc>
              <w:tc>
                <w:tcPr>
                  <w:tcW w:w="504"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0.175</w:t>
                  </w:r>
                </w:p>
              </w:tc>
              <w:tc>
                <w:tcPr>
                  <w:tcW w:w="613"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285"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426"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274"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716"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802"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688"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0.0221</w:t>
                  </w:r>
                </w:p>
              </w:tc>
              <w:tc>
                <w:tcPr>
                  <w:tcW w:w="699" w:type="dxa"/>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0.175</w:t>
                  </w:r>
                </w:p>
              </w:tc>
              <w:tc>
                <w:tcPr>
                  <w:tcW w:w="230"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w:t>
                  </w:r>
                </w:p>
              </w:tc>
              <w:tc>
                <w:tcPr>
                  <w:tcW w:w="94"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w:t>
                  </w:r>
                </w:p>
              </w:tc>
              <w:tc>
                <w:tcPr>
                  <w:tcW w:w="105"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w:t>
                  </w:r>
                </w:p>
              </w:tc>
              <w:tc>
                <w:tcPr>
                  <w:tcW w:w="111"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w:t>
                  </w:r>
                </w:p>
              </w:tc>
              <w:tc>
                <w:tcPr>
                  <w:tcW w:w="270"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w:t>
                  </w:r>
                </w:p>
              </w:tc>
              <w:tc>
                <w:tcPr>
                  <w:tcW w:w="806"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w:t>
                  </w:r>
                </w:p>
              </w:tc>
              <w:tc>
                <w:tcPr>
                  <w:tcW w:w="323"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w:t>
                  </w:r>
                </w:p>
              </w:tc>
              <w:tc>
                <w:tcPr>
                  <w:tcW w:w="216" w:type="pct"/>
                  <w:tcBorders>
                    <w:tl2br w:val="nil"/>
                    <w:tr2bl w:val="nil"/>
                  </w:tcBorders>
                  <w:noWrap w:val="0"/>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bl>
          <w:p>
            <w:pPr>
              <w:pStyle w:val="12"/>
              <w:jc w:val="center"/>
              <w:rPr>
                <w:rFonts w:hint="eastAsia" w:eastAsia="宋体"/>
                <w:lang w:eastAsia="zh-CN"/>
              </w:rPr>
            </w:pP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bCs/>
                <w:color w:val="auto"/>
                <w:sz w:val="24"/>
              </w:rPr>
            </w:pP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auto"/>
                <w:spacing w:val="-10"/>
                <w:sz w:val="28"/>
                <w:szCs w:val="28"/>
              </w:rPr>
            </w:pPr>
          </w:p>
        </w:tc>
      </w:tr>
    </w:tbl>
    <w:p>
      <w:p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3"/>
        <w:gridCol w:w="86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93" w:hRule="atLeast"/>
          <w:jc w:val="center"/>
        </w:trPr>
        <w:tc>
          <w:tcPr>
            <w:tcW w:w="283" w:type="dxa"/>
            <w:noWrap w:val="0"/>
            <w:tcMar>
              <w:left w:w="28" w:type="dxa"/>
              <w:right w:w="28" w:type="dxa"/>
            </w:tcMar>
            <w:vAlign w:val="center"/>
          </w:tcPr>
          <w:p>
            <w:pPr>
              <w:pStyle w:val="3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right="0"/>
              <w:jc w:val="left"/>
              <w:rPr>
                <w:rFonts w:hint="default" w:ascii="Times New Roman" w:hAnsi="Times New Roman" w:cs="Times New Roman"/>
                <w:b/>
                <w:bCs/>
                <w:color w:val="auto"/>
                <w:kern w:val="2"/>
                <w:sz w:val="24"/>
                <w:szCs w:val="24"/>
                <w:lang w:val="en-US" w:eastAsia="zh-CN"/>
              </w:rPr>
            </w:pPr>
          </w:p>
          <w:p>
            <w:pPr>
              <w:pStyle w:val="32"/>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1" w:firstLineChars="200"/>
              <w:jc w:val="left"/>
              <w:rPr>
                <w:rFonts w:hint="default" w:ascii="Times New Roman" w:hAnsi="Times New Roman" w:cs="Times New Roman"/>
                <w:bCs/>
                <w:color w:val="auto"/>
                <w:kern w:val="2"/>
                <w:sz w:val="24"/>
                <w:szCs w:val="24"/>
                <w:lang w:val="en-US" w:eastAsia="zh-CN"/>
              </w:rPr>
            </w:pPr>
            <w:r>
              <w:rPr>
                <w:rFonts w:hint="default" w:ascii="Times New Roman" w:hAnsi="Times New Roman" w:cs="Times New Roman"/>
                <w:b/>
                <w:bCs/>
                <w:color w:val="auto"/>
                <w:kern w:val="2"/>
                <w:sz w:val="24"/>
                <w:szCs w:val="24"/>
                <w:lang w:val="en-US" w:eastAsia="zh-CN"/>
              </w:rPr>
              <w:t>施</w:t>
            </w:r>
          </w:p>
        </w:tc>
        <w:tc>
          <w:tcPr>
            <w:tcW w:w="8698" w:type="dxa"/>
            <w:noWrap w:val="0"/>
            <w:vAlign w:val="top"/>
          </w:tcPr>
          <w:p>
            <w:pPr>
              <w:keepNext w:val="0"/>
              <w:keepLines w:val="0"/>
              <w:pageBreakBefore w:val="0"/>
              <w:widowControl w:val="0"/>
              <w:kinsoku/>
              <w:wordWrap/>
              <w:overflowPunct/>
              <w:topLinePunct w:val="0"/>
              <w:autoSpaceDE w:val="0"/>
              <w:autoSpaceDN w:val="0"/>
              <w:bidi w:val="0"/>
              <w:adjustRightInd/>
              <w:snapToGrid/>
              <w:spacing w:line="360" w:lineRule="auto"/>
              <w:ind w:firstLine="481"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（2）废</w:t>
            </w:r>
            <w:r>
              <w:rPr>
                <w:rFonts w:hint="eastAsia" w:cs="Times New Roman"/>
                <w:b/>
                <w:bCs/>
                <w:color w:val="auto"/>
                <w:sz w:val="24"/>
                <w:szCs w:val="24"/>
                <w:lang w:val="en-US" w:eastAsia="zh-CN"/>
              </w:rPr>
              <w:t>气</w:t>
            </w:r>
            <w:r>
              <w:rPr>
                <w:rFonts w:hint="default" w:ascii="Times New Roman" w:hAnsi="Times New Roman" w:cs="Times New Roman"/>
                <w:b/>
                <w:bCs/>
                <w:color w:val="auto"/>
                <w:sz w:val="24"/>
                <w:szCs w:val="24"/>
              </w:rPr>
              <w:t>污染物源强核算过程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本项目运营期产生的废气主要为加热熔化过程产生的非甲烷总烃。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本项目使用原料</w:t>
            </w:r>
            <w:r>
              <w:rPr>
                <w:rFonts w:hint="default" w:ascii="Times New Roman" w:hAnsi="Times New Roman" w:cs="Times New Roman"/>
                <w:color w:val="000000"/>
                <w:kern w:val="0"/>
                <w:sz w:val="24"/>
                <w:szCs w:val="24"/>
                <w:lang w:val="en-US" w:eastAsia="zh-CN" w:bidi="ar"/>
              </w:rPr>
              <w:t>废塑料</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cs="Times New Roman"/>
                <w:color w:val="000000"/>
                <w:kern w:val="0"/>
                <w:sz w:val="24"/>
                <w:szCs w:val="24"/>
                <w:lang w:val="en-US" w:eastAsia="zh-CN" w:bidi="ar"/>
              </w:rPr>
              <w:t>成品</w:t>
            </w:r>
            <w:r>
              <w:rPr>
                <w:rFonts w:hint="default" w:ascii="Times New Roman" w:hAnsi="Times New Roman" w:eastAsia="宋体" w:cs="Times New Roman"/>
                <w:color w:val="000000"/>
                <w:kern w:val="0"/>
                <w:sz w:val="24"/>
                <w:szCs w:val="24"/>
                <w:lang w:val="en-US" w:eastAsia="zh-CN" w:bidi="ar"/>
              </w:rPr>
              <w:t>聚乙烯蜡裂解温度</w:t>
            </w:r>
            <w:r>
              <w:rPr>
                <w:rFonts w:hint="default" w:ascii="Times New Roman" w:hAnsi="Times New Roman" w:cs="Times New Roman"/>
                <w:color w:val="000000"/>
                <w:kern w:val="0"/>
                <w:sz w:val="24"/>
                <w:szCs w:val="24"/>
                <w:lang w:val="en-US" w:eastAsia="zh-CN" w:bidi="ar"/>
              </w:rPr>
              <w:t>在</w:t>
            </w:r>
            <w:r>
              <w:rPr>
                <w:rFonts w:hint="default" w:ascii="Times New Roman" w:hAnsi="Times New Roman" w:eastAsia="宋体" w:cs="Times New Roman"/>
                <w:color w:val="000000"/>
                <w:kern w:val="0"/>
                <w:sz w:val="24"/>
                <w:szCs w:val="24"/>
                <w:lang w:val="en-US" w:eastAsia="zh-CN" w:bidi="ar"/>
              </w:rPr>
              <w:t>300℃，项目加热熔化温度在110~120℃，达不到裂解温度，故项目加热熔化时不会发生裂解，挥发至空气中的有机成分主要以非甲烷总烃表征。根据</w:t>
            </w:r>
            <w:r>
              <w:rPr>
                <w:rFonts w:hint="default" w:ascii="Times New Roman" w:hAnsi="Times New Roman" w:eastAsia="宋体" w:cs="Times New Roman"/>
                <w:color w:val="auto"/>
                <w:sz w:val="24"/>
                <w:szCs w:val="24"/>
                <w:u w:val="none"/>
              </w:rPr>
              <w:t>《排污许可证申请与核发技术规范废弃资源加工工业》（HJ1034-2019）</w:t>
            </w:r>
            <w:r>
              <w:rPr>
                <w:rFonts w:hint="default" w:ascii="Times New Roman" w:hAnsi="Times New Roman" w:eastAsia="宋体" w:cs="Times New Roman"/>
                <w:color w:val="000000"/>
                <w:kern w:val="0"/>
                <w:sz w:val="24"/>
                <w:szCs w:val="24"/>
                <w:lang w:val="en-US" w:eastAsia="zh-CN" w:bidi="ar"/>
              </w:rPr>
              <w:t>的要求，本项目以非甲烷总烃（NMHC）为污染控制指标。本项目加热熔化过程产生的非甲烷总烃参考《塑料加工手册》以及《空气污染物排放和控制手册工业污染源调查与研究第二辑》（美国国家环保局•中国环境科学出版社）中对塑料生产工序的研究，</w:t>
            </w:r>
            <w:r>
              <w:rPr>
                <w:rFonts w:hint="default" w:ascii="Times New Roman" w:hAnsi="Times New Roman" w:cs="Times New Roman"/>
                <w:color w:val="000000"/>
                <w:kern w:val="0"/>
                <w:sz w:val="24"/>
                <w:szCs w:val="24"/>
                <w:lang w:val="en-US" w:eastAsia="zh-CN" w:bidi="ar"/>
              </w:rPr>
              <w:t>聚乙烯蜡</w:t>
            </w:r>
            <w:r>
              <w:rPr>
                <w:rFonts w:hint="default" w:ascii="Times New Roman" w:hAnsi="Times New Roman" w:eastAsia="宋体" w:cs="Times New Roman"/>
                <w:color w:val="000000"/>
                <w:kern w:val="0"/>
                <w:sz w:val="24"/>
                <w:szCs w:val="24"/>
                <w:lang w:val="en-US" w:eastAsia="zh-CN" w:bidi="ar"/>
              </w:rPr>
              <w:t>产生的有机废气产污系数为0.35kg/吨·产品，本项目聚乙烯蜡年产量为</w:t>
            </w:r>
            <w:r>
              <w:rPr>
                <w:rFonts w:hint="default" w:ascii="Times New Roman" w:hAnsi="Times New Roman" w:cs="Times New Roman"/>
                <w:color w:val="000000"/>
                <w:kern w:val="0"/>
                <w:sz w:val="24"/>
                <w:szCs w:val="24"/>
                <w:lang w:val="en-US" w:eastAsia="zh-CN" w:bidi="ar"/>
              </w:rPr>
              <w:t>5000</w:t>
            </w:r>
            <w:r>
              <w:rPr>
                <w:rFonts w:hint="default" w:ascii="Times New Roman" w:hAnsi="Times New Roman" w:eastAsia="宋体" w:cs="Times New Roman"/>
                <w:color w:val="000000"/>
                <w:kern w:val="0"/>
                <w:sz w:val="24"/>
                <w:szCs w:val="24"/>
                <w:lang w:val="en-US" w:eastAsia="zh-CN" w:bidi="ar"/>
              </w:rPr>
              <w:t>t/a，则非甲烷总烃产生量为</w:t>
            </w:r>
            <w:r>
              <w:rPr>
                <w:rFonts w:hint="default" w:ascii="Times New Roman" w:hAnsi="Times New Roman" w:cs="Times New Roman"/>
                <w:color w:val="000000"/>
                <w:kern w:val="0"/>
                <w:sz w:val="24"/>
                <w:szCs w:val="24"/>
                <w:lang w:val="en-US" w:eastAsia="zh-CN" w:bidi="ar"/>
              </w:rPr>
              <w:t>1.75</w:t>
            </w:r>
            <w:r>
              <w:rPr>
                <w:rFonts w:hint="default" w:ascii="Times New Roman" w:hAnsi="Times New Roman" w:eastAsia="宋体" w:cs="Times New Roman"/>
                <w:color w:val="000000"/>
                <w:kern w:val="0"/>
                <w:sz w:val="24"/>
                <w:szCs w:val="24"/>
                <w:lang w:val="en-US" w:eastAsia="zh-CN" w:bidi="ar"/>
              </w:rPr>
              <w:t>t/a，年工作330天，两班制，每班12小时，则平均产生速率为</w:t>
            </w:r>
            <w:r>
              <w:rPr>
                <w:rFonts w:hint="default" w:ascii="Times New Roman" w:hAnsi="Times New Roman" w:cs="Times New Roman"/>
                <w:color w:val="000000"/>
                <w:kern w:val="0"/>
                <w:sz w:val="24"/>
                <w:szCs w:val="24"/>
                <w:lang w:val="en-US" w:eastAsia="zh-CN" w:bidi="ar"/>
              </w:rPr>
              <w:t>0.221</w:t>
            </w:r>
            <w:r>
              <w:rPr>
                <w:rFonts w:hint="default" w:ascii="Times New Roman" w:hAnsi="Times New Roman" w:eastAsia="宋体" w:cs="Times New Roman"/>
                <w:color w:val="000000"/>
                <w:kern w:val="0"/>
                <w:sz w:val="24"/>
                <w:szCs w:val="24"/>
                <w:lang w:val="en-US" w:eastAsia="zh-CN" w:bidi="ar"/>
              </w:rPr>
              <w:t>kg/h。</w:t>
            </w:r>
            <w:r>
              <w:rPr>
                <w:rFonts w:hint="default" w:ascii="Times New Roman" w:hAnsi="Times New Roman" w:cs="Times New Roman"/>
                <w:sz w:val="24"/>
                <w:szCs w:val="24"/>
              </w:rPr>
              <w:commentReference w:id="2"/>
            </w:r>
            <w:r>
              <w:rPr>
                <w:rFonts w:hint="default" w:ascii="Times New Roman" w:hAnsi="Times New Roman" w:eastAsia="宋体" w:cs="Times New Roman"/>
                <w:color w:val="000000"/>
                <w:kern w:val="0"/>
                <w:sz w:val="24"/>
                <w:szCs w:val="24"/>
                <w:lang w:val="en-US" w:eastAsia="zh-CN" w:bidi="ar"/>
              </w:rPr>
              <w:t>本项目设置集气罩对生产过程中产生的废气进行收集，收集后的非甲烷总烃</w:t>
            </w:r>
            <w:r>
              <w:rPr>
                <w:rFonts w:hint="eastAsia" w:cs="Times New Roman"/>
                <w:color w:val="000000"/>
                <w:kern w:val="0"/>
                <w:sz w:val="24"/>
                <w:szCs w:val="24"/>
                <w:lang w:val="en-US" w:eastAsia="zh-CN" w:bidi="ar"/>
              </w:rPr>
              <w:t>经过喷淋塔降温后进入一套二级活性炭吸附装置处理</w:t>
            </w:r>
            <w:r>
              <w:rPr>
                <w:rFonts w:hint="default" w:ascii="Times New Roman" w:hAnsi="Times New Roman" w:eastAsia="宋体" w:cs="Times New Roman"/>
                <w:color w:val="000000"/>
                <w:kern w:val="0"/>
                <w:sz w:val="24"/>
                <w:szCs w:val="24"/>
                <w:lang w:val="en-US" w:eastAsia="zh-CN" w:bidi="ar"/>
              </w:rPr>
              <w:t>后由1根15m高排气筒排放，由于本项目设备密闭性较好，废气收集效率为90%，处理效率为90%，通过计算，有组织排放量为0.1575t/a，排放速率为</w:t>
            </w:r>
            <w:r>
              <w:rPr>
                <w:rFonts w:hint="default" w:ascii="Times New Roman" w:hAnsi="Times New Roman" w:cs="Times New Roman"/>
                <w:b w:val="0"/>
                <w:bCs w:val="0"/>
                <w:color w:val="auto"/>
                <w:sz w:val="24"/>
                <w:szCs w:val="24"/>
                <w:lang w:val="en-US" w:eastAsia="zh-CN"/>
              </w:rPr>
              <w:t>0.01989</w:t>
            </w:r>
            <w:r>
              <w:rPr>
                <w:rFonts w:hint="default" w:ascii="Times New Roman" w:hAnsi="Times New Roman" w:eastAsia="宋体" w:cs="Times New Roman"/>
                <w:color w:val="000000"/>
                <w:kern w:val="0"/>
                <w:sz w:val="24"/>
                <w:szCs w:val="24"/>
                <w:lang w:val="en-US" w:eastAsia="zh-CN" w:bidi="ar"/>
              </w:rPr>
              <w:t>kg/h，排放浓度为</w:t>
            </w:r>
            <w:r>
              <w:rPr>
                <w:rFonts w:hint="default" w:ascii="Times New Roman" w:hAnsi="Times New Roman" w:cs="Times New Roman"/>
                <w:b w:val="0"/>
                <w:bCs w:val="0"/>
                <w:color w:val="auto"/>
                <w:sz w:val="24"/>
                <w:szCs w:val="24"/>
                <w:lang w:val="en-US" w:eastAsia="zh-CN"/>
              </w:rPr>
              <w:t>0.7365</w:t>
            </w:r>
            <w:r>
              <w:rPr>
                <w:rFonts w:hint="default" w:ascii="Times New Roman" w:hAnsi="Times New Roman" w:eastAsia="宋体" w:cs="Times New Roman"/>
                <w:color w:val="000000"/>
                <w:kern w:val="0"/>
                <w:sz w:val="24"/>
                <w:szCs w:val="24"/>
                <w:lang w:val="en-US" w:eastAsia="zh-CN" w:bidi="ar"/>
              </w:rPr>
              <w:t>mg/m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，无组织排放量为0.175t/a，排放速率为0.0221kg/h。</w:t>
            </w:r>
          </w:p>
          <w:p>
            <w:pPr>
              <w:pStyle w:val="19"/>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481" w:firstLineChars="200"/>
              <w:jc w:val="left"/>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本项目废气收集处理情况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color w:val="000000"/>
                <w:kern w:val="0"/>
                <w:sz w:val="24"/>
                <w:szCs w:val="24"/>
                <w:lang w:val="en-US" w:eastAsia="zh-CN" w:bidi="ar"/>
              </w:rPr>
              <w:t>本项目在</w:t>
            </w:r>
            <w:r>
              <w:rPr>
                <w:rFonts w:hint="eastAsia" w:cs="Times New Roman"/>
                <w:color w:val="000000"/>
                <w:kern w:val="0"/>
                <w:sz w:val="24"/>
                <w:szCs w:val="24"/>
                <w:lang w:val="en-US" w:eastAsia="zh-CN" w:bidi="ar"/>
              </w:rPr>
              <w:t>熔蜡机</w:t>
            </w:r>
            <w:r>
              <w:rPr>
                <w:rFonts w:hint="default" w:ascii="Times New Roman" w:hAnsi="Times New Roman" w:eastAsia="宋体" w:cs="Times New Roman"/>
                <w:color w:val="000000"/>
                <w:kern w:val="0"/>
                <w:sz w:val="24"/>
                <w:szCs w:val="24"/>
                <w:lang w:val="en-US" w:eastAsia="zh-CN" w:bidi="ar"/>
              </w:rPr>
              <w:t>上方设置3个集气罩，12个进气口，进气口规格尺寸为60cm×80cm，收集加热熔化过程产生的非甲烷总烃，非甲烷总烃经集气罩收集后</w:t>
            </w:r>
            <w:r>
              <w:rPr>
                <w:rFonts w:hint="eastAsia" w:cs="Times New Roman"/>
                <w:color w:val="000000"/>
                <w:kern w:val="0"/>
                <w:sz w:val="24"/>
                <w:szCs w:val="24"/>
                <w:lang w:val="en-US" w:eastAsia="zh-CN" w:bidi="ar"/>
              </w:rPr>
              <w:t>通过喷淋塔降温</w:t>
            </w:r>
            <w:r>
              <w:rPr>
                <w:rFonts w:hint="default" w:ascii="Times New Roman" w:hAnsi="Times New Roman" w:eastAsia="宋体" w:cs="Times New Roman"/>
                <w:color w:val="000000"/>
                <w:kern w:val="0"/>
                <w:sz w:val="24"/>
                <w:szCs w:val="24"/>
                <w:lang w:val="en-US" w:eastAsia="zh-CN" w:bidi="ar"/>
              </w:rPr>
              <w:t>引至项目所在建筑物楼顶天面经一套二级活性炭吸附装置处理后由一根排气筒（</w:t>
            </w:r>
            <w:r>
              <w:rPr>
                <w:rFonts w:hint="default" w:ascii="Times New Roman" w:hAnsi="Times New Roman" w:cs="Times New Roman"/>
                <w:color w:val="000000"/>
                <w:kern w:val="0"/>
                <w:sz w:val="24"/>
                <w:szCs w:val="24"/>
                <w:lang w:val="en-US" w:eastAsia="zh-CN" w:bidi="ar"/>
              </w:rPr>
              <w:t>DA0</w:t>
            </w:r>
            <w:r>
              <w:rPr>
                <w:rFonts w:hint="default" w:ascii="Times New Roman" w:hAnsi="Times New Roman" w:eastAsia="宋体" w:cs="Times New Roman"/>
                <w:color w:val="000000"/>
                <w:kern w:val="0"/>
                <w:sz w:val="24"/>
                <w:szCs w:val="24"/>
                <w:lang w:val="en-US" w:eastAsia="zh-CN" w:bidi="ar"/>
              </w:rPr>
              <w:t>01）高空排放，排气筒高度约</w:t>
            </w:r>
            <w:r>
              <w:rPr>
                <w:rFonts w:hint="eastAsia" w:cs="Times New Roman"/>
                <w:color w:val="000000"/>
                <w:kern w:val="0"/>
                <w:sz w:val="24"/>
                <w:szCs w:val="24"/>
                <w:lang w:val="en-US" w:eastAsia="zh-CN" w:bidi="ar"/>
              </w:rPr>
              <w:t>15</w:t>
            </w:r>
            <w:r>
              <w:rPr>
                <w:rFonts w:hint="default" w:ascii="Times New Roman" w:hAnsi="Times New Roman" w:eastAsia="宋体" w:cs="Times New Roman"/>
                <w:color w:val="000000"/>
                <w:kern w:val="0"/>
                <w:sz w:val="24"/>
                <w:szCs w:val="24"/>
                <w:lang w:val="en-US" w:eastAsia="zh-CN" w:bidi="ar"/>
              </w:rPr>
              <w:t>m</w:t>
            </w:r>
            <w:r>
              <w:rPr>
                <w:rFonts w:hint="eastAsia" w:cs="Times New Roman"/>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1"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风量核算说明</w:t>
            </w:r>
            <w:r>
              <w:rPr>
                <w:rFonts w:hint="default" w:ascii="Times New Roman" w:hAnsi="Times New Roman" w:eastAsia="宋体" w:cs="Times New Roman"/>
                <w:color w:val="000000"/>
                <w:kern w:val="0"/>
                <w:sz w:val="24"/>
                <w:szCs w:val="24"/>
                <w:lang w:val="en-US" w:eastAsia="zh-CN" w:bidi="ar"/>
              </w:rPr>
              <w:t>：废气收集系统风量的设计依据如下：风量计算方法根据《大气污染控制工程》中的控制风速法计算。计算公式如下：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Q=3600*KPHVx</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式中：</w:t>
            </w:r>
            <w:r>
              <w:rPr>
                <w:rFonts w:hint="eastAsia" w:cs="Times New Roman"/>
                <w:color w:val="000000"/>
                <w:kern w:val="0"/>
                <w:sz w:val="24"/>
                <w:szCs w:val="24"/>
                <w:lang w:val="en-US" w:eastAsia="zh-CN" w:bidi="ar"/>
              </w:rPr>
              <w:t>Q</w:t>
            </w:r>
            <w:r>
              <w:rPr>
                <w:rFonts w:hint="default" w:ascii="Times New Roman" w:hAnsi="Times New Roman" w:eastAsia="宋体" w:cs="Times New Roman"/>
                <w:color w:val="000000"/>
                <w:kern w:val="0"/>
                <w:sz w:val="24"/>
                <w:szCs w:val="24"/>
                <w:lang w:val="en-US" w:eastAsia="zh-CN" w:bidi="ar"/>
              </w:rPr>
              <w:t>：排风罩排风量，m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/s;</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K：考虑沿高度分布不均匀的安全系数，通常取K=1.4;</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P：排风罩敞开面的周长，m;</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H：罩口至有害物源的距离，m;</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Vx：边缘控制点的控制风速，m/s</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vertAlign w:val="baseline"/>
              </w:rPr>
            </w:pPr>
            <w:r>
              <w:rPr>
                <w:rFonts w:hint="default" w:ascii="Times New Roman" w:hAnsi="Times New Roman" w:eastAsia="宋体" w:cs="Times New Roman"/>
                <w:color w:val="000000"/>
                <w:kern w:val="0"/>
                <w:sz w:val="24"/>
                <w:szCs w:val="24"/>
                <w:lang w:val="en-US" w:eastAsia="zh-CN" w:bidi="ar"/>
              </w:rPr>
              <w:t>依据《大气污染控制工程》，当污染源从轻微速度发散到相对平静的空气中时，污染源控制速度在0.25~0.5m/s，因此本项目取0.</w:t>
            </w:r>
            <w:r>
              <w:rPr>
                <w:rFonts w:hint="eastAsia"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m/s，即Vx=0.</w:t>
            </w:r>
            <w:r>
              <w:rPr>
                <w:rFonts w:hint="eastAsia"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m/s；根据建设单位提供资料，本项目集气罩设置情况见下表。同时为避免横向气流的干扰，本项目设计罩口至污染源的距离为0.</w:t>
            </w:r>
            <w:r>
              <w:rPr>
                <w:rFonts w:hint="eastAsia"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m，即H=0.</w:t>
            </w:r>
            <w:r>
              <w:rPr>
                <w:rFonts w:hint="eastAsia"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m；此外，设计风量为计算风量的1.2倍。</w:t>
            </w:r>
          </w:p>
          <w:p>
            <w:pPr>
              <w:pStyle w:val="12"/>
              <w:keepNext w:val="0"/>
              <w:keepLines w:val="0"/>
              <w:pageBreakBefore w:val="0"/>
              <w:kinsoku/>
              <w:wordWrap/>
              <w:overflowPunct/>
              <w:topLinePunct w:val="0"/>
              <w:bidi w:val="0"/>
              <w:spacing w:line="360" w:lineRule="auto"/>
              <w:ind w:firstLine="481" w:firstLineChars="200"/>
              <w:jc w:val="center"/>
              <w:rPr>
                <w:rFonts w:hint="eastAsia" w:eastAsia="宋体"/>
                <w:sz w:val="24"/>
                <w:szCs w:val="24"/>
                <w:lang w:eastAsia="zh-CN"/>
              </w:rPr>
            </w:pPr>
            <w:r>
              <w:rPr>
                <w:rFonts w:hint="default" w:ascii="Times New Roman" w:hAnsi="Times New Roman" w:eastAsia="宋体" w:cs="Times New Roman"/>
                <w:b/>
                <w:bCs/>
                <w:sz w:val="24"/>
                <w:szCs w:val="24"/>
              </w:rPr>
              <w:t>表</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SEQ表\*ARABIC</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sz w:val="24"/>
                <w:szCs w:val="24"/>
                <w:lang w:eastAsia="zh-CN"/>
              </w:rPr>
              <w:t>集气罩设置及风量计算情况</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1041"/>
              <w:gridCol w:w="1042"/>
              <w:gridCol w:w="1057"/>
              <w:gridCol w:w="1059"/>
              <w:gridCol w:w="722"/>
              <w:gridCol w:w="772"/>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2"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工序名称</w:t>
                  </w:r>
                </w:p>
              </w:tc>
              <w:tc>
                <w:tcPr>
                  <w:tcW w:w="2479" w:type="pct"/>
                  <w:gridSpan w:val="4"/>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集气罩情况</w:t>
                  </w:r>
                </w:p>
              </w:tc>
              <w:tc>
                <w:tcPr>
                  <w:tcW w:w="426"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P值</w:t>
                  </w:r>
                </w:p>
              </w:tc>
              <w:tc>
                <w:tcPr>
                  <w:tcW w:w="453"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H值</w:t>
                  </w:r>
                </w:p>
              </w:tc>
              <w:tc>
                <w:tcPr>
                  <w:tcW w:w="867"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Q（m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2"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rPr>
                  </w:pPr>
                </w:p>
              </w:tc>
              <w:tc>
                <w:tcPr>
                  <w:tcW w:w="61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类型</w:t>
                  </w:r>
                </w:p>
              </w:tc>
              <w:tc>
                <w:tcPr>
                  <w:tcW w:w="61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工位数</w:t>
                  </w:r>
                </w:p>
              </w:tc>
              <w:tc>
                <w:tcPr>
                  <w:tcW w:w="6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长边/m</w:t>
                  </w:r>
                </w:p>
              </w:tc>
              <w:tc>
                <w:tcPr>
                  <w:tcW w:w="6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宽边/m</w:t>
                  </w:r>
                </w:p>
              </w:tc>
              <w:tc>
                <w:tcPr>
                  <w:tcW w:w="426"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rPr>
                  </w:pPr>
                </w:p>
              </w:tc>
              <w:tc>
                <w:tcPr>
                  <w:tcW w:w="453"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rPr>
                  </w:pPr>
                </w:p>
              </w:tc>
              <w:tc>
                <w:tcPr>
                  <w:tcW w:w="867"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2"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加热熔化</w:t>
                  </w:r>
                </w:p>
              </w:tc>
              <w:tc>
                <w:tcPr>
                  <w:tcW w:w="61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上吸式</w:t>
                  </w:r>
                </w:p>
              </w:tc>
              <w:tc>
                <w:tcPr>
                  <w:tcW w:w="615"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p>
              </w:tc>
              <w:tc>
                <w:tcPr>
                  <w:tcW w:w="6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3.5</w:t>
                  </w:r>
                </w:p>
              </w:tc>
              <w:tc>
                <w:tcPr>
                  <w:tcW w:w="62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2.5</w:t>
                  </w:r>
                </w:p>
              </w:tc>
              <w:tc>
                <w:tcPr>
                  <w:tcW w:w="42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w:t>
                  </w:r>
                </w:p>
              </w:tc>
              <w:tc>
                <w:tcPr>
                  <w:tcW w:w="45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0.3</w:t>
                  </w:r>
                </w:p>
              </w:tc>
              <w:tc>
                <w:tcPr>
                  <w:tcW w:w="86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26001.6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32" w:type="pct"/>
                  <w:gridSpan w:val="7"/>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合计（考虑风阻、管道磨损）</w:t>
                  </w:r>
                </w:p>
              </w:tc>
              <w:tc>
                <w:tcPr>
                  <w:tcW w:w="86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26001.6</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根据</w:t>
            </w:r>
            <w:r>
              <w:rPr>
                <w:rFonts w:hint="eastAsia" w:cs="Times New Roman"/>
                <w:sz w:val="24"/>
                <w:szCs w:val="24"/>
                <w:lang w:val="en-US" w:eastAsia="zh-CN"/>
              </w:rPr>
              <w:t>上</w:t>
            </w:r>
            <w:r>
              <w:rPr>
                <w:rFonts w:hint="default" w:ascii="Times New Roman" w:hAnsi="Times New Roman" w:cs="Times New Roman"/>
                <w:sz w:val="24"/>
                <w:szCs w:val="24"/>
              </w:rPr>
              <w:t>表可知，项目废气收集系统风量为</w:t>
            </w:r>
            <w:r>
              <w:rPr>
                <w:rFonts w:hint="eastAsia" w:cs="Times New Roman"/>
                <w:sz w:val="24"/>
                <w:szCs w:val="24"/>
                <w:lang w:val="en-US" w:eastAsia="zh-CN"/>
              </w:rPr>
              <w:t>26001.6</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/h，考虑到风量损失，设置废气处理设施风量</w:t>
            </w:r>
            <w:r>
              <w:rPr>
                <w:rFonts w:hint="eastAsia" w:cs="Times New Roman"/>
                <w:sz w:val="24"/>
                <w:szCs w:val="24"/>
                <w:lang w:val="en-US" w:eastAsia="zh-CN"/>
              </w:rPr>
              <w:t>为27000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/h</w:t>
            </w:r>
            <w:r>
              <w:rPr>
                <w:rFonts w:hint="eastAsia" w:cs="Times New Roman"/>
                <w:sz w:val="24"/>
                <w:szCs w:val="24"/>
                <w:lang w:val="en-US" w:eastAsia="zh-CN"/>
              </w:rPr>
              <w:t>即</w:t>
            </w:r>
            <w:r>
              <w:rPr>
                <w:rFonts w:hint="default" w:ascii="Times New Roman" w:hAnsi="Times New Roman" w:cs="Times New Roman"/>
                <w:sz w:val="24"/>
                <w:szCs w:val="24"/>
              </w:rPr>
              <w:t>可满足项目废气收集要求。故</w:t>
            </w:r>
            <w:r>
              <w:rPr>
                <w:rFonts w:hint="eastAsia" w:cs="Times New Roman"/>
                <w:sz w:val="24"/>
                <w:szCs w:val="24"/>
                <w:lang w:val="en-US" w:eastAsia="zh-CN"/>
              </w:rPr>
              <w:t>排放口</w:t>
            </w:r>
            <w:r>
              <w:rPr>
                <w:rFonts w:hint="default" w:ascii="Times New Roman" w:hAnsi="Times New Roman" w:cs="Times New Roman"/>
                <w:sz w:val="24"/>
                <w:szCs w:val="24"/>
              </w:rPr>
              <w:t>风量为</w:t>
            </w:r>
            <w:r>
              <w:rPr>
                <w:rFonts w:hint="eastAsia" w:cs="Times New Roman"/>
                <w:sz w:val="24"/>
                <w:szCs w:val="24"/>
                <w:lang w:val="en-US" w:eastAsia="zh-CN"/>
              </w:rPr>
              <w:t>27000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/h，年生产时间</w:t>
            </w:r>
            <w:r>
              <w:rPr>
                <w:rFonts w:hint="eastAsia" w:cs="Times New Roman"/>
                <w:sz w:val="24"/>
                <w:szCs w:val="24"/>
                <w:lang w:val="en-US" w:eastAsia="zh-CN"/>
              </w:rPr>
              <w:t>以7920</w:t>
            </w:r>
            <w:r>
              <w:rPr>
                <w:rFonts w:hint="default" w:ascii="Times New Roman" w:hAnsi="Times New Roman" w:cs="Times New Roman"/>
                <w:sz w:val="24"/>
                <w:szCs w:val="24"/>
              </w:rPr>
              <w:t>h计。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1" w:firstLineChars="200"/>
              <w:jc w:val="left"/>
              <w:textAlignment w:val="auto"/>
              <w:rPr>
                <w:rFonts w:hint="default" w:ascii="Times New Roman" w:hAnsi="Times New Roman" w:cs="Times New Roman"/>
                <w:sz w:val="24"/>
                <w:szCs w:val="24"/>
              </w:rPr>
            </w:pPr>
            <w:r>
              <w:rPr>
                <w:rFonts w:hint="eastAsia"/>
                <w:b/>
                <w:bCs/>
                <w:color w:val="000000" w:themeColor="text1"/>
                <w:sz w:val="24"/>
                <w:szCs w:val="24"/>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4</w:t>
            </w:r>
            <w:r>
              <w:rPr>
                <w:rFonts w:hint="eastAsia"/>
                <w:b/>
                <w:bCs/>
                <w:color w:val="000000" w:themeColor="text1"/>
                <w:sz w:val="24"/>
                <w:szCs w:val="24"/>
                <w14:textFill>
                  <w14:solidFill>
                    <w14:schemeClr w14:val="tx1"/>
                  </w14:solidFill>
                </w14:textFill>
              </w:rPr>
              <w:t>）废气治理设施可行性分析</w:t>
            </w:r>
          </w:p>
          <w:p>
            <w:pPr>
              <w:keepNext w:val="0"/>
              <w:keepLines w:val="0"/>
              <w:pageBreakBefore w:val="0"/>
              <w:kinsoku/>
              <w:wordWrap/>
              <w:overflowPunct/>
              <w:topLinePunct w:val="0"/>
              <w:bidi w:val="0"/>
              <w:spacing w:line="360" w:lineRule="auto"/>
              <w:ind w:firstLine="480" w:firstLineChars="200"/>
              <w:jc w:val="left"/>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r>
              <w:rPr>
                <w:rFonts w:hint="eastAsia" w:ascii="Times New Roman" w:hAnsi="Times New Roman" w:eastAsia="宋体" w:cs="宋体"/>
                <w:color w:val="000000" w:themeColor="text1"/>
                <w:sz w:val="24"/>
                <w:szCs w:val="24"/>
                <w:lang w:eastAsia="zh-CN"/>
                <w14:textFill>
                  <w14:solidFill>
                    <w14:schemeClr w14:val="tx1"/>
                  </w14:solidFill>
                </w14:textFill>
              </w:rPr>
              <w:t>有组织废气污染防治设施可行性分析</w:t>
            </w:r>
          </w:p>
          <w:p>
            <w:pPr>
              <w:keepNext w:val="0"/>
              <w:keepLines w:val="0"/>
              <w:pageBreakBefore w:val="0"/>
              <w:widowControl/>
              <w:suppressLineNumbers w:val="0"/>
              <w:kinsoku/>
              <w:wordWrap/>
              <w:overflowPunct/>
              <w:topLinePunct w:val="0"/>
              <w:bidi w:val="0"/>
              <w:spacing w:line="360" w:lineRule="auto"/>
              <w:ind w:firstLine="480" w:firstLineChars="200"/>
              <w:jc w:val="left"/>
              <w:rPr>
                <w:rFonts w:hint="default"/>
                <w:sz w:val="24"/>
                <w:szCs w:val="24"/>
                <w:lang w:val="en-US"/>
              </w:rPr>
            </w:pPr>
            <w:r>
              <w:rPr>
                <w:rFonts w:hint="default" w:ascii="Times New Roman" w:hAnsi="Times New Roman" w:eastAsia="宋体" w:cs="Times New Roman"/>
                <w:color w:val="000000"/>
                <w:kern w:val="0"/>
                <w:sz w:val="24"/>
                <w:szCs w:val="24"/>
                <w:lang w:val="en-US" w:eastAsia="zh-CN" w:bidi="ar"/>
              </w:rPr>
              <w:t>本项目拟设置一套二级活性炭吸附装置处理生产废气，</w:t>
            </w:r>
            <w:r>
              <w:rPr>
                <w:rFonts w:hint="eastAsia" w:cs="Times New Roman"/>
                <w:color w:val="000000"/>
                <w:kern w:val="0"/>
                <w:sz w:val="24"/>
                <w:szCs w:val="24"/>
                <w:lang w:val="en-US" w:eastAsia="zh-CN" w:bidi="ar"/>
              </w:rPr>
              <w:t>经集气罩收集，通过喷淋塔降温后由二级活性炭吸附装置处理达标</w:t>
            </w:r>
            <w:r>
              <w:rPr>
                <w:rFonts w:hint="default" w:ascii="Times New Roman" w:hAnsi="Times New Roman" w:eastAsia="宋体" w:cs="Times New Roman"/>
                <w:color w:val="000000"/>
                <w:kern w:val="0"/>
                <w:sz w:val="24"/>
                <w:szCs w:val="24"/>
                <w:lang w:val="en-US" w:eastAsia="zh-CN" w:bidi="ar"/>
              </w:rPr>
              <w:t>后通过15m高排气筒</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DA001</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排放</w:t>
            </w:r>
            <w:r>
              <w:rPr>
                <w:rFonts w:hint="default" w:ascii="Times New Roman" w:hAnsi="Times New Roman" w:eastAsia="宋体" w:cs="Times New Roman"/>
                <w:color w:val="000000"/>
                <w:kern w:val="0"/>
                <w:sz w:val="24"/>
                <w:szCs w:val="24"/>
                <w:lang w:val="en-US" w:eastAsia="zh-CN" w:bidi="ar"/>
              </w:rPr>
              <w:t>，排气筒高度约15m。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①</w:t>
            </w:r>
            <w:r>
              <w:rPr>
                <w:rFonts w:hint="eastAsia" w:cs="Times New Roman"/>
                <w:b w:val="0"/>
                <w:bCs w:val="0"/>
                <w:color w:val="000000" w:themeColor="text1"/>
                <w:sz w:val="24"/>
                <w:szCs w:val="24"/>
                <w:lang w:val="en-US" w:eastAsia="zh-CN"/>
                <w14:textFill>
                  <w14:solidFill>
                    <w14:schemeClr w14:val="tx1"/>
                  </w14:solidFill>
                </w14:textFill>
              </w:rPr>
              <w:t>二级活性炭吸附</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装置工作原理：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宋体" w:hAnsi="宋体" w:eastAsia="宋体" w:cs="宋体"/>
                <w:color w:val="000000" w:themeColor="text1"/>
                <w:sz w:val="24"/>
                <w:szCs w:val="24"/>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活性炭是一种很细小的炭粒，有很大的表面积，而且炭粒中还有更细小的孔——毛细管。这种毛细管具有很强的吸附能力，由于炭粒的表面积很大，所以能与气体（有机废气）充分接触，当这些气体（有机废气）碰到毛细管就被吸附，起净化作用。当废气由</w:t>
            </w:r>
            <w:r>
              <w:rPr>
                <w:rFonts w:hint="eastAsia" w:cs="Times New Roman"/>
                <w:b w:val="0"/>
                <w:bCs w:val="0"/>
                <w:color w:val="000000" w:themeColor="text1"/>
                <w:sz w:val="24"/>
                <w:szCs w:val="24"/>
                <w:lang w:val="en-US" w:eastAsia="zh-CN"/>
                <w14:textFill>
                  <w14:solidFill>
                    <w14:schemeClr w14:val="tx1"/>
                  </w14:solidFill>
                </w14:textFill>
              </w:rPr>
              <w:t>集气罩收集</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进入活性炭吸附层，由于活性炭吸附剂表面上存在着未平衡和未饱和的分子引力或化学键力，因此当活性炭吸附剂的表面与气体接触时，就能吸引气体分子，使其浓聚并保持在活性炭表面，此现象称为吸附。利用活性炭吸附剂表面的吸附能力，使废气与大表面的多孔性活性炭吸附剂相接触，废气中的污染物被吸附在活性炭表面上，使其与气体混合物分离，净化后的气体高空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 w:val="24"/>
                <w:szCs w:val="24"/>
                <w:highlight w:val="none"/>
                <w:lang w:eastAsia="zh-CN" w:bidi="ar"/>
              </w:rPr>
            </w:pPr>
            <w:r>
              <w:rPr>
                <w:rFonts w:hint="default" w:ascii="Times New Roman" w:hAnsi="Times New Roman" w:cs="Times New Roman"/>
                <w:color w:val="auto"/>
                <w:kern w:val="0"/>
                <w:sz w:val="24"/>
                <w:szCs w:val="24"/>
                <w:highlight w:val="none"/>
                <w:lang w:bidi="ar"/>
              </w:rPr>
              <w:t>根据前文分析，</w:t>
            </w:r>
            <w:r>
              <w:rPr>
                <w:rFonts w:hint="eastAsia" w:cs="Times New Roman"/>
                <w:color w:val="auto"/>
                <w:kern w:val="0"/>
                <w:sz w:val="24"/>
                <w:szCs w:val="24"/>
                <w:highlight w:val="none"/>
                <w:lang w:eastAsia="zh-CN" w:bidi="ar"/>
              </w:rPr>
              <w:t>厂房</w:t>
            </w:r>
            <w:r>
              <w:rPr>
                <w:rFonts w:hint="eastAsia" w:ascii="Times New Roman" w:hAnsi="Times New Roman" w:cs="Times New Roman"/>
                <w:color w:val="auto"/>
                <w:kern w:val="0"/>
                <w:sz w:val="24"/>
                <w:szCs w:val="24"/>
                <w:highlight w:val="none"/>
                <w:lang w:val="en-US" w:eastAsia="zh-CN" w:bidi="ar"/>
              </w:rPr>
              <w:t>有机</w:t>
            </w:r>
            <w:r>
              <w:rPr>
                <w:rFonts w:hint="default" w:ascii="Times New Roman" w:hAnsi="Times New Roman" w:cs="Times New Roman"/>
                <w:color w:val="auto"/>
                <w:kern w:val="0"/>
                <w:sz w:val="24"/>
                <w:szCs w:val="24"/>
                <w:highlight w:val="none"/>
                <w:lang w:val="en-US" w:eastAsia="zh-CN" w:bidi="ar"/>
              </w:rPr>
              <w:t>废气</w:t>
            </w:r>
            <w:r>
              <w:rPr>
                <w:rFonts w:hint="default" w:ascii="Times New Roman" w:hAnsi="Times New Roman" w:cs="Times New Roman"/>
                <w:color w:val="auto"/>
                <w:kern w:val="0"/>
                <w:sz w:val="24"/>
                <w:szCs w:val="24"/>
                <w:highlight w:val="none"/>
                <w:lang w:bidi="ar"/>
              </w:rPr>
              <w:t>活性炭吸附装置</w:t>
            </w:r>
            <w:r>
              <w:rPr>
                <w:rFonts w:hint="default" w:ascii="Times New Roman" w:hAnsi="Times New Roman" w:cs="Times New Roman"/>
                <w:color w:val="auto"/>
                <w:kern w:val="0"/>
                <w:sz w:val="24"/>
                <w:szCs w:val="24"/>
                <w:highlight w:val="none"/>
                <w:lang w:val="en-US" w:eastAsia="zh-CN" w:bidi="ar"/>
              </w:rPr>
              <w:t>系统设计</w:t>
            </w:r>
            <w:r>
              <w:rPr>
                <w:rFonts w:hint="default" w:ascii="Times New Roman" w:hAnsi="Times New Roman" w:cs="Times New Roman"/>
                <w:color w:val="auto"/>
                <w:kern w:val="0"/>
                <w:sz w:val="24"/>
                <w:szCs w:val="24"/>
                <w:highlight w:val="none"/>
                <w:lang w:bidi="ar"/>
              </w:rPr>
              <w:t>风量为</w:t>
            </w:r>
            <w:r>
              <w:rPr>
                <w:rFonts w:hint="eastAsia" w:cs="Times New Roman"/>
                <w:color w:val="auto"/>
                <w:kern w:val="0"/>
                <w:sz w:val="24"/>
                <w:szCs w:val="24"/>
                <w:highlight w:val="none"/>
                <w:lang w:val="en-US" w:eastAsia="zh-CN" w:bidi="ar"/>
              </w:rPr>
              <w:t>27000</w:t>
            </w:r>
            <w:r>
              <w:rPr>
                <w:rFonts w:hint="default" w:ascii="Times New Roman" w:hAnsi="Times New Roman" w:cs="Times New Roman"/>
                <w:color w:val="auto"/>
                <w:kern w:val="0"/>
                <w:sz w:val="24"/>
                <w:szCs w:val="24"/>
                <w:highlight w:val="none"/>
                <w:lang w:bidi="ar"/>
              </w:rPr>
              <w:t>m</w:t>
            </w:r>
            <w:r>
              <w:rPr>
                <w:rFonts w:hint="default" w:ascii="Times New Roman" w:hAnsi="Times New Roman" w:cs="Times New Roman"/>
                <w:color w:val="auto"/>
                <w:kern w:val="0"/>
                <w:sz w:val="24"/>
                <w:szCs w:val="24"/>
                <w:highlight w:val="none"/>
                <w:vertAlign w:val="superscript"/>
                <w:lang w:bidi="ar"/>
              </w:rPr>
              <w:t>3</w:t>
            </w:r>
            <w:r>
              <w:rPr>
                <w:rFonts w:hint="default" w:ascii="Times New Roman" w:hAnsi="Times New Roman" w:cs="Times New Roman"/>
                <w:color w:val="auto"/>
                <w:kern w:val="0"/>
                <w:sz w:val="24"/>
                <w:szCs w:val="24"/>
                <w:highlight w:val="none"/>
                <w:lang w:bidi="ar"/>
              </w:rPr>
              <w:t>/h，参照《吸附法工业有机废气治理工程技术规范》（HJ2026-2013）的规定：蜂窝状活性炭吸附装置废气流速宜低于1.2m/s。项目拟设置的活性炭吸附箱吸附过滤面积为</w:t>
            </w:r>
            <w:r>
              <w:rPr>
                <w:rFonts w:hint="eastAsia" w:cs="Times New Roman"/>
                <w:color w:val="auto"/>
                <w:kern w:val="0"/>
                <w:sz w:val="24"/>
                <w:szCs w:val="24"/>
                <w:highlight w:val="none"/>
                <w:lang w:val="en-US" w:eastAsia="zh-CN" w:bidi="ar"/>
              </w:rPr>
              <w:t>8</w:t>
            </w:r>
            <w:r>
              <w:rPr>
                <w:rFonts w:hint="default" w:ascii="Times New Roman" w:hAnsi="Times New Roman" w:cs="Times New Roman"/>
                <w:color w:val="auto"/>
                <w:kern w:val="0"/>
                <w:sz w:val="24"/>
                <w:szCs w:val="24"/>
                <w:highlight w:val="none"/>
                <w:lang w:bidi="ar"/>
              </w:rPr>
              <w:t>m</w:t>
            </w:r>
            <w:r>
              <w:rPr>
                <w:rFonts w:hint="default" w:ascii="Times New Roman" w:hAnsi="Times New Roman" w:cs="Times New Roman"/>
                <w:color w:val="auto"/>
                <w:kern w:val="0"/>
                <w:sz w:val="24"/>
                <w:szCs w:val="24"/>
                <w:highlight w:val="none"/>
                <w:vertAlign w:val="superscript"/>
                <w:lang w:bidi="ar"/>
              </w:rPr>
              <w:t>2</w:t>
            </w:r>
            <w:r>
              <w:rPr>
                <w:rFonts w:hint="default" w:ascii="Times New Roman" w:hAnsi="Times New Roman" w:cs="Times New Roman"/>
                <w:color w:val="auto"/>
                <w:kern w:val="0"/>
                <w:sz w:val="24"/>
                <w:szCs w:val="24"/>
                <w:highlight w:val="none"/>
                <w:vertAlign w:val="baseline"/>
                <w:lang w:eastAsia="zh-CN" w:bidi="ar"/>
              </w:rPr>
              <w:t>，</w:t>
            </w:r>
            <w:r>
              <w:rPr>
                <w:rFonts w:hint="default" w:ascii="Times New Roman" w:hAnsi="Times New Roman" w:cs="Times New Roman"/>
                <w:color w:val="auto"/>
                <w:kern w:val="0"/>
                <w:sz w:val="24"/>
                <w:szCs w:val="24"/>
                <w:highlight w:val="none"/>
                <w:vertAlign w:val="baseline"/>
                <w:lang w:val="en-US" w:eastAsia="zh-CN" w:bidi="ar"/>
              </w:rPr>
              <w:t>则废气流速为</w:t>
            </w:r>
            <w:r>
              <w:rPr>
                <w:rFonts w:hint="eastAsia" w:cs="Times New Roman"/>
                <w:color w:val="auto"/>
                <w:kern w:val="0"/>
                <w:sz w:val="24"/>
                <w:szCs w:val="24"/>
                <w:highlight w:val="none"/>
                <w:vertAlign w:val="baseline"/>
                <w:lang w:val="en-US" w:eastAsia="zh-CN" w:bidi="ar"/>
              </w:rPr>
              <w:t>27000</w:t>
            </w:r>
            <w:r>
              <w:rPr>
                <w:rFonts w:hint="default" w:ascii="Times New Roman" w:hAnsi="Times New Roman" w:cs="Times New Roman"/>
                <w:color w:val="auto"/>
                <w:kern w:val="0"/>
                <w:sz w:val="24"/>
                <w:szCs w:val="24"/>
                <w:highlight w:val="none"/>
                <w:vertAlign w:val="baseline"/>
                <w:lang w:val="en-US" w:eastAsia="zh-CN" w:bidi="ar"/>
              </w:rPr>
              <w:t>/3600/</w:t>
            </w:r>
            <w:r>
              <w:rPr>
                <w:rFonts w:hint="eastAsia" w:cs="Times New Roman"/>
                <w:color w:val="auto"/>
                <w:kern w:val="0"/>
                <w:sz w:val="24"/>
                <w:szCs w:val="24"/>
                <w:highlight w:val="none"/>
                <w:vertAlign w:val="baseline"/>
                <w:lang w:val="en-US" w:eastAsia="zh-CN" w:bidi="ar"/>
              </w:rPr>
              <w:t>8</w:t>
            </w:r>
            <w:r>
              <w:rPr>
                <w:rFonts w:hint="default" w:ascii="Times New Roman" w:hAnsi="Times New Roman" w:cs="Times New Roman"/>
                <w:color w:val="auto"/>
                <w:kern w:val="0"/>
                <w:sz w:val="24"/>
                <w:szCs w:val="24"/>
                <w:highlight w:val="none"/>
                <w:vertAlign w:val="baseline"/>
                <w:lang w:val="en-US" w:eastAsia="zh-CN" w:bidi="ar"/>
              </w:rPr>
              <w:t>=</w:t>
            </w:r>
            <w:r>
              <w:rPr>
                <w:rFonts w:hint="eastAsia" w:cs="Times New Roman"/>
                <w:color w:val="auto"/>
                <w:kern w:val="0"/>
                <w:sz w:val="24"/>
                <w:szCs w:val="24"/>
                <w:highlight w:val="none"/>
                <w:vertAlign w:val="baseline"/>
                <w:lang w:val="en-US" w:eastAsia="zh-CN" w:bidi="ar"/>
              </w:rPr>
              <w:t>0.9375</w:t>
            </w:r>
            <w:r>
              <w:rPr>
                <w:rFonts w:hint="default" w:ascii="Times New Roman" w:hAnsi="Times New Roman" w:cs="Times New Roman"/>
                <w:color w:val="auto"/>
                <w:kern w:val="0"/>
                <w:sz w:val="24"/>
                <w:szCs w:val="24"/>
                <w:highlight w:val="none"/>
                <w:vertAlign w:val="baseline"/>
                <w:lang w:val="en-US" w:eastAsia="zh-CN" w:bidi="ar"/>
              </w:rPr>
              <w:t>m/s，满足技术规范流速要求</w:t>
            </w:r>
            <w:r>
              <w:rPr>
                <w:rFonts w:hint="default" w:ascii="Times New Roman" w:hAnsi="Times New Roman" w:cs="Times New Roman"/>
                <w:color w:val="auto"/>
                <w:kern w:val="0"/>
                <w:sz w:val="24"/>
                <w:szCs w:val="24"/>
                <w:highlight w:val="none"/>
                <w:lang w:bidi="ar"/>
              </w:rPr>
              <w:t>。蜂窝状活性炭厚度约0.</w:t>
            </w:r>
            <w:r>
              <w:rPr>
                <w:rFonts w:hint="eastAsia" w:cs="Times New Roman"/>
                <w:color w:val="auto"/>
                <w:kern w:val="0"/>
                <w:sz w:val="24"/>
                <w:szCs w:val="24"/>
                <w:highlight w:val="none"/>
                <w:lang w:val="en-US" w:eastAsia="zh-CN" w:bidi="ar"/>
              </w:rPr>
              <w:t>27</w:t>
            </w:r>
            <w:r>
              <w:rPr>
                <w:rFonts w:hint="default" w:ascii="Times New Roman" w:hAnsi="Times New Roman" w:cs="Times New Roman"/>
                <w:color w:val="auto"/>
                <w:kern w:val="0"/>
                <w:sz w:val="24"/>
                <w:szCs w:val="24"/>
                <w:highlight w:val="none"/>
                <w:lang w:bidi="ar"/>
              </w:rPr>
              <w:t>m，则活性炭充填量</w:t>
            </w:r>
            <w:r>
              <w:rPr>
                <w:rFonts w:hint="default" w:ascii="Times New Roman" w:hAnsi="Times New Roman" w:cs="Times New Roman"/>
                <w:color w:val="auto"/>
                <w:kern w:val="0"/>
                <w:sz w:val="24"/>
                <w:szCs w:val="24"/>
                <w:highlight w:val="none"/>
                <w:lang w:val="en-US" w:eastAsia="zh-CN" w:bidi="ar"/>
              </w:rPr>
              <w:t>为</w:t>
            </w:r>
            <w:r>
              <w:rPr>
                <w:rFonts w:hint="eastAsia" w:cs="Times New Roman"/>
                <w:color w:val="auto"/>
                <w:kern w:val="0"/>
                <w:sz w:val="24"/>
                <w:szCs w:val="24"/>
                <w:highlight w:val="none"/>
                <w:lang w:val="en-US" w:eastAsia="zh-CN" w:bidi="ar"/>
              </w:rPr>
              <w:t>2.16</w:t>
            </w:r>
            <w:r>
              <w:rPr>
                <w:rFonts w:hint="default" w:ascii="Times New Roman" w:hAnsi="Times New Roman" w:cs="Times New Roman"/>
                <w:color w:val="auto"/>
                <w:kern w:val="0"/>
                <w:sz w:val="24"/>
                <w:szCs w:val="24"/>
                <w:highlight w:val="none"/>
                <w:lang w:bidi="ar"/>
              </w:rPr>
              <w:t>m</w:t>
            </w:r>
            <w:r>
              <w:rPr>
                <w:rFonts w:hint="default" w:ascii="Times New Roman" w:hAnsi="Times New Roman" w:cs="Times New Roman"/>
                <w:color w:val="auto"/>
                <w:kern w:val="0"/>
                <w:sz w:val="24"/>
                <w:szCs w:val="24"/>
                <w:highlight w:val="none"/>
                <w:vertAlign w:val="superscript"/>
                <w:lang w:bidi="ar"/>
              </w:rPr>
              <w:t>3</w:t>
            </w:r>
            <w:r>
              <w:rPr>
                <w:rFonts w:hint="default" w:ascii="Times New Roman" w:hAnsi="Times New Roman" w:cs="Times New Roman"/>
                <w:color w:val="auto"/>
                <w:kern w:val="0"/>
                <w:sz w:val="24"/>
                <w:szCs w:val="24"/>
                <w:highlight w:val="none"/>
                <w:lang w:bidi="ar"/>
              </w:rPr>
              <w:t>，蜂窝活性炭的堆积密度按0.55g/cm</w:t>
            </w:r>
            <w:r>
              <w:rPr>
                <w:rFonts w:hint="default" w:ascii="Times New Roman" w:hAnsi="Times New Roman" w:cs="Times New Roman"/>
                <w:color w:val="auto"/>
                <w:kern w:val="0"/>
                <w:sz w:val="24"/>
                <w:szCs w:val="24"/>
                <w:highlight w:val="none"/>
                <w:vertAlign w:val="superscript"/>
                <w:lang w:bidi="ar"/>
              </w:rPr>
              <w:t>3</w:t>
            </w:r>
            <w:r>
              <w:rPr>
                <w:rFonts w:hint="default" w:ascii="Times New Roman" w:hAnsi="Times New Roman" w:cs="Times New Roman"/>
                <w:color w:val="auto"/>
                <w:kern w:val="0"/>
                <w:sz w:val="24"/>
                <w:szCs w:val="24"/>
                <w:highlight w:val="none"/>
                <w:lang w:bidi="ar"/>
              </w:rPr>
              <w:t>计，则活性炭吸附装置设计装填量约为</w:t>
            </w:r>
            <w:r>
              <w:rPr>
                <w:rFonts w:hint="eastAsia" w:cs="Times New Roman"/>
                <w:color w:val="auto"/>
                <w:kern w:val="0"/>
                <w:sz w:val="24"/>
                <w:szCs w:val="24"/>
                <w:highlight w:val="none"/>
                <w:lang w:val="en-US" w:eastAsia="zh-CN" w:bidi="ar"/>
              </w:rPr>
              <w:t>1.2</w:t>
            </w:r>
            <w:r>
              <w:rPr>
                <w:rFonts w:hint="default" w:ascii="Times New Roman" w:hAnsi="Times New Roman" w:cs="Times New Roman"/>
                <w:color w:val="auto"/>
                <w:kern w:val="0"/>
                <w:sz w:val="24"/>
                <w:szCs w:val="24"/>
                <w:highlight w:val="none"/>
                <w:lang w:bidi="ar"/>
              </w:rPr>
              <w:t>t</w:t>
            </w:r>
            <w:r>
              <w:rPr>
                <w:rFonts w:hint="default" w:ascii="Times New Roman" w:hAnsi="Times New Roman" w:cs="Times New Roman"/>
                <w:color w:val="auto"/>
                <w:kern w:val="0"/>
                <w:sz w:val="24"/>
                <w:szCs w:val="24"/>
                <w:highlight w:val="none"/>
                <w:lang w:eastAsia="zh-CN" w:bidi="ar"/>
              </w:rPr>
              <w:t>。</w:t>
            </w:r>
          </w:p>
          <w:p>
            <w:pPr>
              <w:keepNext w:val="0"/>
              <w:keepLines w:val="0"/>
              <w:pageBreakBefore w:val="0"/>
              <w:numPr>
                <w:ilvl w:val="0"/>
                <w:numId w:val="0"/>
              </w:numPr>
              <w:suppressLineNumbers w:val="0"/>
              <w:kinsoku/>
              <w:wordWrap/>
              <w:overflowPunct/>
              <w:topLinePunct w:val="0"/>
              <w:bidi w:val="0"/>
              <w:spacing w:before="0" w:beforeAutospacing="0" w:after="0" w:afterAutospacing="0" w:line="360" w:lineRule="auto"/>
              <w:ind w:right="0" w:rightChars="0" w:firstLine="480" w:firstLineChars="200"/>
              <w:jc w:val="left"/>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无组织污染防治措施可行性分析</w:t>
            </w:r>
          </w:p>
          <w:p>
            <w:pPr>
              <w:keepNext w:val="0"/>
              <w:keepLines w:val="0"/>
              <w:pageBreakBefore w:val="0"/>
              <w:numPr>
                <w:ilvl w:val="0"/>
                <w:numId w:val="0"/>
              </w:numPr>
              <w:suppressLineNumbers w:val="0"/>
              <w:kinsoku/>
              <w:wordWrap/>
              <w:overflowPunct/>
              <w:topLinePunct w:val="0"/>
              <w:bidi w:val="0"/>
              <w:spacing w:before="0" w:beforeAutospacing="0" w:after="0" w:afterAutospacing="0" w:line="360" w:lineRule="auto"/>
              <w:ind w:left="0" w:leftChars="0" w:right="0" w:rightChars="0" w:firstLine="480" w:firstLineChars="200"/>
              <w:jc w:val="left"/>
              <w:rPr>
                <w:rFonts w:hint="default"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项目产生及排放的无组织废气主要</w:t>
            </w:r>
            <w:r>
              <w:rPr>
                <w:rFonts w:hint="eastAsia" w:cs="Times New Roman"/>
                <w:b w:val="0"/>
                <w:bCs w:val="0"/>
                <w:color w:val="000000" w:themeColor="text1"/>
                <w:sz w:val="24"/>
                <w:szCs w:val="24"/>
                <w:lang w:val="en-US" w:eastAsia="zh-CN"/>
                <w14:textFill>
                  <w14:solidFill>
                    <w14:schemeClr w14:val="tx1"/>
                  </w14:solidFill>
                </w14:textFill>
              </w:rPr>
              <w:t>为非甲烷总烃</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宋体"/>
                <w:color w:val="000000" w:themeColor="text1"/>
                <w:sz w:val="24"/>
                <w:szCs w:val="24"/>
                <w14:textFill>
                  <w14:solidFill>
                    <w14:schemeClr w14:val="tx1"/>
                  </w14:solidFill>
                </w14:textFill>
              </w:rPr>
              <w:t>建设单位拟采取以下污染防治措施降低无组织废气对周边大气环境的影响。</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jc w:val="left"/>
              <w:rPr>
                <w:rFonts w:hint="default"/>
                <w:sz w:val="24"/>
                <w:szCs w:val="24"/>
              </w:rPr>
            </w:pPr>
            <w:r>
              <w:rPr>
                <w:rFonts w:hint="eastAsia"/>
                <w:sz w:val="24"/>
                <w:szCs w:val="24"/>
                <w:lang w:val="en-US" w:eastAsia="zh-CN"/>
              </w:rPr>
              <w:t>a</w:t>
            </w:r>
            <w:r>
              <w:rPr>
                <w:rFonts w:hint="default"/>
                <w:sz w:val="24"/>
                <w:szCs w:val="24"/>
              </w:rPr>
              <w:t>、含VOCs物料应存放于</w:t>
            </w:r>
            <w:r>
              <w:rPr>
                <w:rFonts w:hint="eastAsia"/>
                <w:sz w:val="24"/>
                <w:szCs w:val="24"/>
              </w:rPr>
              <w:t>专门</w:t>
            </w:r>
            <w:r>
              <w:rPr>
                <w:rFonts w:hint="default"/>
                <w:sz w:val="24"/>
                <w:szCs w:val="24"/>
              </w:rPr>
              <w:t>仓库内，包装桶在非取用状态时应加盖、封口，保持密闭。</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jc w:val="left"/>
              <w:rPr>
                <w:rFonts w:hint="default"/>
                <w:sz w:val="24"/>
                <w:szCs w:val="24"/>
              </w:rPr>
            </w:pPr>
            <w:r>
              <w:rPr>
                <w:rFonts w:hint="eastAsia"/>
                <w:sz w:val="24"/>
                <w:szCs w:val="24"/>
                <w:lang w:val="en-US" w:eastAsia="zh-CN"/>
              </w:rPr>
              <w:t>b</w:t>
            </w:r>
            <w:r>
              <w:rPr>
                <w:rFonts w:hint="default"/>
                <w:sz w:val="24"/>
                <w:szCs w:val="24"/>
              </w:rPr>
              <w:t>、物料在运输过程采用非管道输送方式转移时，应采用密闭容器进行转移。</w:t>
            </w:r>
          </w:p>
          <w:p>
            <w:pPr>
              <w:keepNext w:val="0"/>
              <w:keepLines w:val="0"/>
              <w:pageBreakBefore w:val="0"/>
              <w:numPr>
                <w:ilvl w:val="0"/>
                <w:numId w:val="0"/>
              </w:numPr>
              <w:suppressLineNumbers w:val="0"/>
              <w:kinsoku/>
              <w:wordWrap/>
              <w:overflowPunct/>
              <w:topLinePunct w:val="0"/>
              <w:bidi w:val="0"/>
              <w:spacing w:before="0" w:beforeAutospacing="0" w:after="0" w:afterAutospacing="0" w:line="360" w:lineRule="auto"/>
              <w:ind w:left="0" w:leftChars="0" w:right="0" w:rightChars="0" w:firstLine="480" w:firstLineChars="200"/>
              <w:jc w:val="left"/>
              <w:rPr>
                <w:rFonts w:hint="default" w:ascii="Times New Roman" w:hAnsi="Times New Roman" w:eastAsia="宋体" w:cs="宋体"/>
                <w:color w:val="000000" w:themeColor="text1"/>
                <w:sz w:val="24"/>
                <w:szCs w:val="24"/>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c</w:t>
            </w:r>
            <w:r>
              <w:rPr>
                <w:rFonts w:hint="eastAsia" w:ascii="Times New Roman" w:hAnsi="Times New Roman" w:eastAsia="宋体" w:cs="宋体"/>
                <w:color w:val="000000" w:themeColor="text1"/>
                <w:sz w:val="24"/>
                <w:szCs w:val="24"/>
                <w:lang w:val="en-US" w:eastAsia="zh-CN"/>
                <w14:textFill>
                  <w14:solidFill>
                    <w14:schemeClr w14:val="tx1"/>
                  </w14:solidFill>
                </w14:textFill>
              </w:rPr>
              <w:t>、</w:t>
            </w:r>
            <w:r>
              <w:rPr>
                <w:rFonts w:hint="default" w:ascii="Times New Roman" w:hAnsi="Times New Roman" w:eastAsia="宋体" w:cs="宋体"/>
                <w:color w:val="000000" w:themeColor="text1"/>
                <w:sz w:val="24"/>
                <w:szCs w:val="24"/>
                <w14:textFill>
                  <w14:solidFill>
                    <w14:schemeClr w14:val="tx1"/>
                  </w14:solidFill>
                </w14:textFill>
              </w:rPr>
              <w:t>加强运行维护管理，做到治理设施较生产设备</w:t>
            </w:r>
            <w:r>
              <w:rPr>
                <w:rFonts w:hint="eastAsia"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sz w:val="24"/>
                <w:szCs w:val="24"/>
                <w:lang w:val="en-US" w:eastAsia="zh-CN"/>
                <w14:textFill>
                  <w14:solidFill>
                    <w14:schemeClr w14:val="tx1"/>
                  </w14:solidFill>
                </w14:textFill>
              </w:rPr>
              <w:t>先启后停”</w:t>
            </w:r>
            <w:r>
              <w:rPr>
                <w:rFonts w:hint="default" w:ascii="Times New Roman" w:hAnsi="Times New Roman" w:eastAsia="宋体" w:cs="宋体"/>
                <w:color w:val="000000" w:themeColor="text1"/>
                <w:sz w:val="24"/>
                <w:szCs w:val="24"/>
                <w14:textFill>
                  <w14:solidFill>
                    <w14:schemeClr w14:val="tx1"/>
                  </w14:solidFill>
                </w14:textFill>
              </w:rPr>
              <w:t>，在治理设施达到正常运行条件后方可启动生产设备，在生产设备停止、残留废气收集处理完毕后，方可停运治理设施；</w:t>
            </w:r>
          </w:p>
          <w:p>
            <w:pPr>
              <w:keepNext w:val="0"/>
              <w:keepLines w:val="0"/>
              <w:pageBreakBefore w:val="0"/>
              <w:numPr>
                <w:ilvl w:val="0"/>
                <w:numId w:val="0"/>
              </w:numPr>
              <w:suppressLineNumbers w:val="0"/>
              <w:kinsoku/>
              <w:wordWrap/>
              <w:overflowPunct/>
              <w:topLinePunct w:val="0"/>
              <w:bidi w:val="0"/>
              <w:spacing w:before="0" w:beforeAutospacing="0" w:after="0" w:afterAutospacing="0" w:line="360" w:lineRule="auto"/>
              <w:ind w:left="0" w:leftChars="0" w:right="0" w:rightChars="0" w:firstLine="480" w:firstLineChars="200"/>
              <w:jc w:val="left"/>
              <w:rPr>
                <w:rFonts w:hint="default" w:ascii="Times New Roman" w:hAnsi="Times New Roman" w:eastAsia="宋体" w:cs="宋体"/>
                <w:color w:val="000000" w:themeColor="text1"/>
                <w:sz w:val="24"/>
                <w:szCs w:val="24"/>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d</w:t>
            </w:r>
            <w:r>
              <w:rPr>
                <w:rFonts w:hint="eastAsia" w:ascii="Times New Roman" w:hAnsi="Times New Roman" w:eastAsia="宋体" w:cs="宋体"/>
                <w:color w:val="000000" w:themeColor="text1"/>
                <w:sz w:val="24"/>
                <w:szCs w:val="24"/>
                <w:lang w:val="en-US" w:eastAsia="zh-CN"/>
                <w14:textFill>
                  <w14:solidFill>
                    <w14:schemeClr w14:val="tx1"/>
                  </w14:solidFill>
                </w14:textFill>
              </w:rPr>
              <w:t>、</w:t>
            </w:r>
            <w:r>
              <w:rPr>
                <w:rFonts w:hint="default" w:ascii="Times New Roman" w:hAnsi="Times New Roman" w:eastAsia="宋体" w:cs="宋体"/>
                <w:color w:val="000000" w:themeColor="text1"/>
                <w:sz w:val="24"/>
                <w:szCs w:val="24"/>
                <w14:textFill>
                  <w14:solidFill>
                    <w14:schemeClr w14:val="tx1"/>
                  </w14:solidFill>
                </w14:textFill>
              </w:rPr>
              <w:t>所有生产区域生产状态下均关闭门窗，减少人员进出，保证大部分废气均被集气装置收集，减少无组织废气产生量；</w:t>
            </w:r>
          </w:p>
          <w:p>
            <w:pPr>
              <w:keepNext w:val="0"/>
              <w:keepLines w:val="0"/>
              <w:pageBreakBefore w:val="0"/>
              <w:numPr>
                <w:ilvl w:val="0"/>
                <w:numId w:val="0"/>
              </w:numPr>
              <w:suppressLineNumbers w:val="0"/>
              <w:kinsoku/>
              <w:wordWrap/>
              <w:overflowPunct/>
              <w:topLinePunct w:val="0"/>
              <w:bidi w:val="0"/>
              <w:spacing w:before="0" w:beforeAutospacing="0" w:after="0" w:afterAutospacing="0" w:line="360" w:lineRule="auto"/>
              <w:ind w:left="0" w:leftChars="0" w:right="0" w:rightChars="0" w:firstLine="480" w:firstLineChars="200"/>
              <w:jc w:val="left"/>
              <w:rPr>
                <w:rFonts w:hint="default" w:ascii="Times New Roman" w:hAnsi="Times New Roman" w:eastAsia="宋体" w:cs="宋体"/>
                <w:color w:val="000000" w:themeColor="text1"/>
                <w:sz w:val="24"/>
                <w:szCs w:val="24"/>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e</w:t>
            </w:r>
            <w:r>
              <w:rPr>
                <w:rFonts w:hint="eastAsia" w:ascii="Times New Roman" w:hAnsi="Times New Roman" w:eastAsia="宋体" w:cs="宋体"/>
                <w:color w:val="000000" w:themeColor="text1"/>
                <w:sz w:val="24"/>
                <w:szCs w:val="24"/>
                <w:lang w:val="en-US" w:eastAsia="zh-CN"/>
                <w14:textFill>
                  <w14:solidFill>
                    <w14:schemeClr w14:val="tx1"/>
                  </w14:solidFill>
                </w14:textFill>
              </w:rPr>
              <w:t>、</w:t>
            </w:r>
            <w:r>
              <w:rPr>
                <w:rFonts w:hint="default" w:ascii="Times New Roman" w:hAnsi="Times New Roman" w:eastAsia="宋体" w:cs="宋体"/>
                <w:color w:val="000000" w:themeColor="text1"/>
                <w:sz w:val="24"/>
                <w:szCs w:val="24"/>
                <w14:textFill>
                  <w14:solidFill>
                    <w14:schemeClr w14:val="tx1"/>
                  </w14:solidFill>
                </w14:textFill>
              </w:rPr>
              <w:t>加强设备的维护，定期检查设备、集气罩等的性能，保证各项设备和收集装置可正常运行，减少装置的老化等因素引起的废气无组织排放量；</w:t>
            </w:r>
          </w:p>
          <w:p>
            <w:pPr>
              <w:keepNext w:val="0"/>
              <w:keepLines w:val="0"/>
              <w:pageBreakBefore w:val="0"/>
              <w:numPr>
                <w:ilvl w:val="0"/>
                <w:numId w:val="0"/>
              </w:numPr>
              <w:suppressLineNumbers w:val="0"/>
              <w:kinsoku/>
              <w:wordWrap/>
              <w:overflowPunct/>
              <w:topLinePunct w:val="0"/>
              <w:bidi w:val="0"/>
              <w:spacing w:before="0" w:beforeAutospacing="0" w:after="0" w:afterAutospacing="0" w:line="360" w:lineRule="auto"/>
              <w:ind w:left="0" w:leftChars="0" w:right="0" w:rightChars="0" w:firstLine="480" w:firstLineChars="200"/>
              <w:jc w:val="left"/>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f</w:t>
            </w:r>
            <w:r>
              <w:rPr>
                <w:rFonts w:hint="eastAsia" w:ascii="Times New Roman" w:hAnsi="Times New Roman" w:eastAsia="宋体" w:cs="宋体"/>
                <w:color w:val="000000" w:themeColor="text1"/>
                <w:sz w:val="24"/>
                <w:szCs w:val="24"/>
                <w:lang w:val="en-US" w:eastAsia="zh-CN"/>
                <w14:textFill>
                  <w14:solidFill>
                    <w14:schemeClr w14:val="tx1"/>
                  </w14:solidFill>
                </w14:textFill>
              </w:rPr>
              <w:t>、</w:t>
            </w:r>
            <w:r>
              <w:rPr>
                <w:rFonts w:hint="default" w:ascii="Times New Roman" w:hAnsi="Times New Roman" w:eastAsia="宋体" w:cs="宋体"/>
                <w:color w:val="000000" w:themeColor="text1"/>
                <w:sz w:val="24"/>
                <w:szCs w:val="24"/>
                <w14:textFill>
                  <w14:solidFill>
                    <w14:schemeClr w14:val="tx1"/>
                  </w14:solidFill>
                </w14:textFill>
              </w:rPr>
              <w:t>加强人员培训教育，严格操作规范，控制工艺温度和压力参数，确保废气处理装置正常工作，减少因操作失误或废气处理设备异常引起的废气无组织排放</w:t>
            </w:r>
            <w:r>
              <w:rPr>
                <w:rFonts w:hint="eastAsia" w:ascii="Times New Roman" w:hAnsi="Times New Roman" w:eastAsia="宋体" w:cs="宋体"/>
                <w:color w:val="000000" w:themeColor="text1"/>
                <w:sz w:val="24"/>
                <w:szCs w:val="24"/>
                <w:lang w:eastAsia="zh-CN"/>
                <w14:textFill>
                  <w14:solidFill>
                    <w14:schemeClr w14:val="tx1"/>
                  </w14:solidFill>
                </w14:textFill>
              </w:rPr>
              <w:t>。</w:t>
            </w:r>
          </w:p>
          <w:p>
            <w:pPr>
              <w:keepNext w:val="0"/>
              <w:keepLines w:val="0"/>
              <w:pageBreakBefore w:val="0"/>
              <w:numPr>
                <w:ilvl w:val="0"/>
                <w:numId w:val="0"/>
              </w:numPr>
              <w:suppressLineNumbers w:val="0"/>
              <w:kinsoku/>
              <w:wordWrap/>
              <w:overflowPunct/>
              <w:topLinePunct w:val="0"/>
              <w:bidi w:val="0"/>
              <w:spacing w:before="0" w:beforeAutospacing="0" w:after="0" w:afterAutospacing="0" w:line="360" w:lineRule="auto"/>
              <w:ind w:left="0" w:leftChars="0" w:right="0" w:rightChars="0" w:firstLine="481" w:firstLineChars="200"/>
              <w:jc w:val="left"/>
              <w:rPr>
                <w:rFonts w:hint="eastAsia"/>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w:t>
            </w:r>
            <w:r>
              <w:rPr>
                <w:rFonts w:hint="eastAsia" w:cs="Times New Roman"/>
                <w:b/>
                <w:bCs/>
                <w:color w:val="000000" w:themeColor="text1"/>
                <w:kern w:val="2"/>
                <w:sz w:val="24"/>
                <w:szCs w:val="24"/>
                <w:lang w:val="en-US" w:eastAsia="zh-CN" w:bidi="ar-SA"/>
                <w14:textFill>
                  <w14:solidFill>
                    <w14:schemeClr w14:val="tx1"/>
                  </w14:solidFill>
                </w14:textFill>
              </w:rPr>
              <w:t>5</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非正常工况分析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废气非正常工况排放是指生产车间废气治理措施运行出现事故，达不到设计要求时的处理效率。项目可能发生废气事故排放的环节主要考虑为废气处理设施失效。本项目非正常工况排放考虑最不利情况，即废气处理措施完全失效的情况，废气处理净化效率为0%。本项目非正常工况下污染物排放量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1" w:firstLineChars="200"/>
              <w:jc w:val="center"/>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24"/>
                <w:u w:val="none" w:color="auto"/>
                <w:lang w:val="en-US" w:eastAsia="zh-CN"/>
                <w14:textFill>
                  <w14:solidFill>
                    <w14:schemeClr w14:val="tx1"/>
                  </w14:solidFill>
                </w14:textFill>
              </w:rPr>
              <w:t>表4.</w:t>
            </w:r>
            <w:r>
              <w:rPr>
                <w:rFonts w:hint="eastAsia" w:cs="Times New Roman"/>
                <w:b/>
                <w:color w:val="000000" w:themeColor="text1"/>
                <w:sz w:val="24"/>
                <w:szCs w:val="24"/>
                <w:u w:val="none" w:color="auto"/>
                <w:lang w:val="en-US" w:eastAsia="zh-CN"/>
                <w14:textFill>
                  <w14:solidFill>
                    <w14:schemeClr w14:val="tx1"/>
                  </w14:solidFill>
                </w14:textFill>
              </w:rPr>
              <w:t>3</w:t>
            </w:r>
            <w:r>
              <w:rPr>
                <w:rFonts w:hint="eastAsia" w:ascii="Times New Roman" w:hAnsi="Times New Roman" w:eastAsia="宋体" w:cs="Times New Roman"/>
                <w:b/>
                <w:color w:val="000000" w:themeColor="text1"/>
                <w:sz w:val="24"/>
                <w:szCs w:val="24"/>
                <w:u w:val="none" w:color="auto"/>
                <w:lang w:val="en-US" w:eastAsia="zh-CN"/>
                <w14:textFill>
                  <w14:solidFill>
                    <w14:schemeClr w14:val="tx1"/>
                  </w14:solidFill>
                </w14:textFill>
              </w:rPr>
              <w:t>非正常工况下废气产生排放汇总表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0"/>
              <w:gridCol w:w="786"/>
              <w:gridCol w:w="793"/>
              <w:gridCol w:w="903"/>
              <w:gridCol w:w="1657"/>
              <w:gridCol w:w="1733"/>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413" w:type="pct"/>
                  <w:vMerge w:val="restart"/>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排气筒编号</w:t>
                  </w:r>
                </w:p>
              </w:tc>
              <w:tc>
                <w:tcPr>
                  <w:tcW w:w="464" w:type="pct"/>
                  <w:vMerge w:val="restart"/>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t>污染物</w:t>
                  </w:r>
                </w:p>
              </w:tc>
              <w:tc>
                <w:tcPr>
                  <w:tcW w:w="468" w:type="pct"/>
                  <w:vMerge w:val="restart"/>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年发生频次/次</w:t>
                  </w:r>
                </w:p>
              </w:tc>
              <w:tc>
                <w:tcPr>
                  <w:tcW w:w="533" w:type="pct"/>
                  <w:vMerge w:val="restart"/>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单次持续时间/h</w:t>
                  </w:r>
                </w:p>
              </w:tc>
              <w:tc>
                <w:tcPr>
                  <w:tcW w:w="2001" w:type="pct"/>
                  <w:gridSpan w:val="2"/>
                  <w:noWrap w:val="0"/>
                  <w:tcMar>
                    <w:top w:w="8" w:type="dxa"/>
                    <w:left w:w="8" w:type="dxa"/>
                    <w:right w:w="8"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t>废气处理设施净化效率为</w:t>
                  </w:r>
                  <w:r>
                    <w:rPr>
                      <w:rFonts w:hint="default" w:ascii="Times New Roman" w:hAnsi="Times New Roman" w:eastAsia="宋体" w:cs="Times New Roman"/>
                      <w:b/>
                      <w:color w:val="000000" w:themeColor="text1"/>
                      <w:kern w:val="0"/>
                      <w:sz w:val="21"/>
                      <w:szCs w:val="21"/>
                      <w:lang w:val="en-US" w:eastAsia="zh-CN"/>
                      <w14:textFill>
                        <w14:solidFill>
                          <w14:schemeClr w14:val="tx1"/>
                        </w14:solidFill>
                      </w14:textFill>
                    </w:rPr>
                    <w:t>0%</w:t>
                  </w:r>
                </w:p>
              </w:tc>
              <w:tc>
                <w:tcPr>
                  <w:tcW w:w="1119" w:type="pct"/>
                  <w:vMerge w:val="restart"/>
                  <w:noWrap w:val="0"/>
                  <w:tcMar>
                    <w:top w:w="8" w:type="dxa"/>
                    <w:left w:w="8" w:type="dxa"/>
                    <w:right w:w="8"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13" w:type="pct"/>
                  <w:vMerge w:val="continue"/>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kern w:val="0"/>
                      <w:sz w:val="21"/>
                      <w:szCs w:val="21"/>
                      <w14:textFill>
                        <w14:solidFill>
                          <w14:schemeClr w14:val="tx1"/>
                        </w14:solidFill>
                      </w14:textFill>
                    </w:rPr>
                  </w:pPr>
                </w:p>
              </w:tc>
              <w:tc>
                <w:tcPr>
                  <w:tcW w:w="464" w:type="pct"/>
                  <w:vMerge w:val="continue"/>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kern w:val="0"/>
                      <w:sz w:val="21"/>
                      <w:szCs w:val="21"/>
                      <w14:textFill>
                        <w14:solidFill>
                          <w14:schemeClr w14:val="tx1"/>
                        </w14:solidFill>
                      </w14:textFill>
                    </w:rPr>
                  </w:pPr>
                </w:p>
              </w:tc>
              <w:tc>
                <w:tcPr>
                  <w:tcW w:w="468" w:type="pct"/>
                  <w:vMerge w:val="continue"/>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kern w:val="0"/>
                      <w:sz w:val="21"/>
                      <w:szCs w:val="21"/>
                      <w14:textFill>
                        <w14:solidFill>
                          <w14:schemeClr w14:val="tx1"/>
                        </w14:solidFill>
                      </w14:textFill>
                    </w:rPr>
                  </w:pPr>
                </w:p>
              </w:tc>
              <w:tc>
                <w:tcPr>
                  <w:tcW w:w="533" w:type="pct"/>
                  <w:vMerge w:val="continue"/>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kern w:val="0"/>
                      <w:sz w:val="21"/>
                      <w:szCs w:val="21"/>
                      <w14:textFill>
                        <w14:solidFill>
                          <w14:schemeClr w14:val="tx1"/>
                        </w14:solidFill>
                      </w14:textFill>
                    </w:rPr>
                  </w:pPr>
                </w:p>
              </w:tc>
              <w:tc>
                <w:tcPr>
                  <w:tcW w:w="978" w:type="pct"/>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排放</w:t>
                  </w:r>
                  <w: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t>浓度</w:t>
                  </w: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mg/m</w:t>
                  </w:r>
                  <w:r>
                    <w:rPr>
                      <w:rFonts w:hint="default" w:ascii="Times New Roman" w:hAnsi="Times New Roman" w:eastAsia="宋体" w:cs="Times New Roman"/>
                      <w:b/>
                      <w:color w:val="000000" w:themeColor="text1"/>
                      <w:kern w:val="0"/>
                      <w:sz w:val="21"/>
                      <w:szCs w:val="21"/>
                      <w:highlight w:val="none"/>
                      <w:vertAlign w:val="superscript"/>
                      <w:lang w:val="en-US" w:eastAsia="zh-CN"/>
                      <w14:textFill>
                        <w14:solidFill>
                          <w14:schemeClr w14:val="tx1"/>
                        </w14:solidFill>
                      </w14:textFill>
                    </w:rPr>
                    <w:t>3</w:t>
                  </w:r>
                </w:p>
              </w:tc>
              <w:tc>
                <w:tcPr>
                  <w:tcW w:w="1022"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排放</w:t>
                  </w:r>
                  <w:r>
                    <w:rPr>
                      <w:rFonts w:hint="eastAsia" w:cs="Times New Roman"/>
                      <w:b/>
                      <w:color w:val="000000" w:themeColor="text1"/>
                      <w:kern w:val="0"/>
                      <w:sz w:val="21"/>
                      <w:szCs w:val="21"/>
                      <w:highlight w:val="none"/>
                      <w:lang w:val="en-US" w:eastAsia="zh-CN"/>
                      <w14:textFill>
                        <w14:solidFill>
                          <w14:schemeClr w14:val="tx1"/>
                        </w14:solidFill>
                      </w14:textFill>
                    </w:rPr>
                    <w:t>量</w:t>
                  </w: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kg/</w:t>
                  </w:r>
                  <w:r>
                    <w:rPr>
                      <w:rFonts w:hint="eastAsia" w:cs="Times New Roman"/>
                      <w:b/>
                      <w:color w:val="000000" w:themeColor="text1"/>
                      <w:kern w:val="0"/>
                      <w:sz w:val="21"/>
                      <w:szCs w:val="21"/>
                      <w:highlight w:val="none"/>
                      <w:lang w:val="en-US" w:eastAsia="zh-CN"/>
                      <w14:textFill>
                        <w14:solidFill>
                          <w14:schemeClr w14:val="tx1"/>
                        </w14:solidFill>
                      </w14:textFill>
                    </w:rPr>
                    <w:t>a</w:t>
                  </w:r>
                </w:p>
              </w:tc>
              <w:tc>
                <w:tcPr>
                  <w:tcW w:w="1119" w:type="pct"/>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413" w:type="pct"/>
                  <w:noWrap w:val="0"/>
                  <w:tcMar>
                    <w:top w:w="8" w:type="dxa"/>
                    <w:left w:w="8" w:type="dxa"/>
                    <w:right w:w="8"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DA001</w:t>
                  </w:r>
                </w:p>
              </w:tc>
              <w:tc>
                <w:tcPr>
                  <w:tcW w:w="464" w:type="pct"/>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非甲烷总烃</w:t>
                  </w:r>
                </w:p>
              </w:tc>
              <w:tc>
                <w:tcPr>
                  <w:tcW w:w="468" w:type="pct"/>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533" w:type="pct"/>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978" w:type="pct"/>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auto"/>
                      <w:sz w:val="21"/>
                      <w:szCs w:val="21"/>
                      <w:lang w:val="en-US" w:eastAsia="zh-CN"/>
                    </w:rPr>
                    <w:t>8.184</w:t>
                  </w:r>
                </w:p>
              </w:tc>
              <w:tc>
                <w:tcPr>
                  <w:tcW w:w="1022" w:type="pct"/>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auto"/>
                      <w:sz w:val="21"/>
                      <w:szCs w:val="21"/>
                      <w:lang w:val="en-US" w:eastAsia="zh-CN"/>
                    </w:rPr>
                    <w:t>0.</w:t>
                  </w:r>
                  <w:r>
                    <w:rPr>
                      <w:rFonts w:hint="eastAsia" w:cs="Times New Roman"/>
                      <w:b w:val="0"/>
                      <w:bCs w:val="0"/>
                      <w:color w:val="auto"/>
                      <w:sz w:val="21"/>
                      <w:szCs w:val="21"/>
                      <w:lang w:val="en-US" w:eastAsia="zh-CN"/>
                    </w:rPr>
                    <w:t>442</w:t>
                  </w:r>
                </w:p>
              </w:tc>
              <w:tc>
                <w:tcPr>
                  <w:tcW w:w="1119" w:type="pct"/>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立即停产检修</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由上表可知，非正常工况下，各污染物的排放浓度大大增加，对周边大气环境影响较大。建设单位应加强环保设备的运行管理，严格控制废气非正常排放，并采取以下措施：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①制定环保设备例行检查制度，加强定期维护保养，发现风机故障、损坏或排风管道破损时，应立即对设备或管道进行维修。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②定期检修废气治理设施，对活性炭进行更换，确保废气治理设施的正常运行。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③设环保管理专员，对环保管理人员及技术人员进行岗位培训，委托具有专业资质的环境检测单位对项目排放的各类废气污染物进行定期监测。</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jc w:val="left"/>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6</w:t>
            </w:r>
            <w:r>
              <w:rPr>
                <w:rFonts w:hint="default" w:ascii="Times New Roman" w:hAnsi="Times New Roman" w:cs="Times New Roman"/>
                <w:b/>
                <w:bCs/>
                <w:color w:val="000000" w:themeColor="text1"/>
                <w:sz w:val="24"/>
                <w:szCs w:val="24"/>
                <w14:textFill>
                  <w14:solidFill>
                    <w14:schemeClr w14:val="tx1"/>
                  </w14:solidFill>
                </w14:textFill>
              </w:rPr>
              <w:t>）大气环境影响分析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eastAsia="宋体"/>
                <w:bCs/>
                <w:color w:val="000000" w:themeColor="text1"/>
                <w:sz w:val="24"/>
                <w:szCs w:val="24"/>
                <w:lang w:val="en-US" w:eastAsia="zh-CN"/>
                <w14:textFill>
                  <w14:solidFill>
                    <w14:schemeClr w14:val="tx1"/>
                  </w14:solidFill>
                </w14:textFill>
              </w:rPr>
            </w:pPr>
            <w:r>
              <w:commentReference w:id="3"/>
            </w:r>
            <w:r>
              <w:rPr>
                <w:rFonts w:hint="eastAsia"/>
                <w:bCs/>
                <w:color w:val="000000" w:themeColor="text1"/>
                <w:sz w:val="24"/>
                <w:szCs w:val="24"/>
                <w:lang w:val="en-US" w:eastAsia="zh-CN"/>
                <w14:textFill>
                  <w14:solidFill>
                    <w14:schemeClr w14:val="tx1"/>
                  </w14:solidFill>
                </w14:textFill>
              </w:rPr>
              <w:t>生产废气</w:t>
            </w:r>
            <w:r>
              <w:rPr>
                <w:rFonts w:hint="eastAsia" w:ascii="Times New Roman" w:hAnsi="Times New Roman" w:eastAsia="宋体" w:cs="Times New Roman"/>
                <w:color w:val="000000"/>
                <w:sz w:val="24"/>
                <w:szCs w:val="24"/>
                <w:lang w:val="en-US" w:eastAsia="zh-CN"/>
              </w:rPr>
              <w:t>经集气罩收集，</w:t>
            </w:r>
            <w:r>
              <w:rPr>
                <w:rFonts w:hint="eastAsia" w:cs="Times New Roman"/>
                <w:color w:val="000000"/>
                <w:kern w:val="0"/>
                <w:sz w:val="24"/>
                <w:szCs w:val="24"/>
                <w:lang w:val="en-US" w:eastAsia="zh-CN" w:bidi="ar"/>
              </w:rPr>
              <w:t>通过喷淋塔降温后由二级活性炭吸附装置处理达标</w:t>
            </w:r>
            <w:r>
              <w:rPr>
                <w:rFonts w:hint="default" w:ascii="Times New Roman" w:hAnsi="Times New Roman" w:eastAsia="宋体" w:cs="Times New Roman"/>
                <w:color w:val="000000"/>
                <w:kern w:val="0"/>
                <w:sz w:val="24"/>
                <w:szCs w:val="24"/>
                <w:lang w:val="en-US" w:eastAsia="zh-CN" w:bidi="ar"/>
              </w:rPr>
              <w:t>后</w:t>
            </w:r>
            <w:r>
              <w:commentReference w:id="4"/>
            </w:r>
            <w:r>
              <w:rPr>
                <w:rFonts w:hint="eastAsia" w:ascii="Times New Roman" w:hAnsi="Times New Roman" w:eastAsia="宋体" w:cs="Times New Roman"/>
                <w:color w:val="000000"/>
                <w:sz w:val="24"/>
                <w:szCs w:val="24"/>
                <w:lang w:val="en-US" w:eastAsia="zh-CN"/>
              </w:rPr>
              <w:t>通过15m高排气筒</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rPr>
              <w:t>DA00</w:t>
            </w:r>
            <w:r>
              <w:rPr>
                <w:rFonts w:hint="eastAsia" w:cs="Times New Roman"/>
                <w:color w:val="000000"/>
                <w:sz w:val="24"/>
                <w:szCs w:val="24"/>
                <w:lang w:val="en-US" w:eastAsia="zh-CN"/>
              </w:rPr>
              <w:t>1</w:t>
            </w:r>
            <w:r>
              <w:rPr>
                <w:rFonts w:hint="eastAsia" w:ascii="Times New Roman" w:hAnsi="Times New Roman" w:eastAsia="宋体" w:cs="Times New Roman"/>
                <w:color w:val="000000"/>
                <w:sz w:val="24"/>
                <w:szCs w:val="24"/>
                <w:lang w:eastAsia="zh-CN"/>
              </w:rPr>
              <w:t>）</w:t>
            </w:r>
            <w:r>
              <w:rPr>
                <w:rFonts w:hint="default"/>
                <w:bCs/>
                <w:color w:val="000000" w:themeColor="text1"/>
                <w:sz w:val="24"/>
                <w:szCs w:val="24"/>
                <w14:textFill>
                  <w14:solidFill>
                    <w14:schemeClr w14:val="tx1"/>
                  </w14:solidFill>
                </w14:textFill>
              </w:rPr>
              <w:t>排放</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排放浓度达到</w:t>
            </w:r>
            <w:r>
              <w:rPr>
                <w:rFonts w:hint="default" w:ascii="Times New Roman" w:hAnsi="Times New Roman" w:cs="Times New Roman"/>
                <w:b w:val="0"/>
                <w:bCs w:val="0"/>
                <w:color w:val="auto"/>
                <w:sz w:val="24"/>
                <w:szCs w:val="24"/>
                <w:lang w:val="en-US" w:eastAsia="zh-CN"/>
              </w:rPr>
              <w:t>0.7365</w:t>
            </w:r>
            <w:r>
              <w:rPr>
                <w:rFonts w:hint="eastAsia"/>
                <w:sz w:val="24"/>
                <w:szCs w:val="32"/>
                <w:lang w:val="en-US" w:eastAsia="zh-CN"/>
              </w:rPr>
              <w:t>mg/m</w:t>
            </w:r>
            <w:r>
              <w:rPr>
                <w:rFonts w:hint="eastAsia"/>
                <w:sz w:val="24"/>
                <w:szCs w:val="32"/>
                <w:vertAlign w:val="superscript"/>
                <w:lang w:val="en-US" w:eastAsia="zh-CN"/>
              </w:rPr>
              <w:t>3</w:t>
            </w:r>
            <w:r>
              <w:rPr>
                <w:rFonts w:hint="eastAsia"/>
                <w:sz w:val="24"/>
                <w:szCs w:val="32"/>
                <w:lang w:val="en-US" w:eastAsia="zh-CN"/>
              </w:rPr>
              <w:t>，远小于</w:t>
            </w:r>
            <w:r>
              <w:rPr>
                <w:rFonts w:hint="eastAsia"/>
                <w:sz w:val="24"/>
                <w:szCs w:val="24"/>
                <w:lang w:eastAsia="zh-CN"/>
              </w:rPr>
              <w:t>《固定源挥发性有机物综合排放标准第6部分：其他行业》（DB34_4812.6-2024）表1中挥发性有机物基本污染物项目</w:t>
            </w:r>
            <w:r>
              <w:rPr>
                <w:rFonts w:hint="eastAsia"/>
                <w:sz w:val="24"/>
                <w:szCs w:val="24"/>
                <w:lang w:val="en-US" w:eastAsia="zh-CN"/>
              </w:rPr>
              <w:t>40</w:t>
            </w:r>
            <w:r>
              <w:rPr>
                <w:rFonts w:hint="eastAsia"/>
                <w:sz w:val="24"/>
                <w:szCs w:val="32"/>
                <w:lang w:val="en-US" w:eastAsia="zh-CN"/>
              </w:rPr>
              <w:t>mg/m</w:t>
            </w:r>
            <w:r>
              <w:rPr>
                <w:rFonts w:hint="eastAsia"/>
                <w:sz w:val="24"/>
                <w:szCs w:val="32"/>
                <w:vertAlign w:val="superscript"/>
                <w:lang w:val="en-US" w:eastAsia="zh-CN"/>
              </w:rPr>
              <w:t>3</w:t>
            </w:r>
            <w:r>
              <w:rPr>
                <w:rFonts w:hint="eastAsia"/>
                <w:sz w:val="24"/>
                <w:szCs w:val="32"/>
                <w:lang w:val="en-US" w:eastAsia="zh-CN"/>
              </w:rPr>
              <w:t>的</w:t>
            </w:r>
            <w:r>
              <w:rPr>
                <w:rFonts w:hint="eastAsia"/>
                <w:sz w:val="24"/>
                <w:szCs w:val="24"/>
                <w:lang w:eastAsia="zh-CN"/>
              </w:rPr>
              <w:t>排放限值。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eastAsia"/>
                <w:sz w:val="24"/>
                <w:szCs w:val="24"/>
                <w:lang w:eastAsia="zh-CN"/>
              </w:rPr>
              <w:t>非甲烷总烃有组织排放执行《固定源挥发性有机物综合排放标准第6部分：其他行业》（DB34_4812.6-2024）表1中挥发性有机物基本污染物项目排放限值，</w:t>
            </w:r>
            <w:r>
              <w:rPr>
                <w:rFonts w:hint="eastAsia"/>
                <w:sz w:val="24"/>
                <w:szCs w:val="24"/>
                <w:lang w:val="en-US" w:eastAsia="zh-CN"/>
              </w:rPr>
              <w:t>厂界非甲烷总烃排放执行《合成树脂工业污染物排放标准》（GB31572-2015）表9中企业边界大气污染物浓度限值，厂区内非甲烷总烃无组织排放执行《固定源挥发性有机物综合排放标准第6部分：其他行业》（DB 34_4812.6-2024）表4厂区内VOCs无组织排放限值要求。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项目</w:t>
            </w:r>
            <w:r>
              <w:rPr>
                <w:rFonts w:hint="default"/>
                <w:color w:val="000000" w:themeColor="text1"/>
                <w:sz w:val="24"/>
                <w:szCs w:val="24"/>
                <w14:textFill>
                  <w14:solidFill>
                    <w14:schemeClr w14:val="tx1"/>
                  </w14:solidFill>
                </w14:textFill>
              </w:rPr>
              <w:t>不会对区域大气环境质量产生明显不利影响，项目的建设不会降低区域大气环境质量功能</w:t>
            </w:r>
          </w:p>
          <w:p>
            <w:pPr>
              <w:keepNext w:val="0"/>
              <w:keepLines w:val="0"/>
              <w:pageBreakBefore w:val="0"/>
              <w:widowControl/>
              <w:suppressLineNumbers w:val="0"/>
              <w:kinsoku/>
              <w:wordWrap/>
              <w:overflowPunct/>
              <w:topLinePunct w:val="0"/>
              <w:bidi w:val="0"/>
              <w:spacing w:line="360" w:lineRule="auto"/>
              <w:ind w:firstLine="481" w:firstLineChars="200"/>
              <w:jc w:val="left"/>
              <w:rPr>
                <w:rFonts w:hint="default"/>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w:t>
            </w:r>
            <w:r>
              <w:rPr>
                <w:rFonts w:hint="eastAsia" w:cs="Times New Roman"/>
                <w:b/>
                <w:bCs/>
                <w:color w:val="000000" w:themeColor="text1"/>
                <w:kern w:val="2"/>
                <w:sz w:val="24"/>
                <w:szCs w:val="24"/>
                <w:lang w:val="en-US" w:eastAsia="zh-CN" w:bidi="ar-SA"/>
                <w14:textFill>
                  <w14:solidFill>
                    <w14:schemeClr w14:val="tx1"/>
                  </w14:solidFill>
                </w14:textFill>
              </w:rPr>
              <w:t>7</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）废气监测要求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baseline"/>
              <w:rPr>
                <w:rFonts w:hint="eastAsia" w:ascii="宋体" w:hAnsi="宋体" w:eastAsia="宋体" w:cs="宋体"/>
                <w:color w:val="000000"/>
                <w:kern w:val="0"/>
                <w:sz w:val="24"/>
                <w:szCs w:val="24"/>
                <w:lang w:val="en-US" w:eastAsia="zh-CN" w:bidi="ar"/>
              </w:rPr>
            </w:pPr>
            <w:r>
              <w:rPr>
                <w:rFonts w:hint="default" w:ascii="Times New Roman" w:hAnsi="Times New Roman" w:eastAsia="宋体" w:cs="Times New Roman"/>
                <w:color w:val="auto"/>
                <w:sz w:val="24"/>
                <w:szCs w:val="32"/>
                <w:u w:val="none"/>
              </w:rPr>
              <w:t>根据《排污单位自行监测技术指南 总则》（HJ819-2017）及《排污许可证申请与核发技术规范废弃资源加工工业》（HJ1034-2019）</w:t>
            </w:r>
            <w:r>
              <w:rPr>
                <w:rFonts w:hint="eastAsia" w:ascii="宋体" w:hAnsi="宋体" w:eastAsia="宋体" w:cs="宋体"/>
                <w:color w:val="000000"/>
                <w:kern w:val="0"/>
                <w:sz w:val="24"/>
                <w:szCs w:val="24"/>
                <w:lang w:val="en-US" w:eastAsia="zh-CN" w:bidi="ar"/>
              </w:rPr>
              <w:t>，本项目属于非重点排污单位，废气排放口类型为一般排放口，项目废气监测计划如下：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1" w:firstLineChars="200"/>
              <w:jc w:val="center"/>
              <w:textAlignment w:val="baseline"/>
              <w:rPr>
                <w:sz w:val="24"/>
                <w:szCs w:val="24"/>
                <w:vertAlign w:val="baseline"/>
              </w:rPr>
            </w:pPr>
            <w:r>
              <w:rPr>
                <w:rFonts w:hint="default" w:ascii="Times New Roman" w:hAnsi="Times New Roman" w:eastAsia="宋体" w:cs="Times New Roman"/>
                <w:b/>
                <w:color w:val="000000" w:themeColor="text1"/>
                <w:sz w:val="24"/>
                <w:szCs w:val="24"/>
                <w:u w:val="none" w:color="auto"/>
                <w14:textFill>
                  <w14:solidFill>
                    <w14:schemeClr w14:val="tx1"/>
                  </w14:solidFill>
                </w14:textFill>
              </w:rPr>
              <w:t>表</w:t>
            </w:r>
            <w:r>
              <w:rPr>
                <w:rFonts w:hint="default" w:ascii="Times New Roman" w:hAnsi="Times New Roman" w:eastAsia="宋体" w:cs="Times New Roman"/>
                <w:b/>
                <w:color w:val="000000" w:themeColor="text1"/>
                <w:sz w:val="24"/>
                <w:szCs w:val="24"/>
                <w:u w:val="none" w:color="auto"/>
                <w:lang w:val="en-US" w:eastAsia="zh-CN"/>
                <w14:textFill>
                  <w14:solidFill>
                    <w14:schemeClr w14:val="tx1"/>
                  </w14:solidFill>
                </w14:textFill>
              </w:rPr>
              <w:t>4.</w:t>
            </w:r>
            <w:r>
              <w:rPr>
                <w:rFonts w:hint="default" w:ascii="Times New Roman" w:hAnsi="Times New Roman" w:cs="Times New Roman"/>
                <w:b/>
                <w:color w:val="000000" w:themeColor="text1"/>
                <w:sz w:val="24"/>
                <w:szCs w:val="24"/>
                <w:u w:val="none" w:color="auto"/>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u w:val="none" w:color="auto"/>
                <w14:textFill>
                  <w14:solidFill>
                    <w14:schemeClr w14:val="tx1"/>
                  </w14:solidFill>
                </w14:textFill>
              </w:rPr>
              <w:t>本项目废气监测</w:t>
            </w:r>
            <w:r>
              <w:rPr>
                <w:rFonts w:hint="default" w:ascii="Times New Roman" w:hAnsi="Times New Roman" w:eastAsia="宋体" w:cs="Times New Roman"/>
                <w:b/>
                <w:color w:val="000000" w:themeColor="text1"/>
                <w:sz w:val="24"/>
                <w:szCs w:val="24"/>
                <w:u w:val="none" w:color="auto"/>
                <w:lang w:val="en-US" w:eastAsia="zh-CN"/>
                <w14:textFill>
                  <w14:solidFill>
                    <w14:schemeClr w14:val="tx1"/>
                  </w14:solidFill>
                </w14:textFill>
              </w:rPr>
              <w:t>计划表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194"/>
              <w:gridCol w:w="765"/>
              <w:gridCol w:w="717"/>
              <w:gridCol w:w="5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vertAlign w:val="baseline"/>
                    </w:rPr>
                  </w:pPr>
                  <w:r>
                    <w:rPr>
                      <w:rFonts w:hint="default" w:ascii="Times New Roman" w:hAnsi="Times New Roman" w:eastAsia="宋体" w:cs="Times New Roman"/>
                      <w:b/>
                      <w:bCs/>
                      <w:color w:val="000000"/>
                      <w:kern w:val="0"/>
                      <w:sz w:val="21"/>
                      <w:szCs w:val="21"/>
                      <w:lang w:val="en-US" w:eastAsia="zh-CN" w:bidi="ar"/>
                    </w:rPr>
                    <w:t>类别</w:t>
                  </w:r>
                </w:p>
              </w:tc>
              <w:tc>
                <w:tcPr>
                  <w:tcW w:w="70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vertAlign w:val="baseline"/>
                    </w:rPr>
                  </w:pPr>
                  <w:r>
                    <w:rPr>
                      <w:rFonts w:hint="default" w:ascii="Times New Roman" w:hAnsi="Times New Roman" w:eastAsia="宋体" w:cs="Times New Roman"/>
                      <w:b/>
                      <w:bCs/>
                      <w:color w:val="000000"/>
                      <w:kern w:val="0"/>
                      <w:sz w:val="21"/>
                      <w:szCs w:val="21"/>
                      <w:lang w:val="en-US" w:eastAsia="zh-CN" w:bidi="ar"/>
                    </w:rPr>
                    <w:t>监测点位</w:t>
                  </w:r>
                </w:p>
              </w:tc>
              <w:tc>
                <w:tcPr>
                  <w:tcW w:w="45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vertAlign w:val="baseline"/>
                    </w:rPr>
                  </w:pPr>
                  <w:r>
                    <w:rPr>
                      <w:rFonts w:hint="default" w:ascii="Times New Roman" w:hAnsi="Times New Roman" w:eastAsia="宋体" w:cs="Times New Roman"/>
                      <w:b/>
                      <w:bCs/>
                      <w:color w:val="000000"/>
                      <w:kern w:val="0"/>
                      <w:sz w:val="21"/>
                      <w:szCs w:val="21"/>
                      <w:lang w:val="en-US" w:eastAsia="zh-CN" w:bidi="ar"/>
                    </w:rPr>
                    <w:t>监测指标</w:t>
                  </w:r>
                </w:p>
              </w:tc>
              <w:tc>
                <w:tcPr>
                  <w:tcW w:w="42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vertAlign w:val="baseline"/>
                    </w:rPr>
                  </w:pPr>
                  <w:r>
                    <w:rPr>
                      <w:rFonts w:hint="default" w:ascii="Times New Roman" w:hAnsi="Times New Roman" w:eastAsia="宋体" w:cs="Times New Roman"/>
                      <w:b/>
                      <w:bCs/>
                      <w:color w:val="000000"/>
                      <w:kern w:val="0"/>
                      <w:sz w:val="21"/>
                      <w:szCs w:val="21"/>
                      <w:lang w:val="en-US" w:eastAsia="zh-CN" w:bidi="ar"/>
                    </w:rPr>
                    <w:t>监测频次</w:t>
                  </w:r>
                </w:p>
              </w:tc>
              <w:tc>
                <w:tcPr>
                  <w:tcW w:w="30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vertAlign w:val="baseline"/>
                    </w:rPr>
                  </w:pPr>
                  <w:r>
                    <w:rPr>
                      <w:rFonts w:hint="default" w:ascii="Times New Roman" w:hAnsi="Times New Roman" w:eastAsia="宋体" w:cs="Times New Roman"/>
                      <w:b/>
                      <w:bCs/>
                      <w:color w:val="000000"/>
                      <w:kern w:val="0"/>
                      <w:sz w:val="21"/>
                      <w:szCs w:val="21"/>
                      <w:lang w:val="en-US" w:eastAsia="zh-CN" w:bidi="ar"/>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有组织废气</w:t>
                  </w:r>
                </w:p>
              </w:tc>
              <w:tc>
                <w:tcPr>
                  <w:tcW w:w="70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排气筒（DA001）</w:t>
                  </w:r>
                </w:p>
              </w:tc>
              <w:tc>
                <w:tcPr>
                  <w:tcW w:w="451"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非甲烷总烃</w:t>
                  </w:r>
                </w:p>
              </w:tc>
              <w:tc>
                <w:tcPr>
                  <w:tcW w:w="423"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1次/半年</w:t>
                  </w:r>
                </w:p>
              </w:tc>
              <w:tc>
                <w:tcPr>
                  <w:tcW w:w="30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lang w:eastAsia="zh-CN"/>
                    </w:rPr>
                    <w:t>《固定源挥发性有机物综合排放标准第6部分：其他行业》(DB34_4812.6-2024)表1中挥发性有机物基本污染物项目排放限值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无组织废气</w:t>
                  </w:r>
                </w:p>
              </w:tc>
              <w:tc>
                <w:tcPr>
                  <w:tcW w:w="70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厂界</w:t>
                  </w:r>
                </w:p>
              </w:tc>
              <w:tc>
                <w:tcPr>
                  <w:tcW w:w="451"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非甲烷总烃</w:t>
                  </w:r>
                </w:p>
              </w:tc>
              <w:tc>
                <w:tcPr>
                  <w:tcW w:w="423"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1次/年</w:t>
                  </w:r>
                </w:p>
              </w:tc>
              <w:tc>
                <w:tcPr>
                  <w:tcW w:w="30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lang w:val="en-US" w:eastAsia="zh-CN"/>
                    </w:rPr>
                    <w:t>《合成树脂工业污染物排放标准》(GB31572-2015）表9中企业边界大气污染物浓度限值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p>
              </w:tc>
              <w:tc>
                <w:tcPr>
                  <w:tcW w:w="70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厂区内</w:t>
                  </w:r>
                </w:p>
              </w:tc>
              <w:tc>
                <w:tcPr>
                  <w:tcW w:w="451"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p>
              </w:tc>
              <w:tc>
                <w:tcPr>
                  <w:tcW w:w="423"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p>
              </w:tc>
              <w:tc>
                <w:tcPr>
                  <w:tcW w:w="30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lang w:val="en-US" w:eastAsia="zh-CN"/>
                    </w:rPr>
                    <w:t>《固定源挥发性有机物综合排放标准第6部分：其他行业》(DB 34_4812.6-2024）表4厂区内VOCs无组织排放限值要求</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p>
        </w:tc>
      </w:tr>
    </w:tbl>
    <w:p>
      <w:p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3"/>
        <w:tblW w:w="535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07"/>
        <w:gridCol w:w="163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73" w:hRule="atLeast"/>
          <w:jc w:val="center"/>
        </w:trPr>
        <w:tc>
          <w:tcPr>
            <w:tcW w:w="106" w:type="pct"/>
            <w:noWrap w:val="0"/>
            <w:tcMar>
              <w:left w:w="28" w:type="dxa"/>
              <w:right w:w="28" w:type="dxa"/>
            </w:tcMar>
            <w:vAlign w:val="center"/>
          </w:tcPr>
          <w:p>
            <w:pPr>
              <w:pStyle w:val="32"/>
              <w:keepNext w:val="0"/>
              <w:keepLines w:val="0"/>
              <w:suppressLineNumbers w:val="0"/>
              <w:spacing w:before="0" w:after="0"/>
              <w:ind w:left="0" w:right="0"/>
              <w:jc w:val="center"/>
              <w:rPr>
                <w:rFonts w:hint="default" w:ascii="Times New Roman" w:hAnsi="Times New Roman" w:cs="Times New Roman"/>
                <w:b/>
                <w:bCs/>
                <w:color w:val="auto"/>
                <w:lang w:val="en-US" w:eastAsia="zh-CN"/>
              </w:rPr>
            </w:pPr>
          </w:p>
        </w:tc>
        <w:tc>
          <w:tcPr>
            <w:tcW w:w="4893" w:type="pct"/>
            <w:noWrap w:val="0"/>
            <w:vAlign w:val="top"/>
          </w:tcPr>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2、废水</w:t>
            </w:r>
          </w:p>
          <w:p>
            <w:pPr>
              <w:keepNext w:val="0"/>
              <w:keepLines w:val="0"/>
              <w:suppressLineNumbers w:val="0"/>
              <w:spacing w:before="0" w:beforeAutospacing="0" w:after="0" w:afterAutospacing="0" w:line="360" w:lineRule="auto"/>
              <w:ind w:left="0" w:right="0" w:firstLine="481"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（1）废水污染源情况</w:t>
            </w:r>
          </w:p>
          <w:p>
            <w:pPr>
              <w:pStyle w:val="9"/>
              <w:keepNext w:val="0"/>
              <w:keepLines w:val="0"/>
              <w:suppressLineNumbers w:val="0"/>
              <w:spacing w:before="0" w:beforeAutospacing="0" w:after="0" w:afterAutospacing="0"/>
              <w:ind w:right="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表4</w:t>
            </w:r>
            <w:r>
              <w:rPr>
                <w:rFonts w:hint="default" w:ascii="Times New Roman" w:hAnsi="Times New Roman" w:cs="Times New Roman"/>
                <w:b/>
                <w:bCs/>
                <w:color w:val="auto"/>
                <w:sz w:val="24"/>
                <w:szCs w:val="24"/>
                <w:lang w:val="en-US" w:eastAsia="zh-CN"/>
              </w:rPr>
              <w:t>.</w:t>
            </w:r>
            <w:r>
              <w:rPr>
                <w:rFonts w:hint="eastAsia" w:cs="Times New Roman"/>
                <w:b/>
                <w:bCs/>
                <w:color w:val="auto"/>
                <w:sz w:val="24"/>
                <w:szCs w:val="24"/>
                <w:lang w:val="en-US" w:eastAsia="zh-CN"/>
              </w:rPr>
              <w:t>5</w:t>
            </w:r>
            <w:r>
              <w:rPr>
                <w:rFonts w:hint="default" w:ascii="Times New Roman" w:hAnsi="Times New Roman" w:cs="Times New Roman"/>
                <w:b/>
                <w:bCs/>
                <w:color w:val="auto"/>
                <w:sz w:val="24"/>
                <w:szCs w:val="24"/>
              </w:rPr>
              <w:t>废水污染源产生、排放汇总表</w:t>
            </w:r>
          </w:p>
          <w:tbl>
            <w:tblPr>
              <w:tblStyle w:val="33"/>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427"/>
              <w:gridCol w:w="1266"/>
              <w:gridCol w:w="857"/>
              <w:gridCol w:w="951"/>
              <w:gridCol w:w="796"/>
              <w:gridCol w:w="1085"/>
              <w:gridCol w:w="764"/>
              <w:gridCol w:w="427"/>
              <w:gridCol w:w="484"/>
              <w:gridCol w:w="427"/>
              <w:gridCol w:w="951"/>
              <w:gridCol w:w="796"/>
              <w:gridCol w:w="1085"/>
              <w:gridCol w:w="427"/>
              <w:gridCol w:w="427"/>
              <w:gridCol w:w="636"/>
              <w:gridCol w:w="987"/>
              <w:gridCol w:w="427"/>
              <w:gridCol w:w="2089"/>
              <w:gridCol w:w="7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148"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产排污环节</w:t>
                  </w:r>
                </w:p>
              </w:tc>
              <w:tc>
                <w:tcPr>
                  <w:tcW w:w="439"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类别</w:t>
                  </w:r>
                </w:p>
              </w:tc>
              <w:tc>
                <w:tcPr>
                  <w:tcW w:w="280"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污染物</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种类</w:t>
                  </w:r>
                </w:p>
              </w:tc>
              <w:tc>
                <w:tcPr>
                  <w:tcW w:w="828" w:type="pct"/>
                  <w:gridSpan w:val="3"/>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污染物产生量和浓度</w:t>
                  </w:r>
                </w:p>
              </w:tc>
              <w:tc>
                <w:tcPr>
                  <w:tcW w:w="664" w:type="pct"/>
                  <w:gridSpan w:val="4"/>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污染治理设施</w:t>
                  </w:r>
                </w:p>
              </w:tc>
              <w:tc>
                <w:tcPr>
                  <w:tcW w:w="828" w:type="pct"/>
                  <w:gridSpan w:val="3"/>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污染物排放量和浓度</w:t>
                  </w:r>
                </w:p>
              </w:tc>
              <w:tc>
                <w:tcPr>
                  <w:tcW w:w="1570" w:type="pct"/>
                  <w:gridSpan w:val="6"/>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排放口基本情况</w:t>
                  </w: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 w:hRule="atLeast"/>
              </w:trPr>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439"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280"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p>
              </w:tc>
              <w:tc>
                <w:tcPr>
                  <w:tcW w:w="27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废水量</w:t>
                  </w: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产生浓度</w:t>
                  </w:r>
                </w:p>
              </w:tc>
              <w:tc>
                <w:tcPr>
                  <w:tcW w:w="3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产生量</w:t>
                  </w:r>
                </w:p>
              </w:tc>
              <w:tc>
                <w:tcPr>
                  <w:tcW w:w="22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处理能力</w:t>
                  </w:r>
                </w:p>
              </w:tc>
              <w:tc>
                <w:tcPr>
                  <w:tcW w:w="148"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主要治理工艺</w:t>
                  </w:r>
                </w:p>
              </w:tc>
              <w:tc>
                <w:tcPr>
                  <w:tcW w:w="1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去除效率</w:t>
                  </w:r>
                </w:p>
              </w:tc>
              <w:tc>
                <w:tcPr>
                  <w:tcW w:w="148"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是否可行技术</w:t>
                  </w:r>
                </w:p>
              </w:tc>
              <w:tc>
                <w:tcPr>
                  <w:tcW w:w="27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废水量</w:t>
                  </w: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排放浓度</w:t>
                  </w:r>
                </w:p>
              </w:tc>
              <w:tc>
                <w:tcPr>
                  <w:tcW w:w="3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排放量</w:t>
                  </w:r>
                </w:p>
              </w:tc>
              <w:tc>
                <w:tcPr>
                  <w:tcW w:w="1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排放</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方式</w:t>
                  </w:r>
                </w:p>
              </w:tc>
              <w:tc>
                <w:tcPr>
                  <w:tcW w:w="1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排放去向</w:t>
                  </w:r>
                </w:p>
              </w:tc>
              <w:tc>
                <w:tcPr>
                  <w:tcW w:w="22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排放规律</w:t>
                  </w:r>
                </w:p>
              </w:tc>
              <w:tc>
                <w:tcPr>
                  <w:tcW w:w="3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排放编号及名称</w:t>
                  </w:r>
                </w:p>
              </w:tc>
              <w:tc>
                <w:tcPr>
                  <w:tcW w:w="1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排放口类型</w:t>
                  </w:r>
                </w:p>
              </w:tc>
              <w:tc>
                <w:tcPr>
                  <w:tcW w:w="599"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地理</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坐标</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浓度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 w:hRule="atLeast"/>
              </w:trPr>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439"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280" w:type="pct"/>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7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w:t>
                  </w:r>
                  <w:r>
                    <w:rPr>
                      <w:rStyle w:val="83"/>
                      <w:rFonts w:hint="default" w:ascii="Times New Roman" w:hAnsi="Times New Roman" w:eastAsia="宋体" w:cs="Times New Roman"/>
                      <w:sz w:val="21"/>
                      <w:szCs w:val="21"/>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/a</w:t>
                  </w: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mg/L</w:t>
                  </w:r>
                </w:p>
              </w:tc>
              <w:tc>
                <w:tcPr>
                  <w:tcW w:w="3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t/a</w:t>
                  </w:r>
                </w:p>
              </w:tc>
              <w:tc>
                <w:tcPr>
                  <w:tcW w:w="22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w:t>
                  </w:r>
                  <w:r>
                    <w:rPr>
                      <w:rStyle w:val="83"/>
                      <w:rFonts w:hint="default" w:ascii="Times New Roman" w:hAnsi="Times New Roman" w:eastAsia="宋体" w:cs="Times New Roman"/>
                      <w:sz w:val="21"/>
                      <w:szCs w:val="21"/>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/d</w:t>
                  </w: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1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w:t>
                  </w: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000000"/>
                      <w:sz w:val="21"/>
                      <w:szCs w:val="21"/>
                      <w:u w:val="none"/>
                    </w:rPr>
                  </w:pPr>
                </w:p>
              </w:tc>
              <w:tc>
                <w:tcPr>
                  <w:tcW w:w="27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w:t>
                  </w:r>
                  <w:r>
                    <w:rPr>
                      <w:rStyle w:val="83"/>
                      <w:rFonts w:hint="default" w:ascii="Times New Roman" w:hAnsi="Times New Roman" w:eastAsia="宋体" w:cs="Times New Roman"/>
                      <w:sz w:val="21"/>
                      <w:szCs w:val="21"/>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/a</w:t>
                  </w: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mg/L</w:t>
                  </w:r>
                </w:p>
              </w:tc>
              <w:tc>
                <w:tcPr>
                  <w:tcW w:w="3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t/a</w:t>
                  </w:r>
                </w:p>
              </w:tc>
              <w:tc>
                <w:tcPr>
                  <w:tcW w:w="1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w:t>
                  </w:r>
                </w:p>
              </w:tc>
              <w:tc>
                <w:tcPr>
                  <w:tcW w:w="1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w:t>
                  </w:r>
                </w:p>
              </w:tc>
              <w:tc>
                <w:tcPr>
                  <w:tcW w:w="22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w:t>
                  </w:r>
                </w:p>
              </w:tc>
              <w:tc>
                <w:tcPr>
                  <w:tcW w:w="3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w:t>
                  </w:r>
                </w:p>
              </w:tc>
              <w:tc>
                <w:tcPr>
                  <w:tcW w:w="1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w:t>
                  </w:r>
                </w:p>
              </w:tc>
              <w:tc>
                <w:tcPr>
                  <w:tcW w:w="599"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mg/L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 w:hRule="atLeast"/>
              </w:trPr>
              <w:tc>
                <w:tcPr>
                  <w:tcW w:w="148"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员工生活</w:t>
                  </w:r>
                </w:p>
              </w:tc>
              <w:tc>
                <w:tcPr>
                  <w:tcW w:w="439"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生</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活</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污</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w:t>
                  </w:r>
                </w:p>
              </w:tc>
              <w:tc>
                <w:tcPr>
                  <w:tcW w:w="2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275"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126.72</w:t>
                  </w: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3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20"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48"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lang w:val="en-US" w:eastAsia="zh-CN"/>
                    </w:rPr>
                    <w:t>化粪池</w:t>
                  </w:r>
                </w:p>
              </w:tc>
              <w:tc>
                <w:tcPr>
                  <w:tcW w:w="1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48"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275"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126.72</w:t>
                  </w: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3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48"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间接排放</w:t>
                  </w:r>
                </w:p>
              </w:tc>
              <w:tc>
                <w:tcPr>
                  <w:tcW w:w="148"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金寨现代产业园污水处理厂</w:t>
                  </w:r>
                </w:p>
              </w:tc>
              <w:tc>
                <w:tcPr>
                  <w:tcW w:w="220"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间断排放，排放期间流量不稳定，但有周期性规律</w:t>
                  </w:r>
                </w:p>
              </w:tc>
              <w:tc>
                <w:tcPr>
                  <w:tcW w:w="305"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DW001</w:t>
                  </w:r>
                </w:p>
              </w:tc>
              <w:tc>
                <w:tcPr>
                  <w:tcW w:w="148"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一般排放口</w:t>
                  </w:r>
                </w:p>
              </w:tc>
              <w:tc>
                <w:tcPr>
                  <w:tcW w:w="599"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aps w:val="0"/>
                      <w:color w:val="000000"/>
                      <w:spacing w:val="0"/>
                      <w:sz w:val="21"/>
                      <w:szCs w:val="21"/>
                      <w:shd w:val="clear" w:fill="FFFFFF"/>
                    </w:rPr>
                  </w:pPr>
                  <w:r>
                    <w:rPr>
                      <w:rFonts w:hint="default" w:ascii="Times New Roman" w:hAnsi="Times New Roman" w:eastAsia="宋体" w:cs="Times New Roman"/>
                      <w:i w:val="0"/>
                      <w:iCs w:val="0"/>
                      <w:caps w:val="0"/>
                      <w:color w:val="000000"/>
                      <w:spacing w:val="0"/>
                      <w:sz w:val="21"/>
                      <w:szCs w:val="21"/>
                      <w:shd w:val="clear" w:fill="FFFFFF"/>
                    </w:rPr>
                    <w:t>115°59'47.995"</w:t>
                  </w:r>
                  <w:r>
                    <w:rPr>
                      <w:rFonts w:hint="default" w:ascii="Times New Roman" w:hAnsi="Times New Roman" w:eastAsia="宋体" w:cs="Times New Roman"/>
                      <w:i w:val="0"/>
                      <w:iCs w:val="0"/>
                      <w:color w:val="00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aps w:val="0"/>
                      <w:color w:val="000000"/>
                      <w:spacing w:val="0"/>
                      <w:sz w:val="21"/>
                      <w:szCs w:val="21"/>
                      <w:shd w:val="clear" w:fill="FFFFFF"/>
                    </w:rPr>
                  </w:pPr>
                  <w:r>
                    <w:rPr>
                      <w:rFonts w:hint="default" w:ascii="Times New Roman" w:hAnsi="Times New Roman" w:eastAsia="宋体" w:cs="Times New Roman"/>
                      <w:i w:val="0"/>
                      <w:iCs w:val="0"/>
                      <w:caps w:val="0"/>
                      <w:color w:val="000000"/>
                      <w:spacing w:val="0"/>
                      <w:sz w:val="21"/>
                      <w:szCs w:val="21"/>
                      <w:shd w:val="clear" w:fill="FFFFFF"/>
                    </w:rPr>
                    <w:t>31°45'57</w:t>
                  </w:r>
                  <w:r>
                    <w:rPr>
                      <w:rFonts w:hint="default" w:ascii="Times New Roman" w:hAnsi="Times New Roman" w:eastAsia="宋体" w:cs="Times New Roman"/>
                      <w:i w:val="0"/>
                      <w:iCs w:val="0"/>
                      <w:caps w:val="0"/>
                      <w:color w:val="000000"/>
                      <w:spacing w:val="0"/>
                      <w:sz w:val="21"/>
                      <w:szCs w:val="21"/>
                      <w:shd w:val="clear" w:fill="FFFFFF"/>
                      <w:lang w:val="en-US" w:eastAsia="zh-CN"/>
                    </w:rPr>
                    <w:t>.</w:t>
                  </w:r>
                  <w:r>
                    <w:rPr>
                      <w:rFonts w:hint="default" w:ascii="Times New Roman" w:hAnsi="Times New Roman" w:eastAsia="宋体" w:cs="Times New Roman"/>
                      <w:i w:val="0"/>
                      <w:iCs w:val="0"/>
                      <w:caps w:val="0"/>
                      <w:color w:val="000000"/>
                      <w:spacing w:val="0"/>
                      <w:sz w:val="21"/>
                      <w:szCs w:val="21"/>
                      <w:shd w:val="clear" w:fill="FFFFFF"/>
                    </w:rPr>
                    <w:t>58</w:t>
                  </w:r>
                  <w:r>
                    <w:rPr>
                      <w:rFonts w:hint="eastAsia" w:cs="Times New Roman"/>
                      <w:i w:val="0"/>
                      <w:iCs w:val="0"/>
                      <w:caps w:val="0"/>
                      <w:color w:val="000000"/>
                      <w:spacing w:val="0"/>
                      <w:sz w:val="21"/>
                      <w:szCs w:val="21"/>
                      <w:shd w:val="clear" w:fill="FFFFFF"/>
                      <w:lang w:val="en-US" w:eastAsia="zh-CN"/>
                    </w:rPr>
                    <w:t>2</w:t>
                  </w:r>
                  <w:r>
                    <w:rPr>
                      <w:rFonts w:hint="default" w:ascii="Times New Roman" w:hAnsi="Times New Roman" w:eastAsia="宋体" w:cs="Times New Roman"/>
                      <w:i w:val="0"/>
                      <w:iCs w:val="0"/>
                      <w:caps w:val="0"/>
                      <w:color w:val="000000"/>
                      <w:spacing w:val="0"/>
                      <w:sz w:val="21"/>
                      <w:szCs w:val="21"/>
                      <w:shd w:val="clear" w:fill="FFFFFF"/>
                    </w:rPr>
                    <w:t>"</w:t>
                  </w:r>
                </w:p>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 w:hRule="atLeast"/>
              </w:trPr>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439"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p>
              </w:tc>
              <w:tc>
                <w:tcPr>
                  <w:tcW w:w="2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27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320</w:t>
                  </w:r>
                </w:p>
              </w:tc>
              <w:tc>
                <w:tcPr>
                  <w:tcW w:w="3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0.041</w:t>
                  </w:r>
                </w:p>
              </w:tc>
              <w:tc>
                <w:tcPr>
                  <w:tcW w:w="22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48" w:type="pct"/>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r>
                    <w:rPr>
                      <w:rFonts w:hint="eastAsia" w:cs="Times New Roman"/>
                      <w:color w:val="auto"/>
                      <w:kern w:val="2"/>
                      <w:sz w:val="21"/>
                      <w:szCs w:val="24"/>
                      <w:lang w:val="en-US" w:eastAsia="zh-CN" w:bidi="ar-SA"/>
                    </w:rPr>
                    <w:t>75</w:t>
                  </w: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7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272</w:t>
                  </w:r>
                </w:p>
              </w:tc>
              <w:tc>
                <w:tcPr>
                  <w:tcW w:w="3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0.034</w:t>
                  </w: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2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0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599"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 w:hRule="atLeast"/>
              </w:trPr>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439"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p>
              </w:tc>
              <w:tc>
                <w:tcPr>
                  <w:tcW w:w="2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p>
              </w:tc>
              <w:tc>
                <w:tcPr>
                  <w:tcW w:w="27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3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0.023</w:t>
                  </w:r>
                </w:p>
              </w:tc>
              <w:tc>
                <w:tcPr>
                  <w:tcW w:w="22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48" w:type="pct"/>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65</w:t>
                  </w: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7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3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0.018</w:t>
                  </w: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2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0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599" w:type="pct"/>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cs="Times New Roman"/>
                      <w:i w:val="0"/>
                      <w:iCs w:val="0"/>
                      <w:color w:val="000000"/>
                      <w:kern w:val="0"/>
                      <w:sz w:val="21"/>
                      <w:szCs w:val="21"/>
                      <w:u w:val="none"/>
                      <w:lang w:val="en-US" w:eastAsia="zh-CN" w:bidi="ar"/>
                    </w:rPr>
                    <w:t>180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 w:hRule="atLeast"/>
              </w:trPr>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439"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p>
              </w:tc>
              <w:tc>
                <w:tcPr>
                  <w:tcW w:w="2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27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3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0.025</w:t>
                  </w:r>
                </w:p>
              </w:tc>
              <w:tc>
                <w:tcPr>
                  <w:tcW w:w="22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48" w:type="pct"/>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96</w:t>
                  </w: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7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3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0.015</w:t>
                  </w: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2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0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599" w:type="pct"/>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cs="Times New Roman"/>
                      <w:i w:val="0"/>
                      <w:iCs w:val="0"/>
                      <w:color w:val="000000"/>
                      <w:kern w:val="0"/>
                      <w:sz w:val="21"/>
                      <w:szCs w:val="21"/>
                      <w:u w:val="none"/>
                      <w:lang w:val="en-US" w:eastAsia="zh-CN" w:bidi="ar"/>
                    </w:rPr>
                    <w:t>280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120" w:hRule="atLeast"/>
              </w:trPr>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439" w:type="pct"/>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w:t>
                  </w:r>
                </w:p>
              </w:tc>
              <w:tc>
                <w:tcPr>
                  <w:tcW w:w="27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3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22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48" w:type="pct"/>
                  <w:tcBorders>
                    <w:tl2br w:val="nil"/>
                    <w:tr2bl w:val="nil"/>
                  </w:tcBorders>
                  <w:shd w:val="clear" w:color="auto" w:fill="auto"/>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r>
                    <w:rPr>
                      <w:rFonts w:hint="eastAsia" w:cs="Times New Roman"/>
                      <w:color w:val="auto"/>
                      <w:kern w:val="2"/>
                      <w:sz w:val="21"/>
                      <w:szCs w:val="24"/>
                      <w:lang w:val="en-US" w:eastAsia="zh-CN" w:bidi="ar-SA"/>
                    </w:rPr>
                    <w:t>75</w:t>
                  </w: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7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19.4</w:t>
                  </w:r>
                </w:p>
              </w:tc>
              <w:tc>
                <w:tcPr>
                  <w:tcW w:w="3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2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30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1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599" w:type="pct"/>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sz w:val="21"/>
                      <w:szCs w:val="21"/>
                      <w:u w:val="none"/>
                    </w:rPr>
                  </w:pPr>
                </w:p>
              </w:tc>
              <w:tc>
                <w:tcPr>
                  <w:tcW w:w="2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cs="Times New Roman"/>
                      <w:i w:val="0"/>
                      <w:iCs w:val="0"/>
                      <w:color w:val="000000"/>
                      <w:kern w:val="0"/>
                      <w:sz w:val="21"/>
                      <w:szCs w:val="21"/>
                      <w:u w:val="none"/>
                      <w:lang w:val="en-US" w:eastAsia="zh-CN" w:bidi="ar"/>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120" w:hRule="atLeast"/>
              </w:trPr>
              <w:tc>
                <w:tcPr>
                  <w:tcW w:w="148" w:type="pct"/>
                  <w:vMerge w:val="restar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r>
                    <w:rPr>
                      <w:rFonts w:hint="eastAsia" w:cs="Times New Roman"/>
                      <w:color w:val="auto"/>
                      <w:kern w:val="2"/>
                      <w:sz w:val="21"/>
                      <w:szCs w:val="18"/>
                      <w:highlight w:val="none"/>
                      <w:lang w:val="en-US" w:eastAsia="zh-CN" w:bidi="ar-SA"/>
                    </w:rPr>
                    <w:t>项目生产</w:t>
                  </w:r>
                </w:p>
              </w:tc>
              <w:tc>
                <w:tcPr>
                  <w:tcW w:w="439" w:type="pct"/>
                  <w:vMerge w:val="restart"/>
                  <w:tcBorders>
                    <w:tl2br w:val="nil"/>
                    <w:tr2bl w:val="nil"/>
                  </w:tcBorders>
                  <w:shd w:val="clear" w:color="auto" w:fill="auto"/>
                  <w:noWrap/>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r>
                    <w:rPr>
                      <w:rFonts w:hint="eastAsia" w:cs="Times New Roman"/>
                      <w:color w:val="auto"/>
                      <w:kern w:val="2"/>
                      <w:sz w:val="21"/>
                      <w:szCs w:val="18"/>
                      <w:highlight w:val="none"/>
                      <w:lang w:val="en-US" w:eastAsia="zh-CN" w:bidi="ar-SA"/>
                    </w:rPr>
                    <w:t>冷却循环水</w:t>
                  </w:r>
                </w:p>
              </w:tc>
              <w:tc>
                <w:tcPr>
                  <w:tcW w:w="280" w:type="pc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olor w:val="auto"/>
                      <w:sz w:val="21"/>
                      <w:szCs w:val="18"/>
                      <w:lang w:val="en-US" w:eastAsia="zh-CN"/>
                    </w:rPr>
                    <w:t>COD</w:t>
                  </w:r>
                </w:p>
              </w:tc>
              <w:tc>
                <w:tcPr>
                  <w:tcW w:w="275" w:type="pct"/>
                  <w:vMerge w:val="restar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lang w:val="en-US"/>
                    </w:rPr>
                  </w:pPr>
                  <w:r>
                    <w:rPr>
                      <w:rFonts w:hint="eastAsia"/>
                      <w:color w:val="auto"/>
                      <w:sz w:val="21"/>
                      <w:szCs w:val="18"/>
                      <w:lang w:val="en-US" w:eastAsia="zh-CN"/>
                    </w:rPr>
                    <w:t>0.4</w:t>
                  </w:r>
                </w:p>
              </w:tc>
              <w:tc>
                <w:tcPr>
                  <w:tcW w:w="241" w:type="pc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olor w:val="auto"/>
                      <w:sz w:val="21"/>
                      <w:szCs w:val="18"/>
                      <w:lang w:val="en-US" w:eastAsia="zh-CN"/>
                    </w:rPr>
                    <w:t>200</w:t>
                  </w:r>
                </w:p>
              </w:tc>
              <w:tc>
                <w:tcPr>
                  <w:tcW w:w="311" w:type="pc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olor w:val="auto"/>
                      <w:sz w:val="21"/>
                      <w:szCs w:val="18"/>
                      <w:lang w:val="en-US" w:eastAsia="zh-CN"/>
                    </w:rPr>
                    <w:t>0.00008</w:t>
                  </w:r>
                </w:p>
              </w:tc>
              <w:tc>
                <w:tcPr>
                  <w:tcW w:w="220" w:type="pc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r>
                    <w:rPr>
                      <w:rFonts w:hint="eastAsia" w:cs="Times New Roman"/>
                      <w:color w:val="auto"/>
                      <w:kern w:val="2"/>
                      <w:sz w:val="21"/>
                      <w:szCs w:val="18"/>
                      <w:lang w:val="en-US" w:eastAsia="zh-CN" w:bidi="ar-SA"/>
                    </w:rPr>
                    <w:t>/</w:t>
                  </w:r>
                </w:p>
              </w:tc>
              <w:tc>
                <w:tcPr>
                  <w:tcW w:w="148" w:type="pct"/>
                  <w:vMerge w:val="restar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r>
                    <w:rPr>
                      <w:rFonts w:hint="eastAsia"/>
                      <w:color w:val="auto"/>
                      <w:sz w:val="21"/>
                      <w:szCs w:val="18"/>
                      <w:lang w:val="en-US" w:eastAsia="zh-CN"/>
                    </w:rPr>
                    <w:t>/</w:t>
                  </w:r>
                </w:p>
              </w:tc>
              <w:tc>
                <w:tcPr>
                  <w:tcW w:w="148" w:type="pc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eastAsia" w:cs="Times New Roman"/>
                      <w:color w:val="auto"/>
                      <w:kern w:val="2"/>
                      <w:sz w:val="21"/>
                      <w:szCs w:val="24"/>
                      <w:lang w:val="en-US" w:eastAsia="zh-CN" w:bidi="ar-SA"/>
                    </w:rPr>
                  </w:pPr>
                  <w:r>
                    <w:rPr>
                      <w:rFonts w:hint="eastAsia"/>
                      <w:color w:val="auto"/>
                      <w:sz w:val="21"/>
                      <w:szCs w:val="18"/>
                      <w:lang w:val="en-US" w:eastAsia="zh-CN"/>
                    </w:rPr>
                    <w:t>/</w:t>
                  </w:r>
                </w:p>
              </w:tc>
              <w:tc>
                <w:tcPr>
                  <w:tcW w:w="148" w:type="pct"/>
                  <w:vMerge w:val="restar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olor w:val="auto"/>
                      <w:sz w:val="21"/>
                      <w:szCs w:val="18"/>
                    </w:rPr>
                    <w:t>是</w:t>
                  </w:r>
                </w:p>
              </w:tc>
              <w:tc>
                <w:tcPr>
                  <w:tcW w:w="275" w:type="pct"/>
                  <w:vMerge w:val="restar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r>
                    <w:rPr>
                      <w:rFonts w:hint="eastAsia"/>
                      <w:color w:val="auto"/>
                      <w:sz w:val="21"/>
                      <w:szCs w:val="18"/>
                      <w:lang w:val="en-US" w:eastAsia="zh-CN"/>
                    </w:rPr>
                    <w:t>0.4</w:t>
                  </w:r>
                </w:p>
              </w:tc>
              <w:tc>
                <w:tcPr>
                  <w:tcW w:w="241" w:type="pc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olor w:val="auto"/>
                      <w:sz w:val="21"/>
                      <w:szCs w:val="18"/>
                      <w:lang w:val="en-US" w:eastAsia="zh-CN"/>
                    </w:rPr>
                    <w:t>200</w:t>
                  </w:r>
                </w:p>
              </w:tc>
              <w:tc>
                <w:tcPr>
                  <w:tcW w:w="311" w:type="pc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olor w:val="auto"/>
                      <w:sz w:val="21"/>
                      <w:szCs w:val="18"/>
                      <w:lang w:val="en-US" w:eastAsia="zh-CN"/>
                    </w:rPr>
                    <w:t>0.00008</w:t>
                  </w:r>
                </w:p>
              </w:tc>
              <w:tc>
                <w:tcPr>
                  <w:tcW w:w="148" w:type="pct"/>
                  <w:vMerge w:val="restar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olor w:val="auto"/>
                      <w:sz w:val="21"/>
                      <w:szCs w:val="18"/>
                    </w:rPr>
                    <w:t>间接排放</w:t>
                  </w:r>
                </w:p>
              </w:tc>
              <w:tc>
                <w:tcPr>
                  <w:tcW w:w="148" w:type="pct"/>
                  <w:vMerge w:val="restar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r>
                    <w:rPr>
                      <w:rFonts w:hint="eastAsia"/>
                      <w:color w:val="auto"/>
                      <w:sz w:val="21"/>
                      <w:szCs w:val="18"/>
                      <w:lang w:eastAsia="zh-CN"/>
                    </w:rPr>
                    <w:t>金寨县现代产业园污水处理厂</w:t>
                  </w:r>
                </w:p>
              </w:tc>
              <w:tc>
                <w:tcPr>
                  <w:tcW w:w="220" w:type="pct"/>
                  <w:vMerge w:val="continue"/>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p>
              </w:tc>
              <w:tc>
                <w:tcPr>
                  <w:tcW w:w="305" w:type="pct"/>
                  <w:vMerge w:val="continue"/>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p>
              </w:tc>
              <w:tc>
                <w:tcPr>
                  <w:tcW w:w="148" w:type="pct"/>
                  <w:vMerge w:val="restar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olor w:val="auto"/>
                      <w:sz w:val="21"/>
                      <w:szCs w:val="18"/>
                    </w:rPr>
                    <w:t>一般排</w:t>
                  </w:r>
                  <w:r>
                    <w:rPr>
                      <w:rFonts w:hint="eastAsia" w:ascii="Times New Roman" w:hAnsi="Times New Roman" w:eastAsia="宋体"/>
                      <w:color w:val="auto"/>
                      <w:sz w:val="21"/>
                      <w:szCs w:val="18"/>
                      <w:lang w:eastAsia="zh-CN"/>
                    </w:rPr>
                    <w:t>放</w:t>
                  </w:r>
                  <w:r>
                    <w:rPr>
                      <w:rFonts w:hint="eastAsia" w:ascii="Times New Roman" w:hAnsi="Times New Roman" w:eastAsia="宋体"/>
                      <w:color w:val="auto"/>
                      <w:sz w:val="21"/>
                      <w:szCs w:val="18"/>
                    </w:rPr>
                    <w:t>口</w:t>
                  </w:r>
                </w:p>
              </w:tc>
              <w:tc>
                <w:tcPr>
                  <w:tcW w:w="599" w:type="pct"/>
                  <w:vMerge w:val="continue"/>
                  <w:tcBorders>
                    <w:tl2br w:val="nil"/>
                    <w:tr2bl w:val="nil"/>
                  </w:tcBorders>
                  <w:shd w:val="clear" w:color="auto" w:fill="auto"/>
                  <w:noWrap/>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p>
              </w:tc>
              <w:tc>
                <w:tcPr>
                  <w:tcW w:w="241" w:type="pc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i w:val="0"/>
                      <w:iCs w:val="0"/>
                      <w:color w:val="000000"/>
                      <w:kern w:val="0"/>
                      <w:sz w:val="21"/>
                      <w:szCs w:val="21"/>
                      <w:u w:val="none"/>
                      <w:lang w:val="en-US" w:eastAsia="zh-CN" w:bidi="ar"/>
                    </w:rPr>
                  </w:pPr>
                  <w:r>
                    <w:rPr>
                      <w:rFonts w:hint="eastAsia"/>
                      <w:color w:val="auto"/>
                      <w:sz w:val="21"/>
                      <w:szCs w:val="18"/>
                      <w:lang w:val="en-US" w:eastAsia="zh-CN"/>
                    </w:rPr>
                    <w: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120" w:hRule="atLeast"/>
              </w:trPr>
              <w:tc>
                <w:tcPr>
                  <w:tcW w:w="148" w:type="pct"/>
                  <w:vMerge w:val="continue"/>
                  <w:tcBorders>
                    <w:tl2br w:val="nil"/>
                    <w:tr2bl w:val="nil"/>
                  </w:tcBorders>
                  <w:shd w:val="clear" w:color="auto" w:fill="auto"/>
                  <w:vAlign w:val="top"/>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p>
              </w:tc>
              <w:tc>
                <w:tcPr>
                  <w:tcW w:w="439" w:type="pct"/>
                  <w:vMerge w:val="continue"/>
                  <w:tcBorders>
                    <w:tl2br w:val="nil"/>
                    <w:tr2bl w:val="nil"/>
                  </w:tcBorders>
                  <w:shd w:val="clear" w:color="auto" w:fill="auto"/>
                  <w:noWrap/>
                  <w:vAlign w:val="top"/>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p>
              </w:tc>
              <w:tc>
                <w:tcPr>
                  <w:tcW w:w="280" w:type="pc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olor w:val="auto"/>
                      <w:sz w:val="21"/>
                      <w:szCs w:val="18"/>
                    </w:rPr>
                    <w:t>SS</w:t>
                  </w:r>
                </w:p>
              </w:tc>
              <w:tc>
                <w:tcPr>
                  <w:tcW w:w="275" w:type="pct"/>
                  <w:vMerge w:val="continue"/>
                  <w:tcBorders>
                    <w:tl2br w:val="nil"/>
                    <w:tr2bl w:val="nil"/>
                  </w:tcBorders>
                  <w:shd w:val="clear" w:color="auto" w:fill="auto"/>
                  <w:vAlign w:val="top"/>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p>
              </w:tc>
              <w:tc>
                <w:tcPr>
                  <w:tcW w:w="241" w:type="pc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olor w:val="auto"/>
                      <w:sz w:val="21"/>
                      <w:szCs w:val="18"/>
                      <w:lang w:val="en-US" w:eastAsia="zh-CN"/>
                    </w:rPr>
                    <w:t>100</w:t>
                  </w:r>
                </w:p>
              </w:tc>
              <w:tc>
                <w:tcPr>
                  <w:tcW w:w="311" w:type="pc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olor w:val="auto"/>
                      <w:sz w:val="21"/>
                      <w:szCs w:val="18"/>
                      <w:lang w:val="en-US" w:eastAsia="zh-CN"/>
                    </w:rPr>
                    <w:t>0.00004</w:t>
                  </w:r>
                </w:p>
              </w:tc>
              <w:tc>
                <w:tcPr>
                  <w:tcW w:w="220" w:type="pc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r>
                    <w:rPr>
                      <w:rFonts w:hint="eastAsia"/>
                      <w:color w:val="auto"/>
                      <w:sz w:val="21"/>
                      <w:szCs w:val="18"/>
                      <w:lang w:val="en-US" w:eastAsia="zh-CN"/>
                    </w:rPr>
                    <w:t>/</w:t>
                  </w:r>
                </w:p>
              </w:tc>
              <w:tc>
                <w:tcPr>
                  <w:tcW w:w="148" w:type="pct"/>
                  <w:vMerge w:val="continue"/>
                  <w:tcBorders>
                    <w:tl2br w:val="nil"/>
                    <w:tr2bl w:val="nil"/>
                  </w:tcBorders>
                  <w:shd w:val="clear" w:color="auto" w:fill="auto"/>
                  <w:vAlign w:val="top"/>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p>
              </w:tc>
              <w:tc>
                <w:tcPr>
                  <w:tcW w:w="148" w:type="pc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eastAsia" w:cs="Times New Roman"/>
                      <w:color w:val="auto"/>
                      <w:kern w:val="2"/>
                      <w:sz w:val="21"/>
                      <w:szCs w:val="24"/>
                      <w:lang w:val="en-US" w:eastAsia="zh-CN" w:bidi="ar-SA"/>
                    </w:rPr>
                  </w:pPr>
                  <w:r>
                    <w:rPr>
                      <w:rFonts w:hint="eastAsia"/>
                      <w:color w:val="auto"/>
                      <w:sz w:val="21"/>
                      <w:szCs w:val="18"/>
                      <w:lang w:val="en-US" w:eastAsia="zh-CN"/>
                    </w:rPr>
                    <w:t>/</w:t>
                  </w:r>
                </w:p>
              </w:tc>
              <w:tc>
                <w:tcPr>
                  <w:tcW w:w="148" w:type="pct"/>
                  <w:vMerge w:val="continue"/>
                  <w:tcBorders>
                    <w:tl2br w:val="nil"/>
                    <w:tr2bl w:val="nil"/>
                  </w:tcBorders>
                  <w:shd w:val="clear" w:color="auto" w:fill="auto"/>
                  <w:vAlign w:val="top"/>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p>
              </w:tc>
              <w:tc>
                <w:tcPr>
                  <w:tcW w:w="275" w:type="pct"/>
                  <w:vMerge w:val="continue"/>
                  <w:tcBorders>
                    <w:tl2br w:val="nil"/>
                    <w:tr2bl w:val="nil"/>
                  </w:tcBorders>
                  <w:shd w:val="clear" w:color="auto" w:fill="auto"/>
                  <w:vAlign w:val="top"/>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p>
              </w:tc>
              <w:tc>
                <w:tcPr>
                  <w:tcW w:w="241" w:type="pc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olor w:val="auto"/>
                      <w:sz w:val="21"/>
                      <w:szCs w:val="18"/>
                      <w:lang w:val="en-US" w:eastAsia="zh-CN"/>
                    </w:rPr>
                    <w:t>100</w:t>
                  </w:r>
                </w:p>
              </w:tc>
              <w:tc>
                <w:tcPr>
                  <w:tcW w:w="311" w:type="pc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olor w:val="auto"/>
                      <w:sz w:val="21"/>
                      <w:szCs w:val="18"/>
                      <w:lang w:val="en-US" w:eastAsia="zh-CN"/>
                    </w:rPr>
                    <w:t>0.00004</w:t>
                  </w:r>
                </w:p>
              </w:tc>
              <w:tc>
                <w:tcPr>
                  <w:tcW w:w="148" w:type="pct"/>
                  <w:vMerge w:val="continue"/>
                  <w:tcBorders>
                    <w:tl2br w:val="nil"/>
                    <w:tr2bl w:val="nil"/>
                  </w:tcBorders>
                  <w:shd w:val="clear" w:color="auto" w:fill="auto"/>
                  <w:vAlign w:val="top"/>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p>
              </w:tc>
              <w:tc>
                <w:tcPr>
                  <w:tcW w:w="148" w:type="pct"/>
                  <w:vMerge w:val="continue"/>
                  <w:tcBorders>
                    <w:tl2br w:val="nil"/>
                    <w:tr2bl w:val="nil"/>
                  </w:tcBorders>
                  <w:shd w:val="clear" w:color="auto" w:fill="auto"/>
                  <w:vAlign w:val="top"/>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p>
              </w:tc>
              <w:tc>
                <w:tcPr>
                  <w:tcW w:w="220" w:type="pct"/>
                  <w:vMerge w:val="continue"/>
                  <w:tcBorders>
                    <w:tl2br w:val="nil"/>
                    <w:tr2bl w:val="nil"/>
                  </w:tcBorders>
                  <w:shd w:val="clear" w:color="auto" w:fill="auto"/>
                  <w:vAlign w:val="top"/>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p>
              </w:tc>
              <w:tc>
                <w:tcPr>
                  <w:tcW w:w="305" w:type="pct"/>
                  <w:vMerge w:val="continue"/>
                  <w:tcBorders>
                    <w:tl2br w:val="nil"/>
                    <w:tr2bl w:val="nil"/>
                  </w:tcBorders>
                  <w:shd w:val="clear" w:color="auto" w:fill="auto"/>
                  <w:vAlign w:val="top"/>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p>
              </w:tc>
              <w:tc>
                <w:tcPr>
                  <w:tcW w:w="148" w:type="pct"/>
                  <w:vMerge w:val="continue"/>
                  <w:tcBorders>
                    <w:tl2br w:val="nil"/>
                    <w:tr2bl w:val="nil"/>
                  </w:tcBorders>
                  <w:shd w:val="clear" w:color="auto" w:fill="auto"/>
                  <w:vAlign w:val="top"/>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p>
              </w:tc>
              <w:tc>
                <w:tcPr>
                  <w:tcW w:w="599" w:type="pct"/>
                  <w:vMerge w:val="continue"/>
                  <w:tcBorders>
                    <w:tl2br w:val="nil"/>
                    <w:tr2bl w:val="nil"/>
                  </w:tcBorders>
                  <w:shd w:val="clear" w:color="auto" w:fill="auto"/>
                  <w:noWrap/>
                  <w:vAlign w:val="top"/>
                </w:tcPr>
                <w:p>
                  <w:pPr>
                    <w:pStyle w:val="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000000"/>
                      <w:sz w:val="21"/>
                      <w:szCs w:val="21"/>
                      <w:u w:val="none"/>
                    </w:rPr>
                  </w:pPr>
                </w:p>
              </w:tc>
              <w:tc>
                <w:tcPr>
                  <w:tcW w:w="241" w:type="pct"/>
                  <w:tcBorders>
                    <w:tl2br w:val="nil"/>
                    <w:tr2bl w:val="nil"/>
                  </w:tcBorders>
                  <w:shd w:val="clear" w:color="auto" w:fill="auto"/>
                  <w:vAlign w:val="center"/>
                </w:tcPr>
                <w:p>
                  <w:pPr>
                    <w:pStyle w:val="9"/>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i w:val="0"/>
                      <w:iCs w:val="0"/>
                      <w:color w:val="000000"/>
                      <w:kern w:val="0"/>
                      <w:sz w:val="21"/>
                      <w:szCs w:val="21"/>
                      <w:u w:val="none"/>
                      <w:lang w:val="en-US" w:eastAsia="zh-CN" w:bidi="ar"/>
                    </w:rPr>
                  </w:pPr>
                  <w:r>
                    <w:rPr>
                      <w:rFonts w:hint="eastAsia"/>
                      <w:color w:val="auto"/>
                      <w:sz w:val="21"/>
                      <w:szCs w:val="18"/>
                      <w:lang w:val="en-US" w:eastAsia="zh-CN"/>
                    </w:rPr>
                    <w:t>280</w:t>
                  </w:r>
                </w:p>
              </w:tc>
            </w:tr>
          </w:tbl>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auto"/>
                <w:spacing w:val="-10"/>
                <w:sz w:val="28"/>
                <w:szCs w:val="28"/>
              </w:rPr>
            </w:pPr>
          </w:p>
        </w:tc>
      </w:tr>
    </w:tbl>
    <w:p>
      <w:pPr>
        <w:adjustRightInd w:val="0"/>
        <w:snapToGrid w:val="0"/>
        <w:jc w:val="center"/>
        <w:rPr>
          <w:rFonts w:hint="default" w:ascii="Times New Roman" w:hAnsi="Times New Roman" w:cs="Times New Roman"/>
          <w:bCs/>
          <w:color w:val="auto"/>
          <w:sz w:val="24"/>
        </w:rPr>
        <w:sectPr>
          <w:pgSz w:w="16840" w:h="11907"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85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59" w:hRule="atLeast"/>
          <w:jc w:val="center"/>
        </w:trPr>
        <w:tc>
          <w:tcPr>
            <w:tcW w:w="432" w:type="dxa"/>
            <w:noWrap w:val="0"/>
            <w:tcMar>
              <w:left w:w="28" w:type="dxa"/>
              <w:right w:w="28" w:type="dxa"/>
            </w:tcMar>
            <w:vAlign w:val="center"/>
          </w:tcPr>
          <w:p>
            <w:pPr>
              <w:pStyle w:val="65"/>
              <w:keepNext w:val="0"/>
              <w:keepLines w:val="0"/>
              <w:suppressLineNumbers w:val="0"/>
              <w:spacing w:beforeAutospacing="0" w:afterAutospacing="0"/>
              <w:ind w:left="0" w:right="0" w:firstLine="480"/>
              <w:rPr>
                <w:rFonts w:hint="default" w:ascii="Times New Roman" w:hAnsi="Times New Roman" w:cs="Times New Roman"/>
                <w:color w:val="auto"/>
              </w:rPr>
            </w:pPr>
          </w:p>
        </w:tc>
        <w:tc>
          <w:tcPr>
            <w:tcW w:w="8549" w:type="dxa"/>
            <w:noWrap w:val="0"/>
            <w:vAlign w:val="center"/>
          </w:tcPr>
          <w:p>
            <w:pPr>
              <w:keepNext w:val="0"/>
              <w:keepLines w:val="0"/>
              <w:suppressLineNumbers w:val="0"/>
              <w:spacing w:before="0" w:beforeAutospacing="0" w:after="0" w:afterAutospacing="0" w:line="360" w:lineRule="auto"/>
              <w:ind w:left="0" w:right="0" w:firstLine="481"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（2）废水污染物源强核算过程</w:t>
            </w:r>
          </w:p>
          <w:p>
            <w:pPr>
              <w:keepNext w:val="0"/>
              <w:keepLines w:val="0"/>
              <w:suppressLineNumbers w:val="0"/>
              <w:spacing w:before="0" w:beforeAutospacing="0" w:after="0" w:afterAutospacing="0" w:line="360" w:lineRule="auto"/>
              <w:ind w:left="0" w:right="0" w:firstLine="480" w:firstLineChars="200"/>
              <w:rPr>
                <w:rFonts w:hint="eastAsia"/>
                <w:color w:val="auto"/>
                <w:sz w:val="24"/>
                <w:lang w:val="en-US" w:eastAsia="zh-CN"/>
              </w:rPr>
            </w:pPr>
            <w:r>
              <w:rPr>
                <w:rFonts w:hint="default" w:ascii="Times New Roman" w:hAnsi="Times New Roman" w:eastAsia="宋体" w:cs="Times New Roman"/>
                <w:color w:val="000000" w:themeColor="text1"/>
                <w:sz w:val="24"/>
                <w:szCs w:val="20"/>
                <w:lang w:eastAsia="zh-CN"/>
                <w14:textFill>
                  <w14:solidFill>
                    <w14:schemeClr w14:val="tx1"/>
                  </w14:solidFill>
                </w14:textFill>
              </w:rPr>
              <w:t>项目运营期废水主要为生活废水</w:t>
            </w:r>
            <w:r>
              <w:rPr>
                <w:rFonts w:hint="eastAsia" w:cs="Times New Roman"/>
                <w:color w:val="000000" w:themeColor="text1"/>
                <w:sz w:val="24"/>
                <w:szCs w:val="20"/>
                <w:lang w:val="en-US" w:eastAsia="zh-CN"/>
                <w14:textFill>
                  <w14:solidFill>
                    <w14:schemeClr w14:val="tx1"/>
                  </w14:solidFill>
                </w14:textFill>
              </w:rPr>
              <w:t>和</w:t>
            </w:r>
            <w:r>
              <w:rPr>
                <w:rFonts w:hint="eastAsia" w:hAnsi="宋体"/>
                <w:sz w:val="24"/>
                <w:lang w:val="en-US" w:eastAsia="zh-CN"/>
              </w:rPr>
              <w:t>废气喷淋降温冷却水</w:t>
            </w:r>
            <w:r>
              <w:rPr>
                <w:rFonts w:hint="default" w:ascii="Times New Roman" w:hAnsi="Times New Roman" w:eastAsia="宋体" w:cs="Times New Roman"/>
                <w:color w:val="000000" w:themeColor="text1"/>
                <w:sz w:val="24"/>
                <w:szCs w:val="20"/>
                <w:lang w:eastAsia="zh-CN"/>
                <w14:textFill>
                  <w14:solidFill>
                    <w14:schemeClr w14:val="tx1"/>
                  </w14:solidFill>
                </w14:textFill>
              </w:rPr>
              <w:t>，生活废水排放量为</w:t>
            </w:r>
            <w:r>
              <w:rPr>
                <w:rFonts w:hint="eastAsia" w:cs="Times New Roman"/>
                <w:color w:val="000000" w:themeColor="text1"/>
                <w:sz w:val="24"/>
                <w:szCs w:val="20"/>
                <w:lang w:val="en-US" w:eastAsia="zh-CN"/>
                <w14:textFill>
                  <w14:solidFill>
                    <w14:schemeClr w14:val="tx1"/>
                  </w14:solidFill>
                </w14:textFill>
              </w:rPr>
              <w:t>126.72</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t/a</w:t>
            </w:r>
            <w:r>
              <w:rPr>
                <w:rFonts w:hint="eastAsia" w:cs="Times New Roman"/>
                <w:color w:val="000000" w:themeColor="text1"/>
                <w:sz w:val="24"/>
                <w:szCs w:val="20"/>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0"/>
                <w14:textFill>
                  <w14:solidFill>
                    <w14:schemeClr w14:val="tx1"/>
                  </w14:solidFill>
                </w14:textFill>
              </w:rPr>
              <w:t>生活污水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经</w:t>
            </w:r>
            <w:r>
              <w:rPr>
                <w:rFonts w:hint="eastAsia" w:cs="Times New Roman"/>
                <w:color w:val="000000" w:themeColor="text1"/>
                <w:sz w:val="24"/>
                <w:szCs w:val="24"/>
                <w:highlight w:val="none"/>
                <w:lang w:val="en-US" w:eastAsia="zh-CN"/>
                <w14:textFill>
                  <w14:solidFill>
                    <w14:schemeClr w14:val="tx1"/>
                  </w14:solidFill>
                </w14:textFill>
              </w:rPr>
              <w:t>化粪池</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收集</w:t>
            </w:r>
            <w:r>
              <w:rPr>
                <w:rFonts w:hint="eastAsia" w:cs="Times New Roman"/>
                <w:color w:val="000000" w:themeColor="text1"/>
                <w:sz w:val="24"/>
                <w:szCs w:val="24"/>
                <w:highlight w:val="none"/>
                <w:lang w:val="en-US" w:eastAsia="zh-CN"/>
                <w14:textFill>
                  <w14:solidFill>
                    <w14:schemeClr w14:val="tx1"/>
                  </w14:solidFill>
                </w14:textFill>
              </w:rPr>
              <w:t>预处理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后</w:t>
            </w:r>
            <w:r>
              <w:rPr>
                <w:rFonts w:hint="default" w:ascii="Times New Roman" w:hAnsi="Times New Roman" w:eastAsia="宋体" w:cs="Times New Roman"/>
                <w:color w:val="000000" w:themeColor="text1"/>
                <w:sz w:val="24"/>
                <w:szCs w:val="20"/>
                <w14:textFill>
                  <w14:solidFill>
                    <w14:schemeClr w14:val="tx1"/>
                  </w14:solidFill>
                </w14:textFill>
              </w:rPr>
              <w:t>排入市政污水管网进入</w:t>
            </w:r>
            <w:r>
              <w:rPr>
                <w:rFonts w:hint="eastAsia" w:cs="Times New Roman"/>
                <w:color w:val="000000" w:themeColor="text1"/>
                <w:sz w:val="24"/>
                <w:szCs w:val="20"/>
                <w:lang w:val="en-US" w:eastAsia="zh-CN"/>
                <w14:textFill>
                  <w14:solidFill>
                    <w14:schemeClr w14:val="tx1"/>
                  </w14:solidFill>
                </w14:textFill>
              </w:rPr>
              <w:t>金寨现代产业园污水处理厂</w:t>
            </w:r>
            <w:r>
              <w:rPr>
                <w:rFonts w:hint="default" w:ascii="Times New Roman" w:hAnsi="Times New Roman" w:eastAsia="宋体" w:cs="Times New Roman"/>
                <w:color w:val="000000" w:themeColor="text1"/>
                <w:sz w:val="24"/>
                <w:szCs w:val="20"/>
                <w14:textFill>
                  <w14:solidFill>
                    <w14:schemeClr w14:val="tx1"/>
                  </w14:solidFill>
                </w14:textFill>
              </w:rPr>
              <w:t>处理</w:t>
            </w:r>
            <w:r>
              <w:rPr>
                <w:rFonts w:hint="eastAsia" w:cs="Times New Roman"/>
                <w:color w:val="000000" w:themeColor="text1"/>
                <w:sz w:val="24"/>
                <w:szCs w:val="20"/>
                <w:lang w:val="en-US" w:eastAsia="zh-CN"/>
                <w14:textFill>
                  <w14:solidFill>
                    <w14:schemeClr w14:val="tx1"/>
                  </w14:solidFill>
                </w14:textFill>
              </w:rPr>
              <w:t>达标</w:t>
            </w:r>
            <w:r>
              <w:rPr>
                <w:rFonts w:hint="default" w:ascii="Times New Roman" w:hAnsi="Times New Roman" w:eastAsia="宋体" w:cs="Times New Roman"/>
                <w:color w:val="000000" w:themeColor="text1"/>
                <w:sz w:val="24"/>
                <w:szCs w:val="20"/>
                <w14:textFill>
                  <w14:solidFill>
                    <w14:schemeClr w14:val="tx1"/>
                  </w14:solidFill>
                </w14:textFill>
              </w:rPr>
              <w:t>后排入</w:t>
            </w:r>
            <w:r>
              <w:rPr>
                <w:rFonts w:hint="eastAsia" w:cs="Times New Roman"/>
                <w:color w:val="000000" w:themeColor="text1"/>
                <w:sz w:val="24"/>
                <w:szCs w:val="20"/>
                <w:lang w:val="en-US" w:eastAsia="zh-CN"/>
                <w14:textFill>
                  <w14:solidFill>
                    <w14:schemeClr w14:val="tx1"/>
                  </w14:solidFill>
                </w14:textFill>
              </w:rPr>
              <w:t>史</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河</w:t>
            </w:r>
            <w:r>
              <w:rPr>
                <w:rFonts w:hint="default" w:ascii="Times New Roman" w:hAnsi="Times New Roman" w:eastAsia="宋体" w:cs="Times New Roman"/>
                <w:color w:val="000000" w:themeColor="text1"/>
                <w:sz w:val="24"/>
                <w:szCs w:val="20"/>
                <w:lang w:eastAsia="zh-CN"/>
                <w14:textFill>
                  <w14:solidFill>
                    <w14:schemeClr w14:val="tx1"/>
                  </w14:solidFill>
                </w14:textFill>
              </w:rPr>
              <w:t>，</w:t>
            </w:r>
            <w:r>
              <w:rPr>
                <w:rFonts w:hint="eastAsia" w:hAnsi="宋体"/>
                <w:sz w:val="24"/>
                <w:lang w:val="en-US" w:eastAsia="zh-CN"/>
              </w:rPr>
              <w:t>废气喷淋降温冷却水产生量为0.4t/a，废气喷淋降温冷却水</w:t>
            </w:r>
            <w:r>
              <w:rPr>
                <w:rFonts w:hint="eastAsia"/>
                <w:color w:val="auto"/>
                <w:sz w:val="24"/>
                <w:lang w:val="en-US" w:eastAsia="zh-CN"/>
              </w:rPr>
              <w:t>与经化粪池处理后的生活污水一同排入市政污水管网</w:t>
            </w:r>
            <w:r>
              <w:rPr>
                <w:rFonts w:hint="default" w:ascii="Times New Roman" w:hAnsi="Times New Roman" w:eastAsia="宋体" w:cs="Times New Roman"/>
                <w:color w:val="000000" w:themeColor="text1"/>
                <w:sz w:val="24"/>
                <w:szCs w:val="20"/>
                <w14:textFill>
                  <w14:solidFill>
                    <w14:schemeClr w14:val="tx1"/>
                  </w14:solidFill>
                </w14:textFill>
              </w:rPr>
              <w:t>进入</w:t>
            </w:r>
            <w:r>
              <w:rPr>
                <w:rFonts w:hint="eastAsia" w:cs="Times New Roman"/>
                <w:color w:val="000000" w:themeColor="text1"/>
                <w:sz w:val="24"/>
                <w:szCs w:val="20"/>
                <w:lang w:val="en-US" w:eastAsia="zh-CN"/>
                <w14:textFill>
                  <w14:solidFill>
                    <w14:schemeClr w14:val="tx1"/>
                  </w14:solidFill>
                </w14:textFill>
              </w:rPr>
              <w:t>金寨现代产业园污水处理厂</w:t>
            </w:r>
            <w:r>
              <w:rPr>
                <w:rFonts w:hint="default" w:ascii="Times New Roman" w:hAnsi="Times New Roman" w:eastAsia="宋体" w:cs="Times New Roman"/>
                <w:color w:val="000000" w:themeColor="text1"/>
                <w:sz w:val="24"/>
                <w:szCs w:val="20"/>
                <w14:textFill>
                  <w14:solidFill>
                    <w14:schemeClr w14:val="tx1"/>
                  </w14:solidFill>
                </w14:textFill>
              </w:rPr>
              <w:t>处理</w:t>
            </w:r>
            <w:r>
              <w:rPr>
                <w:rFonts w:hint="eastAsia" w:cs="Times New Roman"/>
                <w:color w:val="000000" w:themeColor="text1"/>
                <w:sz w:val="24"/>
                <w:szCs w:val="20"/>
                <w:lang w:val="en-US" w:eastAsia="zh-CN"/>
                <w14:textFill>
                  <w14:solidFill>
                    <w14:schemeClr w14:val="tx1"/>
                  </w14:solidFill>
                </w14:textFill>
              </w:rPr>
              <w:t>达标</w:t>
            </w:r>
            <w:r>
              <w:rPr>
                <w:rFonts w:hint="default" w:ascii="Times New Roman" w:hAnsi="Times New Roman" w:eastAsia="宋体" w:cs="Times New Roman"/>
                <w:color w:val="000000" w:themeColor="text1"/>
                <w:sz w:val="24"/>
                <w:szCs w:val="20"/>
                <w14:textFill>
                  <w14:solidFill>
                    <w14:schemeClr w14:val="tx1"/>
                  </w14:solidFill>
                </w14:textFill>
              </w:rPr>
              <w:t>后排入</w:t>
            </w:r>
            <w:r>
              <w:rPr>
                <w:rFonts w:hint="eastAsia" w:cs="Times New Roman"/>
                <w:color w:val="000000" w:themeColor="text1"/>
                <w:sz w:val="24"/>
                <w:szCs w:val="20"/>
                <w:lang w:val="en-US" w:eastAsia="zh-CN"/>
                <w14:textFill>
                  <w14:solidFill>
                    <w14:schemeClr w14:val="tx1"/>
                  </w14:solidFill>
                </w14:textFill>
              </w:rPr>
              <w:t>史</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河</w:t>
            </w:r>
            <w:r>
              <w:rPr>
                <w:rFonts w:hint="eastAsia" w:cs="Times New Roman"/>
                <w:color w:val="000000" w:themeColor="text1"/>
                <w:sz w:val="24"/>
                <w:szCs w:val="20"/>
                <w:lang w:val="en-US"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bCs/>
                <w:color w:val="auto"/>
                <w:sz w:val="24"/>
              </w:rPr>
            </w:pPr>
            <w:r>
              <w:rPr>
                <w:rFonts w:hint="default" w:ascii="Times New Roman" w:hAnsi="Times New Roman" w:eastAsia="宋体" w:cs="Times New Roman"/>
                <w:color w:val="000000" w:themeColor="text1"/>
                <w:sz w:val="24"/>
                <w:szCs w:val="20"/>
                <w14:textFill>
                  <w14:solidFill>
                    <w14:schemeClr w14:val="tx1"/>
                  </w14:solidFill>
                </w14:textFill>
              </w:rPr>
              <w:t>污染物产生及排放量情况详见下表。</w:t>
            </w:r>
          </w:p>
          <w:p>
            <w:pPr>
              <w:pStyle w:val="11"/>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表4</w:t>
            </w:r>
            <w:r>
              <w:rPr>
                <w:rFonts w:hint="default" w:ascii="Times New Roman" w:hAnsi="Times New Roman" w:cs="Times New Roman"/>
                <w:b/>
                <w:bCs/>
                <w:color w:val="auto"/>
                <w:kern w:val="2"/>
                <w:sz w:val="24"/>
                <w:szCs w:val="24"/>
                <w:lang w:val="en-US" w:eastAsia="zh-CN" w:bidi="ar-SA"/>
              </w:rPr>
              <w:t>.</w:t>
            </w:r>
            <w:r>
              <w:rPr>
                <w:rFonts w:hint="eastAsia" w:cs="Times New Roman"/>
                <w:b/>
                <w:bCs/>
                <w:color w:val="auto"/>
                <w:kern w:val="2"/>
                <w:sz w:val="24"/>
                <w:szCs w:val="24"/>
                <w:lang w:val="en-US" w:eastAsia="zh-CN" w:bidi="ar-SA"/>
              </w:rPr>
              <w:t>6</w:t>
            </w:r>
            <w:r>
              <w:rPr>
                <w:rFonts w:hint="default" w:ascii="Times New Roman" w:hAnsi="Times New Roman" w:eastAsia="宋体" w:cs="Times New Roman"/>
                <w:b/>
                <w:bCs/>
                <w:color w:val="auto"/>
                <w:kern w:val="2"/>
                <w:sz w:val="24"/>
                <w:szCs w:val="24"/>
                <w:lang w:val="en-US" w:eastAsia="zh-CN" w:bidi="ar-SA"/>
              </w:rPr>
              <w:t>污水产生和排放情况统计表</w:t>
            </w:r>
            <w:r>
              <w:rPr>
                <w:rFonts w:hint="default" w:ascii="Times New Roman" w:hAnsi="Times New Roman" w:cs="Times New Roman"/>
                <w:b w:val="0"/>
                <w:bCs w:val="0"/>
                <w:color w:val="auto"/>
                <w:sz w:val="24"/>
                <w:szCs w:val="24"/>
                <w:lang w:val="en-US" w:eastAsia="zh-CN"/>
              </w:rPr>
              <w:t>（pH：无量纲）</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3124"/>
              <w:gridCol w:w="1153"/>
              <w:gridCol w:w="831"/>
              <w:gridCol w:w="818"/>
              <w:gridCol w:w="818"/>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447" w:type="pct"/>
                  <w:tcBorders>
                    <w:tl2br w:val="nil"/>
                    <w:tr2bl w:val="nil"/>
                  </w:tcBorders>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类别</w:t>
                  </w:r>
                </w:p>
              </w:tc>
              <w:tc>
                <w:tcPr>
                  <w:tcW w:w="1977" w:type="pct"/>
                  <w:tcBorders>
                    <w:tl2br w:val="nil"/>
                    <w:tr2bl w:val="nil"/>
                  </w:tcBorders>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项目</w:t>
                  </w:r>
                </w:p>
              </w:tc>
              <w:tc>
                <w:tcPr>
                  <w:tcW w:w="795" w:type="pct"/>
                  <w:tcBorders>
                    <w:tl2br w:val="nil"/>
                    <w:tr2bl w:val="nil"/>
                  </w:tcBorders>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COD</w:t>
                  </w:r>
                </w:p>
              </w:tc>
              <w:tc>
                <w:tcPr>
                  <w:tcW w:w="457" w:type="pct"/>
                  <w:tcBorders>
                    <w:tl2br w:val="nil"/>
                    <w:tr2bl w:val="nil"/>
                  </w:tcBorders>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BOD</w:t>
                  </w:r>
                  <w:r>
                    <w:rPr>
                      <w:rFonts w:hint="default" w:ascii="Times New Roman" w:hAnsi="Times New Roman" w:eastAsia="宋体" w:cs="Times New Roman"/>
                      <w:b/>
                      <w:bCs/>
                      <w:color w:val="auto"/>
                      <w:kern w:val="2"/>
                      <w:sz w:val="21"/>
                      <w:szCs w:val="21"/>
                      <w:vertAlign w:val="subscript"/>
                      <w:lang w:val="en-US" w:eastAsia="zh-CN" w:bidi="ar-SA"/>
                    </w:rPr>
                    <w:t>5</w:t>
                  </w:r>
                </w:p>
              </w:tc>
              <w:tc>
                <w:tcPr>
                  <w:tcW w:w="606" w:type="pct"/>
                  <w:gridSpan w:val="2"/>
                  <w:tcBorders>
                    <w:tl2br w:val="nil"/>
                    <w:tr2bl w:val="nil"/>
                  </w:tcBorders>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SS</w:t>
                  </w:r>
                </w:p>
              </w:tc>
              <w:tc>
                <w:tcPr>
                  <w:tcW w:w="705" w:type="pct"/>
                  <w:tcBorders>
                    <w:tl2br w:val="nil"/>
                    <w:tr2bl w:val="nil"/>
                  </w:tcBorders>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NH</w:t>
                  </w:r>
                  <w:r>
                    <w:rPr>
                      <w:rFonts w:hint="default" w:ascii="Times New Roman" w:hAnsi="Times New Roman" w:eastAsia="宋体" w:cs="Times New Roman"/>
                      <w:b/>
                      <w:bCs/>
                      <w:color w:val="auto"/>
                      <w:kern w:val="2"/>
                      <w:sz w:val="21"/>
                      <w:szCs w:val="21"/>
                      <w:vertAlign w:val="subscript"/>
                      <w:lang w:val="en-US" w:eastAsia="zh-CN" w:bidi="ar-SA"/>
                    </w:rPr>
                    <w:t>3</w:t>
                  </w:r>
                  <w:r>
                    <w:rPr>
                      <w:rFonts w:hint="default" w:ascii="Times New Roman" w:hAnsi="Times New Roman" w:eastAsia="宋体" w:cs="Times New Roman"/>
                      <w:b/>
                      <w:bCs/>
                      <w:color w:val="auto"/>
                      <w:kern w:val="2"/>
                      <w:sz w:val="21"/>
                      <w:szCs w:val="21"/>
                      <w:lang w:val="en-US" w:eastAsia="zh-CN" w:bidi="ar-S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7" w:type="pct"/>
                  <w:vMerge w:val="restar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cs="Times New Roman"/>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生活污水</w:t>
                  </w:r>
                </w:p>
              </w:tc>
              <w:tc>
                <w:tcPr>
                  <w:tcW w:w="1977"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生活污水产生量（m</w:t>
                  </w:r>
                  <w:r>
                    <w:rPr>
                      <w:rFonts w:hint="eastAsia" w:cs="Times New Roman"/>
                      <w:color w:val="auto"/>
                      <w:kern w:val="2"/>
                      <w:sz w:val="21"/>
                      <w:szCs w:val="21"/>
                      <w:vertAlign w:val="superscript"/>
                      <w:lang w:val="en-US" w:eastAsia="zh-CN" w:bidi="ar-SA"/>
                    </w:rPr>
                    <w:t>3</w:t>
                  </w:r>
                  <w:r>
                    <w:rPr>
                      <w:rFonts w:hint="eastAsia" w:cs="Times New Roman"/>
                      <w:color w:val="auto"/>
                      <w:kern w:val="2"/>
                      <w:sz w:val="21"/>
                      <w:szCs w:val="21"/>
                      <w:lang w:val="en-US" w:eastAsia="zh-CN" w:bidi="ar-SA"/>
                    </w:rPr>
                    <w:t>/a）</w:t>
                  </w:r>
                </w:p>
              </w:tc>
              <w:tc>
                <w:tcPr>
                  <w:tcW w:w="4268" w:type="dxa"/>
                  <w:gridSpan w:val="5"/>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4"/>
                      <w:lang w:val="en-US" w:eastAsia="zh-CN" w:bidi="ar-SA"/>
                    </w:rPr>
                    <w:t>126.72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47" w:type="pct"/>
                  <w:vMerge w:val="continue"/>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cs="Times New Roman"/>
                      <w:color w:val="auto"/>
                      <w:kern w:val="2"/>
                      <w:sz w:val="21"/>
                      <w:szCs w:val="21"/>
                      <w:lang w:val="en-US" w:eastAsia="zh-CN" w:bidi="ar-SA"/>
                    </w:rPr>
                  </w:pPr>
                </w:p>
              </w:tc>
              <w:tc>
                <w:tcPr>
                  <w:tcW w:w="1977"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生活污水</w:t>
                  </w:r>
                  <w:r>
                    <w:rPr>
                      <w:rFonts w:hint="default" w:ascii="Times New Roman" w:hAnsi="Times New Roman" w:eastAsia="宋体" w:cs="Times New Roman"/>
                      <w:color w:val="auto"/>
                      <w:kern w:val="2"/>
                      <w:sz w:val="21"/>
                      <w:szCs w:val="21"/>
                      <w:lang w:val="en-US" w:eastAsia="zh-CN" w:bidi="ar-SA"/>
                    </w:rPr>
                    <w:t>污染物产生浓度（mg/L）</w:t>
                  </w:r>
                </w:p>
              </w:tc>
              <w:tc>
                <w:tcPr>
                  <w:tcW w:w="616"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4"/>
                      <w:lang w:val="en-US" w:eastAsia="zh-CN" w:bidi="ar-SA"/>
                    </w:rPr>
                    <w:t>6-9</w:t>
                  </w:r>
                </w:p>
              </w:tc>
              <w:tc>
                <w:tcPr>
                  <w:tcW w:w="854"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4"/>
                      <w:lang w:val="en-US" w:eastAsia="zh-CN" w:bidi="ar-SA"/>
                    </w:rPr>
                    <w:t>320</w:t>
                  </w:r>
                </w:p>
              </w:tc>
              <w:tc>
                <w:tcPr>
                  <w:tcW w:w="918"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4"/>
                      <w:lang w:val="en-US" w:eastAsia="zh-CN" w:bidi="ar-SA"/>
                    </w:rPr>
                    <w:t>1</w:t>
                  </w:r>
                  <w:r>
                    <w:rPr>
                      <w:rFonts w:hint="eastAsia" w:cs="Times New Roman"/>
                      <w:color w:val="auto"/>
                      <w:kern w:val="2"/>
                      <w:sz w:val="21"/>
                      <w:szCs w:val="24"/>
                      <w:lang w:val="en-US" w:eastAsia="zh-CN" w:bidi="ar-SA"/>
                    </w:rPr>
                    <w:t>80</w:t>
                  </w:r>
                </w:p>
              </w:tc>
              <w:tc>
                <w:tcPr>
                  <w:tcW w:w="854"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4"/>
                      <w:lang w:val="en-US" w:eastAsia="zh-CN" w:bidi="ar-SA"/>
                    </w:rPr>
                    <w:t>200</w:t>
                  </w:r>
                </w:p>
              </w:tc>
              <w:tc>
                <w:tcPr>
                  <w:tcW w:w="1026"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pPr>
                  <w:r>
                    <w:rPr>
                      <w:rFonts w:hint="default" w:ascii="Times New Roman" w:hAnsi="Times New Roman" w:cs="Times New Roman"/>
                      <w:color w:val="auto"/>
                      <w:kern w:val="2"/>
                      <w:sz w:val="21"/>
                      <w:szCs w:val="24"/>
                      <w:lang w:val="en-US" w:eastAsia="zh-CN" w:bidi="ar-SA"/>
                    </w:rPr>
                    <w:t>2</w:t>
                  </w:r>
                  <w:r>
                    <w:rPr>
                      <w:rFonts w:hint="eastAsia" w:cs="Times New Roman"/>
                      <w:color w:val="auto"/>
                      <w:kern w:val="2"/>
                      <w:sz w:val="21"/>
                      <w:szCs w:val="24"/>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6" w:hRule="atLeast"/>
                <w:jc w:val="center"/>
              </w:trPr>
              <w:tc>
                <w:tcPr>
                  <w:tcW w:w="447" w:type="pct"/>
                  <w:vMerge w:val="continue"/>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cs="Times New Roman"/>
                      <w:color w:val="auto"/>
                      <w:kern w:val="2"/>
                      <w:sz w:val="21"/>
                      <w:szCs w:val="21"/>
                      <w:lang w:val="en-US" w:eastAsia="zh-CN" w:bidi="ar-SA"/>
                    </w:rPr>
                  </w:pPr>
                </w:p>
              </w:tc>
              <w:tc>
                <w:tcPr>
                  <w:tcW w:w="1977"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生活污水</w:t>
                  </w:r>
                  <w:r>
                    <w:rPr>
                      <w:rFonts w:hint="default" w:ascii="Times New Roman" w:hAnsi="Times New Roman" w:eastAsia="宋体" w:cs="Times New Roman"/>
                      <w:color w:val="auto"/>
                      <w:kern w:val="2"/>
                      <w:sz w:val="21"/>
                      <w:szCs w:val="21"/>
                      <w:lang w:val="en-US" w:eastAsia="zh-CN" w:bidi="ar-SA"/>
                    </w:rPr>
                    <w:t>污染物产生量（t/a）</w:t>
                  </w:r>
                </w:p>
              </w:tc>
              <w:tc>
                <w:tcPr>
                  <w:tcW w:w="616"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4"/>
                      <w:lang w:val="en-US" w:eastAsia="zh-CN" w:bidi="ar-SA"/>
                    </w:rPr>
                    <w:t>/</w:t>
                  </w:r>
                </w:p>
              </w:tc>
              <w:tc>
                <w:tcPr>
                  <w:tcW w:w="854"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4"/>
                      <w:lang w:val="en-US" w:eastAsia="zh-CN" w:bidi="ar-SA"/>
                    </w:rPr>
                    <w:t>0.</w:t>
                  </w:r>
                  <w:r>
                    <w:rPr>
                      <w:rFonts w:hint="eastAsia" w:cs="Times New Roman"/>
                      <w:color w:val="auto"/>
                      <w:kern w:val="2"/>
                      <w:sz w:val="21"/>
                      <w:szCs w:val="24"/>
                      <w:lang w:val="en-US" w:eastAsia="zh-CN" w:bidi="ar-SA"/>
                    </w:rPr>
                    <w:t>041</w:t>
                  </w:r>
                </w:p>
              </w:tc>
              <w:tc>
                <w:tcPr>
                  <w:tcW w:w="918"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4"/>
                      <w:lang w:val="en-US" w:eastAsia="zh-CN" w:bidi="ar-SA"/>
                    </w:rPr>
                    <w:t>0.0</w:t>
                  </w:r>
                  <w:r>
                    <w:rPr>
                      <w:rFonts w:hint="eastAsia" w:cs="Times New Roman"/>
                      <w:color w:val="auto"/>
                      <w:kern w:val="2"/>
                      <w:sz w:val="21"/>
                      <w:szCs w:val="24"/>
                      <w:lang w:val="en-US" w:eastAsia="zh-CN" w:bidi="ar-SA"/>
                    </w:rPr>
                    <w:t>23</w:t>
                  </w:r>
                </w:p>
              </w:tc>
              <w:tc>
                <w:tcPr>
                  <w:tcW w:w="854"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4"/>
                      <w:lang w:val="en-US" w:eastAsia="zh-CN" w:bidi="ar-SA"/>
                    </w:rPr>
                    <w:t>0.</w:t>
                  </w:r>
                  <w:r>
                    <w:rPr>
                      <w:rFonts w:hint="eastAsia" w:cs="Times New Roman"/>
                      <w:color w:val="auto"/>
                      <w:kern w:val="2"/>
                      <w:sz w:val="21"/>
                      <w:szCs w:val="24"/>
                      <w:lang w:val="en-US" w:eastAsia="zh-CN" w:bidi="ar-SA"/>
                    </w:rPr>
                    <w:t>025</w:t>
                  </w:r>
                </w:p>
              </w:tc>
              <w:tc>
                <w:tcPr>
                  <w:tcW w:w="1026"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pPr>
                  <w:r>
                    <w:rPr>
                      <w:rFonts w:hint="default" w:ascii="Times New Roman" w:hAnsi="Times New Roman" w:cs="Times New Roman"/>
                      <w:color w:val="auto"/>
                      <w:kern w:val="2"/>
                      <w:sz w:val="21"/>
                      <w:szCs w:val="24"/>
                      <w:lang w:val="en-US" w:eastAsia="zh-CN" w:bidi="ar-SA"/>
                    </w:rPr>
                    <w:t>0.0</w:t>
                  </w:r>
                  <w:r>
                    <w:rPr>
                      <w:rFonts w:hint="eastAsia" w:cs="Times New Roman"/>
                      <w:color w:val="auto"/>
                      <w:kern w:val="2"/>
                      <w:sz w:val="21"/>
                      <w:szCs w:val="24"/>
                      <w:lang w:val="en-US" w:eastAsia="zh-CN" w:bidi="ar-SA"/>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447" w:type="pct"/>
                  <w:vMerge w:val="continue"/>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val="en-US" w:eastAsia="zh-CN" w:bidi="ar-SA"/>
                    </w:rPr>
                  </w:pPr>
                </w:p>
              </w:tc>
              <w:tc>
                <w:tcPr>
                  <w:tcW w:w="1977"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治理措施</w:t>
                  </w:r>
                </w:p>
              </w:tc>
              <w:tc>
                <w:tcPr>
                  <w:tcW w:w="4268" w:type="dxa"/>
                  <w:gridSpan w:val="5"/>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4"/>
                      <w:lang w:val="en-US" w:eastAsia="zh-CN" w:bidi="ar-SA"/>
                    </w:rPr>
                    <w:t>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47" w:type="pct"/>
                  <w:vMerge w:val="continue"/>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1977"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污染物去除效率</w:t>
                  </w:r>
                  <w:r>
                    <w:rPr>
                      <w:rFonts w:hint="eastAsia" w:cs="Times New Roman"/>
                      <w:color w:val="auto"/>
                      <w:kern w:val="2"/>
                      <w:sz w:val="21"/>
                      <w:szCs w:val="21"/>
                      <w:lang w:val="en-US" w:eastAsia="zh-CN" w:bidi="ar-SA"/>
                    </w:rPr>
                    <w:t>（%）</w:t>
                  </w:r>
                </w:p>
              </w:tc>
              <w:tc>
                <w:tcPr>
                  <w:tcW w:w="616"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4"/>
                      <w:lang w:val="en-US" w:eastAsia="zh-CN" w:bidi="ar-SA"/>
                    </w:rPr>
                    <w:t>/</w:t>
                  </w:r>
                </w:p>
              </w:tc>
              <w:tc>
                <w:tcPr>
                  <w:tcW w:w="854"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4"/>
                      <w:lang w:val="en-US" w:eastAsia="zh-CN" w:bidi="ar-SA"/>
                    </w:rPr>
                    <w:t>15</w:t>
                  </w:r>
                </w:p>
              </w:tc>
              <w:tc>
                <w:tcPr>
                  <w:tcW w:w="918"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4"/>
                      <w:lang w:val="en-US" w:eastAsia="zh-CN" w:bidi="ar-SA"/>
                    </w:rPr>
                    <w:t>20</w:t>
                  </w:r>
                </w:p>
              </w:tc>
              <w:tc>
                <w:tcPr>
                  <w:tcW w:w="854"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4"/>
                      <w:lang w:val="en-US" w:eastAsia="zh-CN" w:bidi="ar-SA"/>
                    </w:rPr>
                    <w:t>4</w:t>
                  </w:r>
                  <w:r>
                    <w:rPr>
                      <w:rFonts w:hint="default" w:ascii="Times New Roman" w:hAnsi="Times New Roman" w:cs="Times New Roman"/>
                      <w:color w:val="auto"/>
                      <w:kern w:val="2"/>
                      <w:sz w:val="21"/>
                      <w:szCs w:val="24"/>
                      <w:lang w:val="en-US" w:eastAsia="zh-CN" w:bidi="ar-SA"/>
                    </w:rPr>
                    <w:t>0</w:t>
                  </w:r>
                </w:p>
              </w:tc>
              <w:tc>
                <w:tcPr>
                  <w:tcW w:w="1026"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pPr>
                  <w:r>
                    <w:rPr>
                      <w:rFonts w:hint="default" w:ascii="Times New Roman" w:hAnsi="Times New Roman" w:cs="Times New Roman"/>
                      <w:color w:val="auto"/>
                      <w:kern w:val="2"/>
                      <w:sz w:val="21"/>
                      <w:szCs w:val="24"/>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47" w:type="pct"/>
                  <w:vMerge w:val="continue"/>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1977"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污染物排放浓度</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mg/</w:t>
                  </w:r>
                  <w:r>
                    <w:rPr>
                      <w:rFonts w:hint="eastAsia" w:ascii="Times New Roman" w:hAnsi="Times New Roman" w:eastAsia="宋体" w:cs="Times New Roman"/>
                      <w:color w:val="auto"/>
                      <w:kern w:val="2"/>
                      <w:sz w:val="21"/>
                      <w:szCs w:val="21"/>
                      <w:lang w:val="en-US" w:eastAsia="zh-CN" w:bidi="ar-SA"/>
                    </w:rPr>
                    <w:t>L）</w:t>
                  </w:r>
                </w:p>
              </w:tc>
              <w:tc>
                <w:tcPr>
                  <w:tcW w:w="616"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4"/>
                      <w:lang w:val="en-US" w:eastAsia="zh-CN" w:bidi="ar-SA"/>
                    </w:rPr>
                    <w:t>/</w:t>
                  </w:r>
                </w:p>
              </w:tc>
              <w:tc>
                <w:tcPr>
                  <w:tcW w:w="854"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4"/>
                      <w:lang w:val="en-US" w:eastAsia="zh-CN" w:bidi="ar-SA"/>
                    </w:rPr>
                    <w:t>272</w:t>
                  </w:r>
                </w:p>
              </w:tc>
              <w:tc>
                <w:tcPr>
                  <w:tcW w:w="918"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4"/>
                      <w:lang w:val="en-US" w:eastAsia="zh-CN" w:bidi="ar-SA"/>
                    </w:rPr>
                    <w:t>144</w:t>
                  </w:r>
                </w:p>
              </w:tc>
              <w:tc>
                <w:tcPr>
                  <w:tcW w:w="854"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4"/>
                      <w:lang w:val="en-US" w:eastAsia="zh-CN" w:bidi="ar-SA"/>
                    </w:rPr>
                    <w:t>120</w:t>
                  </w:r>
                </w:p>
              </w:tc>
              <w:tc>
                <w:tcPr>
                  <w:tcW w:w="1026"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pPr>
                  <w:r>
                    <w:rPr>
                      <w:rFonts w:hint="eastAsia" w:cs="Times New Roman"/>
                      <w:color w:val="auto"/>
                      <w:kern w:val="2"/>
                      <w:sz w:val="21"/>
                      <w:szCs w:val="24"/>
                      <w:lang w:val="en-US" w:eastAsia="zh-CN" w:bidi="ar-SA"/>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1" w:hRule="atLeast"/>
                <w:jc w:val="center"/>
              </w:trPr>
              <w:tc>
                <w:tcPr>
                  <w:tcW w:w="447" w:type="pct"/>
                  <w:vMerge w:val="continue"/>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1977"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污染物排放量（t/a）</w:t>
                  </w:r>
                </w:p>
              </w:tc>
              <w:tc>
                <w:tcPr>
                  <w:tcW w:w="616"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4"/>
                      <w:lang w:val="en-US" w:eastAsia="zh-CN" w:bidi="ar-SA"/>
                    </w:rPr>
                    <w:t>/</w:t>
                  </w:r>
                </w:p>
              </w:tc>
              <w:tc>
                <w:tcPr>
                  <w:tcW w:w="854"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4"/>
                      <w:lang w:val="en-US" w:eastAsia="zh-CN" w:bidi="ar-SA"/>
                    </w:rPr>
                    <w:t>0.</w:t>
                  </w:r>
                  <w:r>
                    <w:rPr>
                      <w:rFonts w:hint="eastAsia" w:cs="Times New Roman"/>
                      <w:color w:val="auto"/>
                      <w:kern w:val="2"/>
                      <w:sz w:val="21"/>
                      <w:szCs w:val="24"/>
                      <w:lang w:val="en-US" w:eastAsia="zh-CN" w:bidi="ar-SA"/>
                    </w:rPr>
                    <w:t>034</w:t>
                  </w:r>
                </w:p>
              </w:tc>
              <w:tc>
                <w:tcPr>
                  <w:tcW w:w="918"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4"/>
                      <w:lang w:val="en-US" w:eastAsia="zh-CN" w:bidi="ar-SA"/>
                    </w:rPr>
                    <w:t>0.0</w:t>
                  </w:r>
                  <w:r>
                    <w:rPr>
                      <w:rFonts w:hint="eastAsia" w:cs="Times New Roman"/>
                      <w:color w:val="auto"/>
                      <w:kern w:val="2"/>
                      <w:sz w:val="21"/>
                      <w:szCs w:val="24"/>
                      <w:lang w:val="en-US" w:eastAsia="zh-CN" w:bidi="ar-SA"/>
                    </w:rPr>
                    <w:t>18</w:t>
                  </w:r>
                </w:p>
              </w:tc>
              <w:tc>
                <w:tcPr>
                  <w:tcW w:w="854"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4"/>
                      <w:lang w:val="en-US" w:eastAsia="zh-CN" w:bidi="ar-SA"/>
                    </w:rPr>
                    <w:t>0.0</w:t>
                  </w:r>
                  <w:r>
                    <w:rPr>
                      <w:rFonts w:hint="eastAsia" w:cs="Times New Roman"/>
                      <w:color w:val="auto"/>
                      <w:kern w:val="2"/>
                      <w:sz w:val="21"/>
                      <w:szCs w:val="24"/>
                      <w:lang w:val="en-US" w:eastAsia="zh-CN" w:bidi="ar-SA"/>
                    </w:rPr>
                    <w:t>15</w:t>
                  </w:r>
                </w:p>
              </w:tc>
              <w:tc>
                <w:tcPr>
                  <w:tcW w:w="1026"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pPr>
                  <w:r>
                    <w:rPr>
                      <w:rFonts w:hint="default" w:ascii="Times New Roman" w:hAnsi="Times New Roman" w:cs="Times New Roman"/>
                      <w:color w:val="auto"/>
                      <w:kern w:val="2"/>
                      <w:sz w:val="21"/>
                      <w:szCs w:val="24"/>
                      <w:lang w:val="en-US" w:eastAsia="zh-CN" w:bidi="ar-SA"/>
                    </w:rPr>
                    <w:t>0.0</w:t>
                  </w:r>
                  <w:r>
                    <w:rPr>
                      <w:rFonts w:hint="eastAsia" w:cs="Times New Roman"/>
                      <w:color w:val="auto"/>
                      <w:kern w:val="2"/>
                      <w:sz w:val="21"/>
                      <w:szCs w:val="24"/>
                      <w:lang w:val="en-US" w:eastAsia="zh-CN" w:bidi="ar-S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47" w:type="pct"/>
                  <w:vMerge w:val="continue"/>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cs="Times New Roman"/>
                      <w:color w:val="auto"/>
                      <w:kern w:val="2"/>
                      <w:sz w:val="21"/>
                      <w:szCs w:val="21"/>
                      <w:lang w:val="en-US" w:eastAsia="zh-CN" w:bidi="ar-SA"/>
                    </w:rPr>
                  </w:pPr>
                </w:p>
              </w:tc>
              <w:tc>
                <w:tcPr>
                  <w:tcW w:w="1977"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执行标准</w:t>
                  </w:r>
                  <w:r>
                    <w:rPr>
                      <w:rFonts w:hint="default" w:ascii="Times New Roman" w:hAnsi="Times New Roman" w:eastAsia="宋体" w:cs="Times New Roman"/>
                      <w:color w:val="auto"/>
                      <w:kern w:val="2"/>
                      <w:sz w:val="21"/>
                      <w:szCs w:val="21"/>
                      <w:lang w:val="en-US" w:eastAsia="zh-CN" w:bidi="ar-SA"/>
                    </w:rPr>
                    <w:t>（mg/L）</w:t>
                  </w:r>
                </w:p>
              </w:tc>
              <w:tc>
                <w:tcPr>
                  <w:tcW w:w="616"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4"/>
                      <w:lang w:val="en-US" w:eastAsia="zh-CN" w:bidi="ar-SA"/>
                    </w:rPr>
                    <w:t>6-9</w:t>
                  </w:r>
                </w:p>
              </w:tc>
              <w:tc>
                <w:tcPr>
                  <w:tcW w:w="854" w:type="dxa"/>
                  <w:tcBorders>
                    <w:tl2br w:val="nil"/>
                    <w:tr2bl w:val="nil"/>
                  </w:tcBorders>
                  <w:vAlign w:val="center"/>
                </w:tcPr>
                <w:p>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400</w:t>
                  </w:r>
                </w:p>
              </w:tc>
              <w:tc>
                <w:tcPr>
                  <w:tcW w:w="918" w:type="dxa"/>
                  <w:tcBorders>
                    <w:tl2br w:val="nil"/>
                    <w:tr2bl w:val="nil"/>
                  </w:tcBorders>
                  <w:vAlign w:val="center"/>
                </w:tcPr>
                <w:p>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180</w:t>
                  </w:r>
                </w:p>
              </w:tc>
              <w:tc>
                <w:tcPr>
                  <w:tcW w:w="854" w:type="dxa"/>
                  <w:tcBorders>
                    <w:tl2br w:val="nil"/>
                    <w:tr2bl w:val="nil"/>
                  </w:tcBorders>
                  <w:vAlign w:val="center"/>
                </w:tcPr>
                <w:p>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280</w:t>
                  </w:r>
                </w:p>
              </w:tc>
              <w:tc>
                <w:tcPr>
                  <w:tcW w:w="1026" w:type="dxa"/>
                  <w:tcBorders>
                    <w:tl2br w:val="nil"/>
                    <w:tr2bl w:val="nil"/>
                  </w:tcBorders>
                  <w:vAlign w:val="center"/>
                </w:tcPr>
                <w:p>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pPr>
                  <w:r>
                    <w:rPr>
                      <w:rFonts w:hint="eastAsia" w:cs="Times New Roman"/>
                      <w:color w:val="auto"/>
                      <w:kern w:val="2"/>
                      <w:sz w:val="21"/>
                      <w:szCs w:val="21"/>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448" w:type="pct"/>
                  <w:vMerge w:val="restart"/>
                  <w:tcBorders>
                    <w:tl2br w:val="nil"/>
                    <w:tr2bl w:val="nil"/>
                  </w:tcBorders>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冷却排水</w:t>
                  </w:r>
                </w:p>
              </w:tc>
              <w:tc>
                <w:tcPr>
                  <w:tcW w:w="1977" w:type="pct"/>
                  <w:tcBorders>
                    <w:tl2br w:val="nil"/>
                    <w:tr2bl w:val="nil"/>
                  </w:tcBorders>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项目</w:t>
                  </w:r>
                </w:p>
              </w:tc>
              <w:tc>
                <w:tcPr>
                  <w:tcW w:w="1253" w:type="pct"/>
                  <w:gridSpan w:val="2"/>
                  <w:tcBorders>
                    <w:tl2br w:val="nil"/>
                    <w:tr2bl w:val="nil"/>
                  </w:tcBorders>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COD</w:t>
                  </w:r>
                </w:p>
              </w:tc>
              <w:tc>
                <w:tcPr>
                  <w:tcW w:w="1320" w:type="pct"/>
                  <w:gridSpan w:val="3"/>
                  <w:tcBorders>
                    <w:tl2br w:val="nil"/>
                    <w:tr2bl w:val="nil"/>
                  </w:tcBorders>
                  <w:vAlign w:val="center"/>
                </w:tcPr>
                <w:p>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8" w:type="pct"/>
                  <w:vMerge w:val="continue"/>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cs="Times New Roman"/>
                      <w:color w:val="auto"/>
                      <w:kern w:val="2"/>
                      <w:sz w:val="21"/>
                      <w:szCs w:val="21"/>
                      <w:lang w:val="en-US" w:eastAsia="zh-CN" w:bidi="ar-SA"/>
                    </w:rPr>
                  </w:pPr>
                </w:p>
              </w:tc>
              <w:tc>
                <w:tcPr>
                  <w:tcW w:w="1977"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冷却排水产生量（m</w:t>
                  </w:r>
                  <w:r>
                    <w:rPr>
                      <w:rFonts w:hint="eastAsia" w:cs="Times New Roman"/>
                      <w:color w:val="auto"/>
                      <w:kern w:val="2"/>
                      <w:sz w:val="21"/>
                      <w:szCs w:val="21"/>
                      <w:vertAlign w:val="superscript"/>
                      <w:lang w:val="en-US" w:eastAsia="zh-CN" w:bidi="ar-SA"/>
                    </w:rPr>
                    <w:t>3</w:t>
                  </w:r>
                  <w:r>
                    <w:rPr>
                      <w:rFonts w:hint="eastAsia" w:cs="Times New Roman"/>
                      <w:color w:val="auto"/>
                      <w:kern w:val="2"/>
                      <w:sz w:val="21"/>
                      <w:szCs w:val="21"/>
                      <w:lang w:val="en-US" w:eastAsia="zh-CN" w:bidi="ar-SA"/>
                    </w:rPr>
                    <w:t>/a）</w:t>
                  </w:r>
                </w:p>
              </w:tc>
              <w:tc>
                <w:tcPr>
                  <w:tcW w:w="2573" w:type="pct"/>
                  <w:gridSpan w:val="5"/>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4" w:hRule="atLeast"/>
                <w:jc w:val="center"/>
              </w:trPr>
              <w:tc>
                <w:tcPr>
                  <w:tcW w:w="448" w:type="pct"/>
                  <w:vMerge w:val="continue"/>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cs="Times New Roman"/>
                      <w:color w:val="auto"/>
                      <w:kern w:val="2"/>
                      <w:sz w:val="21"/>
                      <w:szCs w:val="21"/>
                      <w:lang w:val="en-US" w:eastAsia="zh-CN" w:bidi="ar-SA"/>
                    </w:rPr>
                  </w:pPr>
                </w:p>
              </w:tc>
              <w:tc>
                <w:tcPr>
                  <w:tcW w:w="1977"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冷却排水</w:t>
                  </w:r>
                  <w:r>
                    <w:rPr>
                      <w:rFonts w:hint="default" w:ascii="Times New Roman" w:hAnsi="Times New Roman" w:eastAsia="宋体" w:cs="Times New Roman"/>
                      <w:color w:val="auto"/>
                      <w:kern w:val="2"/>
                      <w:sz w:val="21"/>
                      <w:szCs w:val="21"/>
                      <w:lang w:val="en-US" w:eastAsia="zh-CN" w:bidi="ar-SA"/>
                    </w:rPr>
                    <w:t>污染物产生浓度（mg/L）</w:t>
                  </w:r>
                </w:p>
              </w:tc>
              <w:tc>
                <w:tcPr>
                  <w:tcW w:w="1253" w:type="pct"/>
                  <w:gridSpan w:val="2"/>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200</w:t>
                  </w:r>
                </w:p>
              </w:tc>
              <w:tc>
                <w:tcPr>
                  <w:tcW w:w="1320" w:type="pct"/>
                  <w:gridSpan w:val="3"/>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448" w:type="pct"/>
                  <w:vMerge w:val="continue"/>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cs="Times New Roman"/>
                      <w:color w:val="auto"/>
                      <w:kern w:val="2"/>
                      <w:sz w:val="21"/>
                      <w:szCs w:val="21"/>
                      <w:lang w:val="en-US" w:eastAsia="zh-CN" w:bidi="ar-SA"/>
                    </w:rPr>
                  </w:pPr>
                </w:p>
              </w:tc>
              <w:tc>
                <w:tcPr>
                  <w:tcW w:w="1977"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冷却排水</w:t>
                  </w:r>
                  <w:r>
                    <w:rPr>
                      <w:rFonts w:hint="default" w:ascii="Times New Roman" w:hAnsi="Times New Roman" w:eastAsia="宋体" w:cs="Times New Roman"/>
                      <w:color w:val="auto"/>
                      <w:kern w:val="2"/>
                      <w:sz w:val="21"/>
                      <w:szCs w:val="21"/>
                      <w:lang w:val="en-US" w:eastAsia="zh-CN" w:bidi="ar-SA"/>
                    </w:rPr>
                    <w:t>污染物产生量（t/a）</w:t>
                  </w:r>
                </w:p>
              </w:tc>
              <w:tc>
                <w:tcPr>
                  <w:tcW w:w="1253" w:type="pct"/>
                  <w:gridSpan w:val="2"/>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18"/>
                      <w:lang w:val="en-US" w:eastAsia="zh-CN"/>
                    </w:rPr>
                    <w:t>0.00008</w:t>
                  </w:r>
                </w:p>
              </w:tc>
              <w:tc>
                <w:tcPr>
                  <w:tcW w:w="1320" w:type="pct"/>
                  <w:gridSpan w:val="3"/>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18"/>
                      <w:lang w:val="en-US" w:eastAsia="zh-CN"/>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448" w:type="pct"/>
                  <w:vMerge w:val="continue"/>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val="en-US" w:eastAsia="zh-CN" w:bidi="ar-SA"/>
                    </w:rPr>
                  </w:pPr>
                </w:p>
              </w:tc>
              <w:tc>
                <w:tcPr>
                  <w:tcW w:w="1977"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治理措施</w:t>
                  </w:r>
                </w:p>
              </w:tc>
              <w:tc>
                <w:tcPr>
                  <w:tcW w:w="2573" w:type="pct"/>
                  <w:gridSpan w:val="5"/>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48" w:type="pct"/>
                  <w:vMerge w:val="continue"/>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1977"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污染物去除效率</w:t>
                  </w:r>
                  <w:r>
                    <w:rPr>
                      <w:rFonts w:hint="eastAsia" w:cs="Times New Roman"/>
                      <w:color w:val="auto"/>
                      <w:kern w:val="2"/>
                      <w:sz w:val="21"/>
                      <w:szCs w:val="21"/>
                      <w:lang w:val="en-US" w:eastAsia="zh-CN" w:bidi="ar-SA"/>
                    </w:rPr>
                    <w:t>（%）</w:t>
                  </w:r>
                </w:p>
              </w:tc>
              <w:tc>
                <w:tcPr>
                  <w:tcW w:w="1253" w:type="pct"/>
                  <w:gridSpan w:val="2"/>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320" w:type="pct"/>
                  <w:gridSpan w:val="3"/>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atLeast"/>
                <w:jc w:val="center"/>
              </w:trPr>
              <w:tc>
                <w:tcPr>
                  <w:tcW w:w="448" w:type="pct"/>
                  <w:vMerge w:val="continue"/>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1977"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污染物排放浓度</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mg/</w:t>
                  </w:r>
                  <w:r>
                    <w:rPr>
                      <w:rFonts w:hint="eastAsia" w:ascii="Times New Roman" w:hAnsi="Times New Roman" w:eastAsia="宋体" w:cs="Times New Roman"/>
                      <w:color w:val="auto"/>
                      <w:kern w:val="2"/>
                      <w:sz w:val="21"/>
                      <w:szCs w:val="21"/>
                      <w:lang w:val="en-US" w:eastAsia="zh-CN" w:bidi="ar-SA"/>
                    </w:rPr>
                    <w:t>L）</w:t>
                  </w:r>
                </w:p>
              </w:tc>
              <w:tc>
                <w:tcPr>
                  <w:tcW w:w="1253" w:type="pct"/>
                  <w:gridSpan w:val="2"/>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200</w:t>
                  </w:r>
                </w:p>
              </w:tc>
              <w:tc>
                <w:tcPr>
                  <w:tcW w:w="1320" w:type="pct"/>
                  <w:gridSpan w:val="3"/>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48" w:type="pct"/>
                  <w:vMerge w:val="continue"/>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1977"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污染物排放量（t/a）</w:t>
                  </w:r>
                </w:p>
              </w:tc>
              <w:tc>
                <w:tcPr>
                  <w:tcW w:w="1253" w:type="pct"/>
                  <w:gridSpan w:val="2"/>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18"/>
                      <w:lang w:val="en-US" w:eastAsia="zh-CN"/>
                    </w:rPr>
                    <w:t>0.00008</w:t>
                  </w:r>
                </w:p>
              </w:tc>
              <w:tc>
                <w:tcPr>
                  <w:tcW w:w="1320" w:type="pct"/>
                  <w:gridSpan w:val="3"/>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18"/>
                      <w:lang w:val="en-US" w:eastAsia="zh-CN"/>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48" w:type="pct"/>
                  <w:vMerge w:val="continue"/>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cs="Times New Roman"/>
                      <w:color w:val="auto"/>
                      <w:kern w:val="2"/>
                      <w:sz w:val="21"/>
                      <w:szCs w:val="21"/>
                      <w:lang w:val="en-US" w:eastAsia="zh-CN" w:bidi="ar-SA"/>
                    </w:rPr>
                  </w:pPr>
                </w:p>
              </w:tc>
              <w:tc>
                <w:tcPr>
                  <w:tcW w:w="1977"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执行标准</w:t>
                  </w:r>
                  <w:r>
                    <w:rPr>
                      <w:rFonts w:hint="default" w:ascii="Times New Roman" w:hAnsi="Times New Roman" w:eastAsia="宋体" w:cs="Times New Roman"/>
                      <w:color w:val="auto"/>
                      <w:kern w:val="2"/>
                      <w:sz w:val="21"/>
                      <w:szCs w:val="21"/>
                      <w:lang w:val="en-US" w:eastAsia="zh-CN" w:bidi="ar-SA"/>
                    </w:rPr>
                    <w:t>（mg/L）</w:t>
                  </w:r>
                </w:p>
              </w:tc>
              <w:tc>
                <w:tcPr>
                  <w:tcW w:w="1253" w:type="pct"/>
                  <w:gridSpan w:val="2"/>
                  <w:tcBorders>
                    <w:tl2br w:val="nil"/>
                    <w:tr2bl w:val="nil"/>
                  </w:tcBorders>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400</w:t>
                  </w:r>
                </w:p>
              </w:tc>
              <w:tc>
                <w:tcPr>
                  <w:tcW w:w="1320" w:type="pct"/>
                  <w:gridSpan w:val="3"/>
                  <w:tcBorders>
                    <w:tl2br w:val="nil"/>
                    <w:tr2bl w:val="nil"/>
                  </w:tcBorders>
                  <w:vAlign w:val="center"/>
                </w:tcPr>
                <w:p>
                  <w:pPr>
                    <w:keepNext w:val="0"/>
                    <w:keepLines w:val="0"/>
                    <w:widowControl w:val="0"/>
                    <w:suppressLineNumbers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280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lang w:val="en-US" w:eastAsia="zh-CN"/>
              </w:rPr>
            </w:pPr>
          </w:p>
          <w:p>
            <w:pPr>
              <w:keepNext w:val="0"/>
              <w:keepLines w:val="0"/>
              <w:suppressLineNumbers w:val="0"/>
              <w:spacing w:before="0" w:beforeAutospacing="0" w:after="0" w:afterAutospacing="0" w:line="360" w:lineRule="auto"/>
              <w:ind w:left="0" w:right="0" w:firstLine="481"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（3）废水治理设施技术可行性分析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lang w:val="en-US" w:eastAsia="zh-CN"/>
              </w:rPr>
            </w:pPr>
            <w:r>
              <w:rPr>
                <w:rFonts w:hint="default" w:ascii="Times New Roman" w:hAnsi="Times New Roman" w:cs="Times New Roman"/>
                <w:color w:val="000000" w:themeColor="text1"/>
                <w:sz w:val="24"/>
                <w14:textFill>
                  <w14:solidFill>
                    <w14:schemeClr w14:val="tx1"/>
                  </w14:solidFill>
                </w14:textFill>
              </w:rPr>
              <w:t>厂区生活污水</w:t>
            </w:r>
            <w:r>
              <w:rPr>
                <w:rFonts w:hint="default" w:ascii="Times New Roman" w:hAnsi="Times New Roman" w:cs="Times New Roman"/>
                <w:color w:val="000000" w:themeColor="text1"/>
                <w:sz w:val="24"/>
                <w:lang w:eastAsia="zh-CN"/>
                <w14:textFill>
                  <w14:solidFill>
                    <w14:schemeClr w14:val="tx1"/>
                  </w14:solidFill>
                </w14:textFill>
              </w:rPr>
              <w:t>经</w:t>
            </w:r>
            <w:r>
              <w:rPr>
                <w:rFonts w:hint="eastAsia" w:cs="Times New Roman"/>
                <w:color w:val="000000" w:themeColor="text1"/>
                <w:sz w:val="24"/>
                <w:lang w:val="en-US" w:eastAsia="zh-CN"/>
                <w14:textFill>
                  <w14:solidFill>
                    <w14:schemeClr w14:val="tx1"/>
                  </w14:solidFill>
                </w14:textFill>
              </w:rPr>
              <w:t>化粪池</w:t>
            </w:r>
            <w:r>
              <w:rPr>
                <w:rFonts w:hint="default" w:ascii="Times New Roman" w:hAnsi="Times New Roman" w:cs="Times New Roman"/>
                <w:color w:val="000000" w:themeColor="text1"/>
                <w:sz w:val="24"/>
                <w:lang w:val="en-US" w:eastAsia="zh-CN"/>
                <w14:textFill>
                  <w14:solidFill>
                    <w14:schemeClr w14:val="tx1"/>
                  </w14:solidFill>
                </w14:textFill>
              </w:rPr>
              <w:t>收集</w:t>
            </w:r>
            <w:r>
              <w:rPr>
                <w:rFonts w:hint="eastAsia" w:cs="Times New Roman"/>
                <w:color w:val="000000" w:themeColor="text1"/>
                <w:sz w:val="24"/>
                <w:lang w:val="en-US" w:eastAsia="zh-CN"/>
                <w14:textFill>
                  <w14:solidFill>
                    <w14:schemeClr w14:val="tx1"/>
                  </w14:solidFill>
                </w14:textFill>
              </w:rPr>
              <w:t>处理</w:t>
            </w:r>
            <w:r>
              <w:rPr>
                <w:rFonts w:hint="default" w:ascii="Times New Roman" w:hAnsi="Times New Roman" w:cs="Times New Roman"/>
                <w:color w:val="000000" w:themeColor="text1"/>
                <w:sz w:val="24"/>
                <w14:textFill>
                  <w14:solidFill>
                    <w14:schemeClr w14:val="tx1"/>
                  </w14:solidFill>
                </w14:textFill>
              </w:rPr>
              <w:t>后</w:t>
            </w:r>
            <w:r>
              <w:rPr>
                <w:rFonts w:hint="eastAsia" w:cs="Times New Roman"/>
                <w:color w:val="000000" w:themeColor="text1"/>
                <w:sz w:val="24"/>
                <w:lang w:val="en-US" w:eastAsia="zh-CN"/>
                <w14:textFill>
                  <w14:solidFill>
                    <w14:schemeClr w14:val="tx1"/>
                  </w14:solidFill>
                </w14:textFill>
              </w:rPr>
              <w:t>与</w:t>
            </w:r>
            <w:r>
              <w:rPr>
                <w:rFonts w:hint="eastAsia" w:hAnsi="宋体"/>
                <w:sz w:val="24"/>
                <w:lang w:val="en-US" w:eastAsia="zh-CN"/>
              </w:rPr>
              <w:t>废气喷淋降温冷却水</w:t>
            </w:r>
            <w:r>
              <w:rPr>
                <w:rFonts w:hint="default" w:ascii="Times New Roman" w:hAnsi="Times New Roman" w:cs="Times New Roman"/>
                <w:color w:val="000000" w:themeColor="text1"/>
                <w:sz w:val="24"/>
                <w14:textFill>
                  <w14:solidFill>
                    <w14:schemeClr w14:val="tx1"/>
                  </w14:solidFill>
                </w14:textFill>
              </w:rPr>
              <w:t>排入市政污水管网，进入</w:t>
            </w:r>
            <w:r>
              <w:rPr>
                <w:rFonts w:hint="eastAsia" w:cs="Times New Roman"/>
                <w:color w:val="auto"/>
                <w:sz w:val="24"/>
                <w:szCs w:val="24"/>
                <w:lang w:eastAsia="zh-CN"/>
              </w:rPr>
              <w:t>金寨现代产业园污水处理厂</w:t>
            </w:r>
            <w:r>
              <w:rPr>
                <w:rFonts w:hint="default" w:ascii="Times New Roman" w:hAnsi="Times New Roman" w:cs="Times New Roman"/>
                <w:color w:val="000000" w:themeColor="text1"/>
                <w:sz w:val="24"/>
                <w14:textFill>
                  <w14:solidFill>
                    <w14:schemeClr w14:val="tx1"/>
                  </w14:solidFill>
                </w14:textFill>
              </w:rPr>
              <w:t>处理</w:t>
            </w:r>
            <w:r>
              <w:rPr>
                <w:rFonts w:hint="default" w:ascii="Times New Roman" w:hAnsi="Times New Roman" w:cs="Times New Roman"/>
                <w:color w:val="000000" w:themeColor="text1"/>
                <w:sz w:val="24"/>
                <w:lang w:val="en-US" w:eastAsia="zh-CN"/>
                <w14:textFill>
                  <w14:solidFill>
                    <w14:schemeClr w14:val="tx1"/>
                  </w14:solidFill>
                </w14:textFill>
              </w:rPr>
              <w:t>后排入</w:t>
            </w:r>
            <w:r>
              <w:rPr>
                <w:rFonts w:hint="eastAsia" w:cs="Times New Roman"/>
                <w:color w:val="000000" w:themeColor="text1"/>
                <w:sz w:val="24"/>
                <w:lang w:val="en-US" w:eastAsia="zh-CN"/>
                <w14:textFill>
                  <w14:solidFill>
                    <w14:schemeClr w14:val="tx1"/>
                  </w14:solidFill>
                </w14:textFill>
              </w:rPr>
              <w:t>史</w:t>
            </w:r>
            <w:r>
              <w:rPr>
                <w:rFonts w:hint="default" w:ascii="Times New Roman" w:hAnsi="Times New Roman" w:cs="Times New Roman"/>
                <w:color w:val="000000" w:themeColor="text1"/>
                <w:sz w:val="24"/>
                <w:lang w:val="en-US" w:eastAsia="zh-CN"/>
                <w14:textFill>
                  <w14:solidFill>
                    <w14:schemeClr w14:val="tx1"/>
                  </w14:solidFill>
                </w14:textFill>
              </w:rPr>
              <w:t>河</w:t>
            </w:r>
            <w:r>
              <w:rPr>
                <w:rFonts w:hint="default" w:ascii="Times New Roman" w:hAnsi="Times New Roman" w:cs="Times New Roman"/>
                <w:color w:val="000000" w:themeColor="text1"/>
                <w:sz w:val="24"/>
                <w14:textFill>
                  <w14:solidFill>
                    <w14:schemeClr w14:val="tx1"/>
                  </w14:solidFill>
                </w14:textFill>
              </w:rPr>
              <w:t>。根据分析可知，项目废水经预处理后满足</w:t>
            </w:r>
            <w:r>
              <w:rPr>
                <w:rFonts w:hint="eastAsia" w:cs="Times New Roman"/>
                <w:color w:val="auto"/>
                <w:sz w:val="24"/>
                <w:szCs w:val="24"/>
                <w:lang w:eastAsia="zh-CN"/>
              </w:rPr>
              <w:t>金寨现代产业园污水处理厂</w:t>
            </w:r>
            <w:r>
              <w:rPr>
                <w:rFonts w:hint="default" w:ascii="Times New Roman" w:hAnsi="Times New Roman" w:cs="Times New Roman"/>
                <w:color w:val="000000" w:themeColor="text1"/>
                <w:sz w:val="24"/>
                <w14:textFill>
                  <w14:solidFill>
                    <w14:schemeClr w14:val="tx1"/>
                  </w14:solidFill>
                </w14:textFill>
              </w:rPr>
              <w:t>接管标准。</w:t>
            </w:r>
          </w:p>
          <w:p>
            <w:pPr>
              <w:keepNext w:val="0"/>
              <w:keepLines w:val="0"/>
              <w:numPr>
                <w:ilvl w:val="0"/>
                <w:numId w:val="0"/>
              </w:numPr>
              <w:suppressLineNumbers w:val="0"/>
              <w:autoSpaceDE w:val="0"/>
              <w:spacing w:before="0" w:beforeAutospacing="0" w:after="0" w:afterAutospacing="0" w:line="360" w:lineRule="auto"/>
              <w:ind w:left="480" w:leftChars="0" w:right="0"/>
              <w:rPr>
                <w:rFonts w:hint="default" w:ascii="Times New Roman" w:hAnsi="Times New Roman" w:eastAsia="宋体" w:cs="Times New Roman"/>
                <w:b/>
                <w:bCs/>
                <w:color w:val="auto"/>
                <w:kern w:val="0"/>
                <w:sz w:val="24"/>
                <w:lang w:val="en-US" w:eastAsia="zh-CN" w:bidi="ar"/>
              </w:rPr>
            </w:pPr>
            <w:r>
              <w:rPr>
                <w:rFonts w:hint="eastAsia" w:cs="Times New Roman"/>
                <w:b/>
                <w:bCs/>
                <w:color w:val="auto"/>
                <w:kern w:val="0"/>
                <w:sz w:val="24"/>
                <w:lang w:val="en-US" w:eastAsia="zh-CN" w:bidi="ar"/>
              </w:rPr>
              <w:t>（4）依托污水处理厂的可行性分析</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①</w:t>
            </w:r>
            <w:r>
              <w:rPr>
                <w:rFonts w:hint="eastAsia" w:cs="Times New Roman"/>
                <w:color w:val="auto"/>
                <w:sz w:val="24"/>
                <w:szCs w:val="24"/>
                <w:lang w:eastAsia="zh-CN"/>
              </w:rPr>
              <w:t>金寨现代产业园污水处理厂</w:t>
            </w:r>
            <w:r>
              <w:rPr>
                <w:rFonts w:hint="default" w:ascii="Times New Roman" w:hAnsi="Times New Roman" w:eastAsia="宋体" w:cs="Times New Roman"/>
                <w:color w:val="auto"/>
                <w:sz w:val="24"/>
                <w:szCs w:val="24"/>
              </w:rPr>
              <w:t>概况</w:t>
            </w:r>
          </w:p>
          <w:p>
            <w:pPr>
              <w:keepNext w:val="0"/>
              <w:keepLines w:val="0"/>
              <w:pageBreakBefore w:val="0"/>
              <w:widowControl w:val="0"/>
              <w:kinsoku/>
              <w:wordWrap/>
              <w:overflowPunct/>
              <w:topLinePunct w:val="0"/>
              <w:bidi w:val="0"/>
              <w:snapToGrid/>
              <w:spacing w:line="360" w:lineRule="auto"/>
              <w:ind w:firstLine="476" w:firstLineChars="200"/>
              <w:jc w:val="both"/>
              <w:textAlignment w:val="auto"/>
              <w:rPr>
                <w:rFonts w:hint="default" w:ascii="Times New Roman" w:hAnsi="Times New Roman" w:eastAsia="宋体" w:cs="Times New Roman"/>
                <w:color w:val="auto"/>
                <w:spacing w:val="-1"/>
                <w:sz w:val="24"/>
                <w:szCs w:val="24"/>
              </w:rPr>
            </w:pPr>
            <w:r>
              <w:rPr>
                <w:rFonts w:hint="eastAsia" w:cs="Times New Roman"/>
                <w:color w:val="auto"/>
                <w:spacing w:val="-1"/>
                <w:sz w:val="24"/>
                <w:szCs w:val="24"/>
                <w:lang w:eastAsia="zh-CN"/>
              </w:rPr>
              <w:t>金寨现代产业园污水处理厂</w:t>
            </w:r>
            <w:r>
              <w:rPr>
                <w:rFonts w:hint="default" w:ascii="Times New Roman" w:hAnsi="Times New Roman" w:eastAsia="宋体" w:cs="Times New Roman"/>
                <w:color w:val="auto"/>
                <w:spacing w:val="-1"/>
                <w:sz w:val="24"/>
                <w:szCs w:val="24"/>
              </w:rPr>
              <w:t>（一期处理规模</w:t>
            </w:r>
            <w:r>
              <w:rPr>
                <w:rFonts w:hint="default" w:ascii="Times New Roman" w:hAnsi="Times New Roman" w:eastAsia="Times New Roman" w:cs="Times New Roman"/>
                <w:color w:val="auto"/>
                <w:spacing w:val="-1"/>
                <w:sz w:val="24"/>
                <w:szCs w:val="24"/>
              </w:rPr>
              <w:t>2.0</w:t>
            </w:r>
            <w:r>
              <w:rPr>
                <w:rFonts w:hint="default" w:ascii="Times New Roman" w:hAnsi="Times New Roman" w:eastAsia="宋体" w:cs="Times New Roman"/>
                <w:color w:val="auto"/>
                <w:spacing w:val="-1"/>
                <w:sz w:val="24"/>
                <w:szCs w:val="24"/>
              </w:rPr>
              <w:t>万</w:t>
            </w:r>
            <w:r>
              <w:rPr>
                <w:rFonts w:hint="default" w:ascii="Times New Roman" w:hAnsi="Times New Roman" w:eastAsia="Times New Roman" w:cs="Times New Roman"/>
                <w:color w:val="auto"/>
                <w:spacing w:val="-1"/>
                <w:sz w:val="24"/>
                <w:szCs w:val="24"/>
              </w:rPr>
              <w:t>m</w:t>
            </w:r>
            <w:r>
              <w:rPr>
                <w:rFonts w:hint="default" w:ascii="Times New Roman" w:hAnsi="Times New Roman" w:cs="Times New Roman"/>
                <w:color w:val="auto"/>
                <w:spacing w:val="-1"/>
                <w:sz w:val="24"/>
                <w:szCs w:val="24"/>
                <w:vertAlign w:val="superscript"/>
                <w:lang w:val="en-US" w:eastAsia="zh-CN"/>
              </w:rPr>
              <w:t>3</w:t>
            </w:r>
            <w:r>
              <w:rPr>
                <w:rFonts w:hint="default" w:ascii="Times New Roman" w:hAnsi="Times New Roman" w:eastAsia="Times New Roman" w:cs="Times New Roman"/>
                <w:color w:val="auto"/>
                <w:spacing w:val="-1"/>
                <w:sz w:val="24"/>
                <w:szCs w:val="24"/>
              </w:rPr>
              <w:t>/d</w:t>
            </w:r>
            <w:r>
              <w:rPr>
                <w:rFonts w:hint="default" w:ascii="Times New Roman" w:hAnsi="Times New Roman" w:eastAsia="宋体" w:cs="Times New Roman"/>
                <w:color w:val="auto"/>
                <w:spacing w:val="-1"/>
                <w:sz w:val="24"/>
                <w:szCs w:val="24"/>
              </w:rPr>
              <w:t>；二期规划处理规模</w:t>
            </w:r>
            <w:r>
              <w:rPr>
                <w:rFonts w:hint="default" w:ascii="Times New Roman" w:hAnsi="Times New Roman" w:eastAsia="Times New Roman" w:cs="Times New Roman"/>
                <w:color w:val="auto"/>
                <w:spacing w:val="-1"/>
                <w:sz w:val="24"/>
                <w:szCs w:val="24"/>
              </w:rPr>
              <w:t>2.0</w:t>
            </w:r>
            <w:r>
              <w:rPr>
                <w:rFonts w:hint="default" w:ascii="Times New Roman" w:hAnsi="Times New Roman" w:eastAsia="宋体" w:cs="Times New Roman"/>
                <w:color w:val="auto"/>
                <w:spacing w:val="2"/>
                <w:sz w:val="24"/>
                <w:szCs w:val="24"/>
              </w:rPr>
              <w:t>万</w:t>
            </w:r>
            <w:r>
              <w:rPr>
                <w:rFonts w:hint="default" w:ascii="Times New Roman" w:hAnsi="Times New Roman" w:eastAsia="Times New Roman" w:cs="Times New Roman"/>
                <w:color w:val="auto"/>
                <w:spacing w:val="2"/>
                <w:sz w:val="24"/>
                <w:szCs w:val="24"/>
              </w:rPr>
              <w:t>m</w:t>
            </w:r>
            <w:r>
              <w:rPr>
                <w:rFonts w:hint="default" w:ascii="Times New Roman" w:hAnsi="Times New Roman" w:eastAsia="宋体" w:cs="Times New Roman"/>
                <w:color w:val="auto"/>
                <w:spacing w:val="2"/>
                <w:sz w:val="24"/>
                <w:szCs w:val="24"/>
              </w:rPr>
              <w:t>³</w:t>
            </w:r>
            <w:r>
              <w:rPr>
                <w:rFonts w:hint="default" w:ascii="Times New Roman" w:hAnsi="Times New Roman" w:eastAsia="Times New Roman" w:cs="Times New Roman"/>
                <w:color w:val="auto"/>
                <w:spacing w:val="2"/>
                <w:sz w:val="24"/>
                <w:szCs w:val="24"/>
              </w:rPr>
              <w:t>/d</w:t>
            </w:r>
            <w:r>
              <w:rPr>
                <w:rFonts w:hint="default" w:ascii="Times New Roman" w:hAnsi="Times New Roman" w:eastAsia="宋体" w:cs="Times New Roman"/>
                <w:color w:val="auto"/>
                <w:spacing w:val="19"/>
                <w:sz w:val="24"/>
                <w:szCs w:val="24"/>
              </w:rPr>
              <w:t>），</w:t>
            </w:r>
            <w:r>
              <w:rPr>
                <w:rFonts w:hint="default" w:ascii="Times New Roman" w:hAnsi="Times New Roman" w:eastAsia="宋体" w:cs="Times New Roman"/>
                <w:color w:val="auto"/>
                <w:spacing w:val="2"/>
                <w:sz w:val="24"/>
                <w:szCs w:val="24"/>
              </w:rPr>
              <w:t>位于大别山路与大兴寺路交口东北</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3"/>
                <w:sz w:val="24"/>
                <w:szCs w:val="24"/>
              </w:rPr>
              <w:t>目前建成</w:t>
            </w:r>
            <w:r>
              <w:rPr>
                <w:rFonts w:hint="default" w:ascii="Times New Roman" w:hAnsi="Times New Roman" w:eastAsia="宋体" w:cs="Times New Roman"/>
                <w:color w:val="auto"/>
                <w:spacing w:val="2"/>
                <w:sz w:val="24"/>
                <w:szCs w:val="24"/>
              </w:rPr>
              <w:t>一期工程（</w:t>
            </w:r>
            <w:r>
              <w:rPr>
                <w:rFonts w:hint="default" w:ascii="Times New Roman" w:hAnsi="Times New Roman" w:eastAsia="Times New Roman" w:cs="Times New Roman"/>
                <w:color w:val="auto"/>
                <w:spacing w:val="2"/>
                <w:sz w:val="24"/>
                <w:szCs w:val="24"/>
              </w:rPr>
              <w:t>2</w:t>
            </w:r>
            <w:r>
              <w:rPr>
                <w:rFonts w:hint="default" w:ascii="Times New Roman" w:hAnsi="Times New Roman" w:eastAsia="宋体" w:cs="Times New Roman"/>
                <w:color w:val="auto"/>
                <w:spacing w:val="2"/>
                <w:sz w:val="24"/>
                <w:szCs w:val="24"/>
              </w:rPr>
              <w:t>万</w:t>
            </w:r>
            <w:r>
              <w:rPr>
                <w:rFonts w:hint="default" w:ascii="Times New Roman" w:hAnsi="Times New Roman" w:eastAsia="Times New Roman" w:cs="Times New Roman"/>
                <w:color w:val="auto"/>
                <w:spacing w:val="2"/>
                <w:sz w:val="24"/>
                <w:szCs w:val="24"/>
              </w:rPr>
              <w:t>m</w:t>
            </w:r>
            <w:r>
              <w:rPr>
                <w:rFonts w:hint="default" w:ascii="Times New Roman" w:hAnsi="Times New Roman" w:eastAsia="Times New Roman" w:cs="Times New Roman"/>
                <w:color w:val="auto"/>
                <w:spacing w:val="2"/>
                <w:position w:val="7"/>
                <w:sz w:val="15"/>
                <w:szCs w:val="15"/>
              </w:rPr>
              <w:t>3</w:t>
            </w:r>
            <w:r>
              <w:rPr>
                <w:rFonts w:hint="default" w:ascii="Times New Roman" w:hAnsi="Times New Roman" w:eastAsia="Times New Roman" w:cs="Times New Roman"/>
                <w:color w:val="auto"/>
                <w:spacing w:val="2"/>
                <w:sz w:val="24"/>
                <w:szCs w:val="24"/>
              </w:rPr>
              <w:t>/d</w:t>
            </w:r>
            <w:r>
              <w:rPr>
                <w:rFonts w:hint="default" w:ascii="Times New Roman" w:hAnsi="Times New Roman" w:eastAsia="宋体" w:cs="Times New Roman"/>
                <w:color w:val="auto"/>
                <w:spacing w:val="2"/>
                <w:sz w:val="24"/>
                <w:szCs w:val="24"/>
              </w:rPr>
              <w:t>）及配套管网，采用水解酸化</w:t>
            </w:r>
            <w:r>
              <w:rPr>
                <w:rFonts w:hint="default" w:ascii="Times New Roman" w:hAnsi="Times New Roman" w:eastAsia="Times New Roman" w:cs="Times New Roman"/>
                <w:color w:val="auto"/>
                <w:spacing w:val="2"/>
                <w:sz w:val="24"/>
                <w:szCs w:val="24"/>
              </w:rPr>
              <w:t>+</w:t>
            </w:r>
            <w:r>
              <w:rPr>
                <w:rFonts w:hint="default" w:ascii="Times New Roman" w:hAnsi="Times New Roman" w:eastAsia="Times New Roman" w:cs="Times New Roman"/>
                <w:color w:val="auto"/>
                <w:sz w:val="24"/>
                <w:szCs w:val="24"/>
              </w:rPr>
              <w:t>AAO</w:t>
            </w:r>
            <w:r>
              <w:rPr>
                <w:rFonts w:hint="default" w:ascii="Times New Roman" w:hAnsi="Times New Roman" w:eastAsia="Times New Roman" w:cs="Times New Roman"/>
                <w:color w:val="auto"/>
                <w:spacing w:val="2"/>
                <w:sz w:val="24"/>
                <w:szCs w:val="24"/>
              </w:rPr>
              <w:t>+</w:t>
            </w:r>
            <w:r>
              <w:rPr>
                <w:rFonts w:hint="default" w:ascii="Times New Roman" w:hAnsi="Times New Roman" w:eastAsia="宋体" w:cs="Times New Roman"/>
                <w:color w:val="auto"/>
                <w:spacing w:val="2"/>
                <w:sz w:val="24"/>
                <w:szCs w:val="24"/>
              </w:rPr>
              <w:t>二沉</w:t>
            </w:r>
            <w:r>
              <w:rPr>
                <w:rFonts w:hint="default" w:ascii="Times New Roman" w:hAnsi="Times New Roman" w:eastAsia="Times New Roman" w:cs="Times New Roman"/>
                <w:color w:val="auto"/>
                <w:spacing w:val="2"/>
                <w:sz w:val="24"/>
                <w:szCs w:val="24"/>
              </w:rPr>
              <w:t>+</w:t>
            </w:r>
            <w:r>
              <w:rPr>
                <w:rFonts w:hint="default" w:ascii="Times New Roman" w:hAnsi="Times New Roman" w:eastAsia="宋体" w:cs="Times New Roman"/>
                <w:color w:val="auto"/>
                <w:spacing w:val="2"/>
                <w:sz w:val="24"/>
                <w:szCs w:val="24"/>
              </w:rPr>
              <w:t>磁混凝澄清沉淀</w:t>
            </w:r>
            <w:r>
              <w:rPr>
                <w:rFonts w:hint="default" w:ascii="Times New Roman" w:hAnsi="Times New Roman" w:eastAsia="Times New Roman" w:cs="Times New Roman"/>
                <w:color w:val="auto"/>
                <w:spacing w:val="2"/>
                <w:sz w:val="24"/>
                <w:szCs w:val="24"/>
              </w:rPr>
              <w:t>+</w:t>
            </w:r>
            <w:r>
              <w:rPr>
                <w:rFonts w:hint="default" w:ascii="Times New Roman" w:hAnsi="Times New Roman" w:eastAsia="宋体" w:cs="Times New Roman"/>
                <w:color w:val="auto"/>
                <w:spacing w:val="2"/>
                <w:sz w:val="24"/>
                <w:szCs w:val="24"/>
              </w:rPr>
              <w:t>接触</w:t>
            </w:r>
            <w:r>
              <w:rPr>
                <w:rFonts w:hint="default" w:ascii="Times New Roman" w:hAnsi="Times New Roman" w:eastAsia="宋体" w:cs="Times New Roman"/>
                <w:color w:val="auto"/>
                <w:spacing w:val="-1"/>
                <w:sz w:val="24"/>
                <w:szCs w:val="24"/>
              </w:rPr>
              <w:t>消毒工艺，收集废水经处理达到</w:t>
            </w:r>
            <w:r>
              <w:rPr>
                <w:rFonts w:hint="default" w:ascii="Times New Roman" w:hAnsi="Times New Roman" w:eastAsia="宋体" w:cs="Times New Roman"/>
                <w:color w:val="auto"/>
                <w:spacing w:val="2"/>
                <w:sz w:val="24"/>
                <w:szCs w:val="24"/>
              </w:rPr>
              <w:t>《城镇污水处理厂污染物排放标准》（</w:t>
            </w:r>
            <w:r>
              <w:rPr>
                <w:rFonts w:hint="default" w:ascii="Times New Roman" w:hAnsi="Times New Roman" w:eastAsia="Times New Roman" w:cs="Times New Roman"/>
                <w:color w:val="auto"/>
                <w:sz w:val="24"/>
                <w:szCs w:val="24"/>
              </w:rPr>
              <w:t>GB</w:t>
            </w:r>
            <w:r>
              <w:rPr>
                <w:rFonts w:hint="default" w:ascii="Times New Roman" w:hAnsi="Times New Roman" w:eastAsia="Times New Roman" w:cs="Times New Roman"/>
                <w:color w:val="auto"/>
                <w:spacing w:val="2"/>
                <w:sz w:val="24"/>
                <w:szCs w:val="24"/>
              </w:rPr>
              <w:t>18918-2002</w:t>
            </w:r>
            <w:r>
              <w:rPr>
                <w:rFonts w:hint="default" w:ascii="Times New Roman" w:hAnsi="Times New Roman" w:eastAsia="宋体" w:cs="Times New Roman"/>
                <w:color w:val="auto"/>
                <w:spacing w:val="2"/>
                <w:sz w:val="24"/>
                <w:szCs w:val="24"/>
              </w:rPr>
              <w:t>）中一级</w:t>
            </w:r>
            <w:r>
              <w:rPr>
                <w:rFonts w:hint="default" w:ascii="Times New Roman" w:hAnsi="Times New Roman" w:eastAsia="Times New Roman" w:cs="Times New Roman"/>
                <w:color w:val="auto"/>
                <w:spacing w:val="2"/>
                <w:sz w:val="24"/>
                <w:szCs w:val="24"/>
              </w:rPr>
              <w:t>A</w:t>
            </w:r>
            <w:r>
              <w:rPr>
                <w:rFonts w:hint="default" w:ascii="Times New Roman" w:hAnsi="Times New Roman" w:eastAsia="宋体" w:cs="Times New Roman"/>
                <w:color w:val="auto"/>
                <w:spacing w:val="1"/>
                <w:sz w:val="24"/>
                <w:szCs w:val="24"/>
              </w:rPr>
              <w:t>标准后</w:t>
            </w:r>
            <w:r>
              <w:rPr>
                <w:rFonts w:hint="default" w:ascii="Times New Roman" w:hAnsi="Times New Roman" w:eastAsia="宋体" w:cs="Times New Roman"/>
                <w:color w:val="auto"/>
                <w:spacing w:val="-1"/>
                <w:sz w:val="24"/>
                <w:szCs w:val="24"/>
              </w:rPr>
              <w:t>排入史河</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现代产业园污水处理厂正常稳定运行，于</w:t>
            </w:r>
            <w:r>
              <w:rPr>
                <w:rFonts w:hint="default" w:ascii="Times New Roman" w:hAnsi="Times New Roman" w:eastAsia="Times New Roman" w:cs="Times New Roman"/>
                <w:color w:val="auto"/>
                <w:spacing w:val="-1"/>
                <w:sz w:val="24"/>
                <w:szCs w:val="24"/>
              </w:rPr>
              <w:t>2023</w:t>
            </w:r>
            <w:r>
              <w:rPr>
                <w:rFonts w:hint="default" w:ascii="Times New Roman" w:hAnsi="Times New Roman" w:eastAsia="宋体" w:cs="Times New Roman"/>
                <w:color w:val="auto"/>
                <w:spacing w:val="-1"/>
                <w:sz w:val="24"/>
                <w:szCs w:val="24"/>
              </w:rPr>
              <w:t>年</w:t>
            </w:r>
            <w:r>
              <w:rPr>
                <w:rFonts w:hint="default" w:ascii="Times New Roman" w:hAnsi="Times New Roman" w:eastAsia="Times New Roman" w:cs="Times New Roman"/>
                <w:color w:val="auto"/>
                <w:spacing w:val="-1"/>
                <w:sz w:val="24"/>
                <w:szCs w:val="24"/>
              </w:rPr>
              <w:t>5</w:t>
            </w:r>
            <w:r>
              <w:rPr>
                <w:rFonts w:hint="default" w:ascii="Times New Roman" w:hAnsi="Times New Roman" w:eastAsia="宋体" w:cs="Times New Roman"/>
                <w:color w:val="auto"/>
                <w:spacing w:val="-1"/>
                <w:sz w:val="24"/>
                <w:szCs w:val="24"/>
              </w:rPr>
              <w:t>月通过竣工环保</w:t>
            </w:r>
            <w:r>
              <w:rPr>
                <w:rFonts w:hint="default" w:ascii="Times New Roman" w:hAnsi="Times New Roman" w:eastAsia="宋体" w:cs="Times New Roman"/>
                <w:color w:val="auto"/>
                <w:spacing w:val="-3"/>
                <w:sz w:val="24"/>
                <w:szCs w:val="24"/>
              </w:rPr>
              <w:t>“三同时”验收，环保手续齐全。根据</w:t>
            </w:r>
            <w:r>
              <w:rPr>
                <w:rFonts w:hint="eastAsia" w:cs="Times New Roman"/>
                <w:color w:val="auto"/>
                <w:spacing w:val="-3"/>
                <w:sz w:val="24"/>
                <w:szCs w:val="24"/>
                <w:lang w:eastAsia="zh-CN"/>
              </w:rPr>
              <w:t>金寨现代产业园污水处理厂</w:t>
            </w:r>
            <w:r>
              <w:rPr>
                <w:rFonts w:hint="default" w:ascii="Times New Roman" w:hAnsi="Times New Roman" w:eastAsia="Times New Roman" w:cs="Times New Roman"/>
                <w:color w:val="auto"/>
                <w:spacing w:val="-3"/>
                <w:sz w:val="24"/>
                <w:szCs w:val="24"/>
              </w:rPr>
              <w:t>2023</w:t>
            </w:r>
            <w:r>
              <w:rPr>
                <w:rFonts w:hint="default" w:ascii="Times New Roman" w:hAnsi="Times New Roman" w:eastAsia="宋体" w:cs="Times New Roman"/>
                <w:color w:val="auto"/>
                <w:spacing w:val="-3"/>
                <w:sz w:val="24"/>
                <w:szCs w:val="24"/>
              </w:rPr>
              <w:t>年</w:t>
            </w:r>
            <w:r>
              <w:rPr>
                <w:rFonts w:hint="default" w:ascii="Times New Roman" w:hAnsi="Times New Roman" w:eastAsia="Times New Roman" w:cs="Times New Roman"/>
                <w:color w:val="auto"/>
                <w:spacing w:val="-3"/>
                <w:sz w:val="24"/>
                <w:szCs w:val="24"/>
              </w:rPr>
              <w:t>1</w:t>
            </w:r>
            <w:r>
              <w:rPr>
                <w:rFonts w:hint="default" w:ascii="Times New Roman" w:hAnsi="Times New Roman" w:eastAsia="宋体" w:cs="Times New Roman"/>
                <w:color w:val="auto"/>
                <w:spacing w:val="-3"/>
                <w:sz w:val="24"/>
                <w:szCs w:val="24"/>
              </w:rPr>
              <w:t>月至</w:t>
            </w:r>
            <w:r>
              <w:rPr>
                <w:rFonts w:hint="default" w:ascii="Times New Roman" w:hAnsi="Times New Roman" w:eastAsia="Times New Roman" w:cs="Times New Roman"/>
                <w:color w:val="auto"/>
                <w:spacing w:val="-3"/>
                <w:sz w:val="24"/>
                <w:szCs w:val="24"/>
              </w:rPr>
              <w:t>11</w:t>
            </w:r>
            <w:r>
              <w:rPr>
                <w:rFonts w:hint="default" w:ascii="Times New Roman" w:hAnsi="Times New Roman" w:eastAsia="宋体" w:cs="Times New Roman"/>
                <w:color w:val="auto"/>
                <w:spacing w:val="-1"/>
                <w:sz w:val="24"/>
                <w:szCs w:val="24"/>
              </w:rPr>
              <w:t>月污水处理流量计统计，金寨现代产业园污水处理厂收水范围</w:t>
            </w:r>
            <w:r>
              <w:rPr>
                <w:rFonts w:hint="default" w:ascii="Times New Roman" w:hAnsi="Times New Roman" w:eastAsia="宋体" w:cs="Times New Roman"/>
                <w:color w:val="auto"/>
                <w:spacing w:val="-2"/>
                <w:sz w:val="24"/>
                <w:szCs w:val="24"/>
              </w:rPr>
              <w:t>为金寨现代产业园北翼区</w:t>
            </w:r>
            <w:r>
              <w:rPr>
                <w:rFonts w:hint="default" w:ascii="Times New Roman" w:hAnsi="Times New Roman" w:eastAsia="宋体" w:cs="Times New Roman"/>
                <w:color w:val="auto"/>
                <w:spacing w:val="-3"/>
                <w:sz w:val="24"/>
                <w:szCs w:val="24"/>
              </w:rPr>
              <w:t>域，日平均废水处理量约为</w:t>
            </w:r>
            <w:r>
              <w:rPr>
                <w:rFonts w:hint="default" w:ascii="Times New Roman" w:hAnsi="Times New Roman" w:eastAsia="Times New Roman" w:cs="Times New Roman"/>
                <w:color w:val="auto"/>
                <w:spacing w:val="-3"/>
                <w:sz w:val="24"/>
                <w:szCs w:val="24"/>
              </w:rPr>
              <w:t>7800m</w:t>
            </w:r>
            <w:r>
              <w:rPr>
                <w:rFonts w:hint="default" w:ascii="Times New Roman" w:hAnsi="Times New Roman" w:eastAsia="Times New Roman" w:cs="Times New Roman"/>
                <w:color w:val="auto"/>
                <w:spacing w:val="-3"/>
                <w:position w:val="8"/>
                <w:sz w:val="15"/>
                <w:szCs w:val="15"/>
              </w:rPr>
              <w:t>3</w:t>
            </w:r>
            <w:r>
              <w:rPr>
                <w:rFonts w:hint="default" w:ascii="Times New Roman" w:hAnsi="Times New Roman" w:eastAsia="Times New Roman" w:cs="Times New Roman"/>
                <w:color w:val="auto"/>
                <w:spacing w:val="-3"/>
                <w:sz w:val="24"/>
                <w:szCs w:val="24"/>
              </w:rPr>
              <w:t>/d</w:t>
            </w:r>
            <w:r>
              <w:rPr>
                <w:rFonts w:hint="default" w:ascii="Times New Roman" w:hAnsi="Times New Roman" w:eastAsia="宋体" w:cs="Times New Roman"/>
                <w:color w:val="auto"/>
                <w:spacing w:val="-3"/>
                <w:sz w:val="24"/>
                <w:szCs w:val="24"/>
              </w:rPr>
              <w:t>，尚有处理余量</w:t>
            </w:r>
            <w:r>
              <w:rPr>
                <w:rFonts w:hint="default" w:ascii="Times New Roman" w:hAnsi="Times New Roman" w:eastAsia="Times New Roman" w:cs="Times New Roman"/>
                <w:color w:val="auto"/>
                <w:spacing w:val="-3"/>
                <w:sz w:val="24"/>
                <w:szCs w:val="24"/>
              </w:rPr>
              <w:t>1</w:t>
            </w:r>
            <w:r>
              <w:rPr>
                <w:rFonts w:hint="default" w:ascii="Times New Roman" w:hAnsi="Times New Roman" w:eastAsia="Times New Roman" w:cs="Times New Roman"/>
                <w:color w:val="auto"/>
                <w:spacing w:val="-4"/>
                <w:sz w:val="24"/>
                <w:szCs w:val="24"/>
              </w:rPr>
              <w:t>2200m</w:t>
            </w:r>
            <w:r>
              <w:rPr>
                <w:rFonts w:hint="default" w:ascii="Times New Roman" w:hAnsi="Times New Roman" w:eastAsia="Times New Roman" w:cs="Times New Roman"/>
                <w:color w:val="auto"/>
                <w:spacing w:val="-4"/>
                <w:position w:val="8"/>
                <w:sz w:val="15"/>
                <w:szCs w:val="15"/>
              </w:rPr>
              <w:t>3</w:t>
            </w:r>
            <w:r>
              <w:rPr>
                <w:rFonts w:hint="default" w:ascii="Times New Roman" w:hAnsi="Times New Roman" w:eastAsia="Times New Roman" w:cs="Times New Roman"/>
                <w:color w:val="auto"/>
                <w:spacing w:val="-4"/>
                <w:sz w:val="24"/>
                <w:szCs w:val="24"/>
              </w:rPr>
              <w:t>/d</w:t>
            </w:r>
            <w:r>
              <w:rPr>
                <w:rFonts w:hint="default" w:ascii="Times New Roman" w:hAnsi="Times New Roman" w:eastAsia="宋体" w:cs="Times New Roman"/>
                <w:color w:val="auto"/>
                <w:spacing w:val="-4"/>
                <w:sz w:val="24"/>
                <w:szCs w:val="24"/>
              </w:rPr>
              <w:t>。</w:t>
            </w:r>
          </w:p>
          <w:p>
            <w:pPr>
              <w:keepNext w:val="0"/>
              <w:keepLines w:val="0"/>
              <w:pageBreakBefore w:val="0"/>
              <w:widowControl w:val="0"/>
              <w:kinsoku/>
              <w:wordWrap/>
              <w:overflowPunct/>
              <w:topLinePunct w:val="0"/>
              <w:bidi w:val="0"/>
              <w:snapToGrid/>
              <w:spacing w:line="360" w:lineRule="auto"/>
              <w:ind w:left="0" w:right="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eastAsia="zh-CN"/>
              </w:rPr>
              <w:t>②接管可行性</w:t>
            </w:r>
            <w:r>
              <w:rPr>
                <w:rFonts w:hint="default" w:ascii="Times New Roman" w:hAnsi="Times New Roman" w:cs="Times New Roman"/>
                <w:bCs/>
                <w:color w:val="auto"/>
                <w:sz w:val="24"/>
                <w:szCs w:val="24"/>
                <w:lang w:val="en-US" w:eastAsia="zh-CN"/>
              </w:rPr>
              <w:t>分析</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eastAsia="zh-CN"/>
              </w:rPr>
            </w:pPr>
            <w:r>
              <w:rPr>
                <w:rFonts w:hint="eastAsia" w:cs="Times New Roman"/>
                <w:b w:val="0"/>
                <w:bCs w:val="0"/>
                <w:color w:val="auto"/>
                <w:sz w:val="24"/>
                <w:lang w:val="en-US" w:eastAsia="zh-CN"/>
              </w:rPr>
              <w:t>废水经化粪池处理后</w:t>
            </w:r>
            <w:r>
              <w:rPr>
                <w:rFonts w:hint="default" w:ascii="Times New Roman" w:hAnsi="Times New Roman" w:cs="Times New Roman"/>
                <w:bCs/>
                <w:color w:val="auto"/>
                <w:sz w:val="24"/>
                <w:szCs w:val="24"/>
                <w:lang w:val="en-US" w:eastAsia="zh-CN"/>
              </w:rPr>
              <w:t>各污染物浓度满足</w:t>
            </w:r>
            <w:r>
              <w:rPr>
                <w:rFonts w:hint="eastAsia" w:cs="Times New Roman"/>
                <w:bCs/>
                <w:color w:val="auto"/>
                <w:sz w:val="24"/>
                <w:szCs w:val="24"/>
                <w:lang w:val="en-US" w:eastAsia="zh-CN"/>
              </w:rPr>
              <w:t>金寨现代产业园污水处理厂</w:t>
            </w:r>
            <w:r>
              <w:rPr>
                <w:rFonts w:hint="default" w:ascii="Times New Roman" w:hAnsi="Times New Roman" w:cs="Times New Roman"/>
                <w:bCs/>
                <w:color w:val="auto"/>
                <w:sz w:val="24"/>
                <w:szCs w:val="24"/>
                <w:lang w:val="en-US" w:eastAsia="zh-CN"/>
              </w:rPr>
              <w:t>接管标准</w:t>
            </w:r>
            <w:r>
              <w:rPr>
                <w:rFonts w:hint="default" w:ascii="Times New Roman" w:hAnsi="Times New Roman" w:eastAsia="宋体" w:cs="Times New Roman"/>
                <w:bCs/>
                <w:color w:val="auto"/>
                <w:sz w:val="24"/>
                <w:szCs w:val="24"/>
                <w:lang w:val="en-US" w:eastAsia="zh-CN"/>
              </w:rPr>
              <w:t>，</w:t>
            </w:r>
            <w:r>
              <w:rPr>
                <w:rFonts w:hint="default" w:ascii="Times New Roman" w:hAnsi="Times New Roman" w:eastAsia="宋体" w:cs="Times New Roman"/>
                <w:color w:val="auto"/>
                <w:sz w:val="24"/>
                <w:lang w:eastAsia="zh-CN"/>
              </w:rPr>
              <w:t>根据调查，项目</w:t>
            </w:r>
            <w:r>
              <w:rPr>
                <w:rFonts w:hint="default" w:ascii="Times New Roman" w:hAnsi="Times New Roman" w:eastAsia="宋体" w:cs="Times New Roman"/>
                <w:color w:val="auto"/>
                <w:sz w:val="24"/>
                <w:szCs w:val="24"/>
                <w:highlight w:val="none"/>
                <w:lang w:val="en-US" w:eastAsia="zh-CN"/>
              </w:rPr>
              <w:t>厂区</w:t>
            </w:r>
            <w:r>
              <w:rPr>
                <w:rFonts w:hint="eastAsia" w:ascii="Times New Roman" w:hAnsi="Times New Roman" w:eastAsia="宋体" w:cs="Times New Roman"/>
                <w:color w:val="auto"/>
                <w:sz w:val="24"/>
                <w:szCs w:val="24"/>
                <w:highlight w:val="none"/>
                <w:lang w:val="en-US" w:eastAsia="zh-CN"/>
              </w:rPr>
              <w:t>北</w:t>
            </w:r>
            <w:r>
              <w:rPr>
                <w:rFonts w:hint="default" w:ascii="Times New Roman" w:hAnsi="Times New Roman" w:eastAsia="宋体" w:cs="Times New Roman"/>
                <w:color w:val="auto"/>
                <w:sz w:val="24"/>
                <w:lang w:eastAsia="zh-CN"/>
              </w:rPr>
              <w:t>侧</w:t>
            </w:r>
            <w:r>
              <w:rPr>
                <w:rFonts w:hint="eastAsia" w:ascii="Times New Roman" w:hAnsi="Times New Roman" w:eastAsia="宋体" w:cs="Times New Roman"/>
                <w:color w:val="auto"/>
                <w:sz w:val="24"/>
                <w:szCs w:val="24"/>
                <w:highlight w:val="none"/>
                <w:lang w:val="en-US" w:eastAsia="zh-CN"/>
              </w:rPr>
              <w:t>笔架山路</w:t>
            </w:r>
            <w:r>
              <w:rPr>
                <w:rFonts w:hint="default" w:ascii="Times New Roman" w:hAnsi="Times New Roman" w:eastAsia="宋体" w:cs="Times New Roman"/>
                <w:color w:val="auto"/>
                <w:sz w:val="24"/>
                <w:lang w:eastAsia="zh-CN"/>
              </w:rPr>
              <w:t>配套的污水管网已投入使用，项目污水</w:t>
            </w:r>
            <w:r>
              <w:rPr>
                <w:rFonts w:hint="default" w:ascii="Times New Roman" w:hAnsi="Times New Roman" w:eastAsia="宋体" w:cs="Times New Roman"/>
                <w:color w:val="auto"/>
                <w:sz w:val="24"/>
                <w:lang w:val="en-US" w:eastAsia="zh-CN"/>
              </w:rPr>
              <w:t>可</w:t>
            </w:r>
            <w:r>
              <w:rPr>
                <w:rFonts w:hint="default" w:ascii="Times New Roman" w:hAnsi="Times New Roman" w:eastAsia="宋体" w:cs="Times New Roman"/>
                <w:color w:val="auto"/>
                <w:sz w:val="24"/>
                <w:lang w:eastAsia="zh-CN"/>
              </w:rPr>
              <w:t>接入市政污水管网，进入</w:t>
            </w:r>
            <w:r>
              <w:rPr>
                <w:rFonts w:hint="eastAsia" w:ascii="Times New Roman" w:hAnsi="Times New Roman" w:eastAsia="宋体" w:cs="Times New Roman"/>
                <w:color w:val="auto"/>
                <w:sz w:val="24"/>
                <w:lang w:eastAsia="zh-CN"/>
              </w:rPr>
              <w:t>金寨现代产业园区污水处理厂</w:t>
            </w:r>
            <w:r>
              <w:rPr>
                <w:rFonts w:hint="default" w:ascii="Times New Roman" w:hAnsi="Times New Roman" w:eastAsia="宋体" w:cs="Times New Roman"/>
                <w:color w:val="auto"/>
                <w:sz w:val="24"/>
                <w:lang w:eastAsia="zh-CN"/>
              </w:rPr>
              <w:t>处理</w:t>
            </w:r>
            <w:r>
              <w:rPr>
                <w:rFonts w:hint="eastAsia" w:ascii="Times New Roman" w:hAnsi="Times New Roman" w:eastAsia="宋体" w:cs="Times New Roman"/>
                <w:color w:val="auto"/>
                <w:sz w:val="24"/>
                <w:lang w:eastAsia="zh-CN"/>
              </w:rPr>
              <w:t>。</w:t>
            </w:r>
          </w:p>
          <w:p>
            <w:pPr>
              <w:keepNext w:val="0"/>
              <w:keepLines w:val="0"/>
              <w:numPr>
                <w:ilvl w:val="0"/>
                <w:numId w:val="0"/>
              </w:numPr>
              <w:suppressLineNumbers w:val="0"/>
              <w:autoSpaceDE w:val="0"/>
              <w:spacing w:before="0" w:beforeAutospacing="0" w:after="0" w:afterAutospacing="0" w:line="360" w:lineRule="auto"/>
              <w:ind w:left="0" w:right="0" w:firstLine="480" w:firstLineChars="200"/>
              <w:rPr>
                <w:rFonts w:hint="eastAsia" w:cs="Times New Roman"/>
                <w:sz w:val="24"/>
                <w:lang w:val="en-US" w:eastAsia="zh-CN"/>
              </w:rPr>
            </w:pPr>
            <w:r>
              <w:rPr>
                <w:rFonts w:hint="default" w:ascii="Times New Roman" w:hAnsi="Times New Roman" w:eastAsia="宋体" w:cs="Times New Roman"/>
                <w:bCs/>
                <w:color w:val="auto"/>
                <w:sz w:val="24"/>
                <w:szCs w:val="24"/>
                <w:lang w:val="en-US" w:eastAsia="zh-CN"/>
              </w:rPr>
              <w:t>故本项目接管可行</w:t>
            </w:r>
            <w:r>
              <w:rPr>
                <w:rFonts w:hint="eastAsia" w:cs="Times New Roman"/>
                <w:sz w:val="24"/>
                <w:lang w:val="en-US" w:eastAsia="zh-CN"/>
              </w:rPr>
              <w:t>。</w:t>
            </w:r>
          </w:p>
          <w:p>
            <w:pPr>
              <w:keepNext w:val="0"/>
              <w:keepLines w:val="0"/>
              <w:numPr>
                <w:ilvl w:val="0"/>
                <w:numId w:val="0"/>
              </w:numPr>
              <w:suppressLineNumbers w:val="0"/>
              <w:autoSpaceDE w:val="0"/>
              <w:spacing w:before="0" w:beforeAutospacing="0" w:after="0" w:afterAutospacing="0" w:line="360" w:lineRule="auto"/>
              <w:ind w:left="0" w:right="0" w:firstLine="481" w:firstLineChars="200"/>
              <w:rPr>
                <w:rFonts w:hint="default" w:ascii="Times New Roman" w:hAnsi="Times New Roman" w:cs="Times New Roman"/>
                <w:b/>
                <w:bCs/>
                <w:color w:val="auto"/>
              </w:rPr>
            </w:pPr>
            <w:r>
              <w:rPr>
                <w:rFonts w:hint="default" w:ascii="Times New Roman" w:hAnsi="Times New Roman" w:cs="Times New Roman"/>
                <w:b/>
                <w:bCs/>
                <w:sz w:val="24"/>
                <w:lang w:val="en-US" w:eastAsia="zh-CN"/>
              </w:rPr>
              <w:t>（5）</w:t>
            </w:r>
            <w:r>
              <w:rPr>
                <w:rFonts w:hint="default" w:ascii="Times New Roman" w:hAnsi="Times New Roman" w:cs="Times New Roman"/>
                <w:b/>
                <w:bCs/>
                <w:color w:val="auto"/>
                <w:sz w:val="24"/>
              </w:rPr>
              <w:t>废水监测要求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auto"/>
                <w:sz w:val="24"/>
                <w:lang w:eastAsia="zh-CN"/>
              </w:rPr>
            </w:pPr>
            <w:r>
              <w:rPr>
                <w:rFonts w:hint="default" w:ascii="Times New Roman" w:hAnsi="Times New Roman" w:eastAsia="宋体" w:cs="Times New Roman"/>
                <w:color w:val="auto"/>
                <w:sz w:val="24"/>
                <w:szCs w:val="32"/>
                <w:u w:val="none"/>
              </w:rPr>
              <w:t>根据《排污单位自行监测技术指南 总则》（HJ819-2017）及《排污许可证申请与核发技术规范废弃资源加工工业》（HJ1034-2019）</w:t>
            </w:r>
            <w:r>
              <w:rPr>
                <w:rFonts w:hint="default" w:ascii="Times New Roman" w:hAnsi="Times New Roman" w:cs="Times New Roman"/>
                <w:color w:val="auto"/>
                <w:sz w:val="24"/>
              </w:rPr>
              <w:t>，</w:t>
            </w:r>
            <w:r>
              <w:rPr>
                <w:rFonts w:hint="eastAsia" w:cs="Times New Roman"/>
                <w:color w:val="auto"/>
                <w:sz w:val="24"/>
                <w:lang w:val="en-US" w:eastAsia="zh-CN"/>
              </w:rPr>
              <w:t>废水监测如下所示</w:t>
            </w:r>
            <w:r>
              <w:rPr>
                <w:rFonts w:hint="eastAsia" w:cs="Times New Roman"/>
                <w:color w:val="auto"/>
                <w:sz w:val="24"/>
                <w:lang w:eastAsia="zh-CN"/>
              </w:rPr>
              <w:t>。</w:t>
            </w:r>
          </w:p>
          <w:p>
            <w:pPr>
              <w:pStyle w:val="80"/>
              <w:spacing w:line="240" w:lineRule="auto"/>
              <w:ind w:firstLine="0" w:firstLineChars="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表4</w:t>
            </w:r>
            <w:r>
              <w:rPr>
                <w:rFonts w:hint="eastAsia" w:cs="Times New Roman"/>
                <w:b/>
                <w:bCs/>
                <w:color w:val="000000"/>
                <w:sz w:val="24"/>
                <w:szCs w:val="24"/>
                <w:lang w:val="en-US" w:eastAsia="zh-CN"/>
              </w:rPr>
              <w:t>.7</w:t>
            </w:r>
            <w:r>
              <w:rPr>
                <w:rFonts w:hint="default" w:ascii="Times New Roman" w:hAnsi="Times New Roman" w:cs="Times New Roman"/>
                <w:b/>
                <w:bCs/>
                <w:color w:val="000000"/>
                <w:sz w:val="24"/>
                <w:szCs w:val="24"/>
              </w:rPr>
              <w:t>废水污染源监测计划</w:t>
            </w:r>
          </w:p>
          <w:tbl>
            <w:tblPr>
              <w:tblStyle w:val="57"/>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97"/>
              <w:gridCol w:w="1134"/>
              <w:gridCol w:w="847"/>
              <w:gridCol w:w="4393"/>
              <w:gridCol w:w="8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排放口编号</w:t>
                  </w:r>
                </w:p>
              </w:tc>
              <w:tc>
                <w:tcPr>
                  <w:tcW w:w="6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排放口类型</w:t>
                  </w:r>
                </w:p>
              </w:tc>
              <w:tc>
                <w:tcPr>
                  <w:tcW w:w="5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监测点位</w:t>
                  </w:r>
                </w:p>
              </w:tc>
              <w:tc>
                <w:tcPr>
                  <w:tcW w:w="26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监测因子</w:t>
                  </w:r>
                </w:p>
              </w:tc>
              <w:tc>
                <w:tcPr>
                  <w:tcW w:w="5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DW001</w:t>
                  </w:r>
                </w:p>
              </w:tc>
              <w:tc>
                <w:tcPr>
                  <w:tcW w:w="6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一般排放口</w:t>
                  </w:r>
                </w:p>
              </w:tc>
              <w:tc>
                <w:tcPr>
                  <w:tcW w:w="5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pacing w:val="5"/>
                      <w:sz w:val="21"/>
                      <w:szCs w:val="21"/>
                      <w:lang w:val="en-US" w:eastAsia="zh-CN"/>
                    </w:rPr>
                    <w:t>总排口</w:t>
                  </w:r>
                </w:p>
              </w:tc>
              <w:tc>
                <w:tcPr>
                  <w:tcW w:w="26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pH值、化学需氧量、氨氮</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2"/>
                      <w:sz w:val="21"/>
                      <w:szCs w:val="21"/>
                      <w:lang w:val="en-US" w:eastAsia="zh-CN"/>
                    </w:rPr>
                    <w:t>石油类、</w:t>
                  </w:r>
                  <w:r>
                    <w:rPr>
                      <w:rFonts w:hint="default" w:ascii="Times New Roman" w:hAnsi="Times New Roman" w:eastAsia="宋体" w:cs="Times New Roman"/>
                      <w:spacing w:val="-2"/>
                      <w:sz w:val="21"/>
                      <w:szCs w:val="21"/>
                    </w:rPr>
                    <w:t>悬浮物、</w:t>
                  </w:r>
                  <w:r>
                    <w:rPr>
                      <w:rFonts w:hint="default" w:ascii="Times New Roman" w:hAnsi="Times New Roman" w:eastAsia="宋体" w:cs="Times New Roman"/>
                      <w:spacing w:val="-2"/>
                      <w:sz w:val="21"/>
                      <w:szCs w:val="21"/>
                      <w:lang w:val="en-US" w:eastAsia="zh-CN"/>
                    </w:rPr>
                    <w:t>五日生化需氧量、总磷、总氮</w:t>
                  </w:r>
                </w:p>
              </w:tc>
              <w:tc>
                <w:tcPr>
                  <w:tcW w:w="5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bCs w:val="0"/>
                <w:color w:val="auto"/>
                <w:sz w:val="24"/>
                <w:szCs w:val="20"/>
                <w:lang w:val="en-US" w:eastAsia="zh-CN"/>
              </w:rPr>
            </w:pPr>
            <w:r>
              <w:rPr>
                <w:rFonts w:hint="eastAsia" w:cs="Times New Roman"/>
                <w:b w:val="0"/>
                <w:bCs/>
                <w:color w:val="auto"/>
                <w:sz w:val="24"/>
                <w:szCs w:val="20"/>
                <w:lang w:val="en-US" w:eastAsia="zh-CN"/>
              </w:rPr>
              <w:t>项目废水仅为生活污水及</w:t>
            </w:r>
            <w:r>
              <w:rPr>
                <w:rFonts w:hint="eastAsia" w:hAnsi="宋体"/>
                <w:sz w:val="24"/>
                <w:lang w:val="en-US" w:eastAsia="zh-CN"/>
              </w:rPr>
              <w:t>废气喷淋降温冷却水</w:t>
            </w:r>
            <w:r>
              <w:rPr>
                <w:rFonts w:hint="eastAsia" w:cs="Times New Roman"/>
                <w:b w:val="0"/>
                <w:bCs/>
                <w:color w:val="auto"/>
                <w:sz w:val="24"/>
                <w:szCs w:val="20"/>
                <w:lang w:val="en-US" w:eastAsia="zh-CN"/>
              </w:rPr>
              <w:t>，</w:t>
            </w:r>
            <w:r>
              <w:rPr>
                <w:rFonts w:hint="eastAsia" w:cs="Times New Roman"/>
                <w:sz w:val="24"/>
                <w:lang w:val="en-US" w:eastAsia="zh-CN"/>
              </w:rPr>
              <w:t>无需废水监测。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rPr>
            </w:pPr>
            <w:r>
              <w:rPr>
                <w:rFonts w:hint="default" w:ascii="Times New Roman" w:hAnsi="Times New Roman" w:cs="Times New Roman"/>
                <w:b/>
                <w:bCs w:val="0"/>
                <w:color w:val="auto"/>
                <w:sz w:val="24"/>
                <w:szCs w:val="20"/>
              </w:rPr>
              <w:t>3、噪声</w:t>
            </w:r>
          </w:p>
          <w:p>
            <w:pPr>
              <w:pStyle w:val="30"/>
              <w:keepNext w:val="0"/>
              <w:keepLines w:val="0"/>
              <w:suppressLineNumbers w:val="0"/>
              <w:spacing w:before="0" w:beforeAutospacing="0" w:after="0" w:afterAutospacing="0" w:line="360" w:lineRule="auto"/>
              <w:ind w:left="0" w:right="0" w:firstLine="481" w:firstLineChars="200"/>
              <w:rPr>
                <w:rFonts w:hint="default" w:ascii="Times New Roman" w:hAnsi="Times New Roman" w:cs="Times New Roman"/>
                <w:b/>
                <w:bCs w:val="0"/>
                <w:color w:val="auto"/>
                <w:sz w:val="24"/>
              </w:rPr>
            </w:pPr>
            <w:r>
              <w:rPr>
                <w:rFonts w:hint="default" w:ascii="Times New Roman" w:hAnsi="Times New Roman" w:cs="Times New Roman"/>
                <w:b/>
                <w:bCs w:val="0"/>
                <w:color w:val="auto"/>
                <w:sz w:val="24"/>
              </w:rPr>
              <w:t>（1）</w:t>
            </w:r>
            <w:r>
              <w:rPr>
                <w:rFonts w:hint="default" w:ascii="Times New Roman" w:hAnsi="Times New Roman" w:cs="Times New Roman"/>
                <w:b/>
                <w:bCs w:val="0"/>
                <w:color w:val="auto"/>
                <w:sz w:val="24"/>
                <w:lang w:eastAsia="zh-CN"/>
              </w:rPr>
              <w:t>噪声</w:t>
            </w:r>
            <w:r>
              <w:rPr>
                <w:rFonts w:hint="default" w:ascii="Times New Roman" w:hAnsi="Times New Roman" w:cs="Times New Roman"/>
                <w:b/>
                <w:bCs w:val="0"/>
                <w:color w:val="auto"/>
                <w:sz w:val="24"/>
              </w:rPr>
              <w:t>源强分析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营运期的噪声主要来自设备运行时产生的噪声，噪声级约在</w:t>
            </w:r>
            <w:r>
              <w:rPr>
                <w:rFonts w:hint="eastAsia" w:cs="Times New Roman"/>
                <w:color w:val="auto"/>
                <w:sz w:val="24"/>
                <w:szCs w:val="24"/>
                <w:highlight w:val="none"/>
                <w:lang w:val="en-US" w:eastAsia="zh-CN"/>
              </w:rPr>
              <w:t>70</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85</w:t>
            </w:r>
            <w:r>
              <w:rPr>
                <w:rFonts w:hint="default" w:ascii="Times New Roman" w:hAnsi="Times New Roman" w:eastAsia="宋体" w:cs="Times New Roman"/>
                <w:color w:val="auto"/>
                <w:sz w:val="24"/>
                <w:szCs w:val="24"/>
                <w:highlight w:val="none"/>
                <w:lang w:val="en-US" w:eastAsia="zh-CN"/>
              </w:rPr>
              <w:t>dB(A)之间，根据《环境影响评价技术导则声环境（HJ2.4-2021）》，本次噪声评价坐标系建立以厂房的</w:t>
            </w:r>
            <w:r>
              <w:rPr>
                <w:rFonts w:hint="eastAsia" w:cs="Times New Roman"/>
                <w:color w:val="auto"/>
                <w:sz w:val="24"/>
                <w:szCs w:val="24"/>
                <w:highlight w:val="none"/>
                <w:lang w:val="en-US" w:eastAsia="zh-CN"/>
              </w:rPr>
              <w:t>东</w:t>
            </w:r>
            <w:r>
              <w:rPr>
                <w:rFonts w:hint="default" w:ascii="Times New Roman" w:hAnsi="Times New Roman" w:eastAsia="宋体" w:cs="Times New Roman"/>
                <w:color w:val="auto"/>
                <w:sz w:val="24"/>
                <w:szCs w:val="24"/>
                <w:highlight w:val="none"/>
                <w:lang w:val="en-US" w:eastAsia="zh-CN"/>
              </w:rPr>
              <w:t>边界与</w:t>
            </w:r>
            <w:r>
              <w:rPr>
                <w:rFonts w:hint="eastAsia" w:cs="Times New Roman"/>
                <w:color w:val="auto"/>
                <w:sz w:val="24"/>
                <w:szCs w:val="24"/>
                <w:highlight w:val="none"/>
                <w:lang w:val="en-US" w:eastAsia="zh-CN"/>
              </w:rPr>
              <w:t>北</w:t>
            </w:r>
            <w:r>
              <w:rPr>
                <w:rFonts w:hint="default" w:ascii="Times New Roman" w:hAnsi="Times New Roman" w:eastAsia="宋体" w:cs="Times New Roman"/>
                <w:color w:val="auto"/>
                <w:sz w:val="24"/>
                <w:szCs w:val="24"/>
                <w:highlight w:val="none"/>
                <w:lang w:val="en-US" w:eastAsia="zh-CN"/>
              </w:rPr>
              <w:t>边界建立三维坐标，坐标原点（x=0.00，y=0.00，Z=0.00），x轴正向为</w:t>
            </w:r>
            <w:r>
              <w:rPr>
                <w:rFonts w:hint="eastAsia" w:cs="Times New Roman"/>
                <w:color w:val="auto"/>
                <w:sz w:val="24"/>
                <w:szCs w:val="24"/>
                <w:highlight w:val="none"/>
                <w:lang w:val="en-US" w:eastAsia="zh-CN"/>
              </w:rPr>
              <w:t>正西</w:t>
            </w:r>
            <w:r>
              <w:rPr>
                <w:rFonts w:hint="default" w:ascii="Times New Roman" w:hAnsi="Times New Roman" w:eastAsia="宋体" w:cs="Times New Roman"/>
                <w:color w:val="auto"/>
                <w:sz w:val="24"/>
                <w:szCs w:val="24"/>
                <w:highlight w:val="none"/>
                <w:lang w:val="en-US" w:eastAsia="zh-CN"/>
              </w:rPr>
              <w:t>向，y轴正向为正</w:t>
            </w:r>
            <w:r>
              <w:rPr>
                <w:rFonts w:hint="eastAsia" w:cs="Times New Roman"/>
                <w:color w:val="auto"/>
                <w:sz w:val="24"/>
                <w:szCs w:val="24"/>
                <w:highlight w:val="none"/>
                <w:lang w:val="en-US" w:eastAsia="zh-CN"/>
              </w:rPr>
              <w:t>南</w:t>
            </w:r>
            <w:r>
              <w:rPr>
                <w:rFonts w:hint="default" w:ascii="Times New Roman" w:hAnsi="Times New Roman" w:eastAsia="宋体" w:cs="Times New Roman"/>
                <w:color w:val="auto"/>
                <w:sz w:val="24"/>
                <w:szCs w:val="24"/>
                <w:highlight w:val="none"/>
                <w:lang w:val="en-US" w:eastAsia="zh-CN"/>
              </w:rPr>
              <w:t>向。</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240" w:lineRule="auto"/>
              <w:ind w:left="0" w:right="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4"/>
                <w:szCs w:val="24"/>
                <w:highlight w:val="none"/>
                <w:lang w:val="en-US" w:eastAsia="zh-CN"/>
              </w:rPr>
              <w:t>表4.</w:t>
            </w:r>
            <w:r>
              <w:rPr>
                <w:rFonts w:hint="eastAsia" w:cs="Times New Roman"/>
                <w:b/>
                <w:color w:val="auto"/>
                <w:sz w:val="24"/>
                <w:szCs w:val="24"/>
                <w:highlight w:val="none"/>
                <w:lang w:val="en-US" w:eastAsia="zh-CN"/>
              </w:rPr>
              <w:t>8</w:t>
            </w:r>
            <w:r>
              <w:rPr>
                <w:rFonts w:hint="default" w:ascii="Times New Roman" w:hAnsi="Times New Roman" w:eastAsia="宋体" w:cs="Times New Roman"/>
                <w:b/>
                <w:color w:val="auto"/>
                <w:sz w:val="24"/>
                <w:szCs w:val="24"/>
                <w:highlight w:val="none"/>
                <w:lang w:val="en-US" w:eastAsia="zh-CN"/>
              </w:rPr>
              <w:t>工业企业噪声源强调查清单（室内声源）</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21"/>
              <w:gridCol w:w="450"/>
              <w:gridCol w:w="393"/>
              <w:gridCol w:w="757"/>
              <w:gridCol w:w="752"/>
              <w:gridCol w:w="601"/>
              <w:gridCol w:w="367"/>
              <w:gridCol w:w="367"/>
              <w:gridCol w:w="215"/>
              <w:gridCol w:w="706"/>
              <w:gridCol w:w="894"/>
              <w:gridCol w:w="531"/>
              <w:gridCol w:w="809"/>
              <w:gridCol w:w="752"/>
              <w:gridCol w:w="5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bookmarkStart w:id="22" w:name="OLE_LINK79"/>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号</w:t>
                  </w:r>
                </w:p>
              </w:tc>
              <w:tc>
                <w:tcPr>
                  <w:tcW w:w="0" w:type="auto"/>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建筑物名称</w:t>
                  </w:r>
                </w:p>
              </w:tc>
              <w:tc>
                <w:tcPr>
                  <w:tcW w:w="0" w:type="auto"/>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声源名称</w:t>
                  </w:r>
                </w:p>
              </w:tc>
              <w:tc>
                <w:tcPr>
                  <w:tcW w:w="0" w:type="auto"/>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数量（台）</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声源</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源强</w:t>
                  </w:r>
                </w:p>
              </w:tc>
              <w:tc>
                <w:tcPr>
                  <w:tcW w:w="0" w:type="auto"/>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声源</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控制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措施</w:t>
                  </w:r>
                </w:p>
              </w:tc>
              <w:tc>
                <w:tcPr>
                  <w:tcW w:w="0" w:type="auto"/>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空间相对位置/m</w:t>
                  </w:r>
                </w:p>
              </w:tc>
              <w:tc>
                <w:tcPr>
                  <w:tcW w:w="0" w:type="auto"/>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距室内边界距离/m</w:t>
                  </w:r>
                </w:p>
              </w:tc>
              <w:tc>
                <w:tcPr>
                  <w:tcW w:w="0" w:type="auto"/>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室内边界声级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/dB(A)</w:t>
                  </w:r>
                </w:p>
              </w:tc>
              <w:tc>
                <w:tcPr>
                  <w:tcW w:w="0" w:type="auto"/>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运行时段</w:t>
                  </w:r>
                </w:p>
              </w:tc>
              <w:tc>
                <w:tcPr>
                  <w:tcW w:w="0" w:type="auto"/>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建筑</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物插</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入损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失/dB(A)</w:t>
                  </w:r>
                </w:p>
              </w:tc>
              <w:tc>
                <w:tcPr>
                  <w:tcW w:w="0" w:type="auto"/>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建筑物外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噪声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声功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率级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/dB(A)</w:t>
                  </w: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X</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Y</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Z</w:t>
                  </w: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声压级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/dB(A)</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建筑物外距离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w:t>
                  </w:r>
                </w:p>
              </w:tc>
              <w:tc>
                <w:tcPr>
                  <w:tcW w:w="0" w:type="auto"/>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生产车间</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熔蜡机</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80-85</w:t>
                  </w:r>
                </w:p>
              </w:tc>
              <w:tc>
                <w:tcPr>
                  <w:tcW w:w="0" w:type="auto"/>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建筑</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隔声、距离</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衰减、合理</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布局，设备</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减震</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bookmarkStart w:id="23" w:name="OLE_LINK155"/>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bookmarkEnd w:id="23"/>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24h</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w:t>
                  </w: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冷却罐</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60-75</w:t>
                  </w: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67.7</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24h</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bookmarkStart w:id="24" w:name="OLE_LINK154"/>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bookmarkEnd w:id="24"/>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52.7</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w:t>
                  </w: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造粒机</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bookmarkStart w:id="25" w:name="OLE_LINK152"/>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80-85</w:t>
                  </w:r>
                  <w:bookmarkEnd w:id="25"/>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14</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24h</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4</w:t>
                  </w: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搅拌机</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80-85</w:t>
                  </w: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14</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24h</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w:t>
                  </w: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压缩机</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80-85</w:t>
                  </w: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14</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24h</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bookmarkEnd w:id="22"/>
          </w:tbl>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240" w:lineRule="auto"/>
              <w:ind w:left="0" w:right="0"/>
              <w:jc w:val="both"/>
              <w:textAlignment w:val="auto"/>
              <w:rPr>
                <w:rFonts w:hint="default" w:ascii="Times New Roman" w:hAnsi="Times New Roman" w:eastAsia="宋体" w:cs="Times New Roman"/>
                <w:b/>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240" w:lineRule="auto"/>
              <w:ind w:left="0" w:right="0"/>
              <w:jc w:val="center"/>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表4.</w:t>
            </w:r>
            <w:r>
              <w:rPr>
                <w:rFonts w:hint="eastAsia" w:cs="Times New Roman"/>
                <w:b/>
                <w:color w:val="auto"/>
                <w:sz w:val="24"/>
                <w:szCs w:val="24"/>
                <w:highlight w:val="none"/>
                <w:lang w:val="en-US" w:eastAsia="zh-CN"/>
              </w:rPr>
              <w:t>9</w:t>
            </w:r>
            <w:r>
              <w:rPr>
                <w:rFonts w:hint="default" w:ascii="Times New Roman" w:hAnsi="Times New Roman" w:eastAsia="宋体" w:cs="Times New Roman"/>
                <w:b/>
                <w:color w:val="auto"/>
                <w:sz w:val="24"/>
                <w:szCs w:val="24"/>
                <w:highlight w:val="none"/>
                <w:lang w:val="en-US" w:eastAsia="zh-CN"/>
              </w:rPr>
              <w:t>工业企</w:t>
            </w:r>
            <w:bookmarkStart w:id="26" w:name="OLE_LINK80"/>
            <w:r>
              <w:rPr>
                <w:rFonts w:hint="default" w:ascii="Times New Roman" w:hAnsi="Times New Roman" w:eastAsia="宋体" w:cs="Times New Roman"/>
                <w:b/>
                <w:color w:val="auto"/>
                <w:sz w:val="24"/>
                <w:szCs w:val="24"/>
                <w:highlight w:val="none"/>
                <w:lang w:val="en-US" w:eastAsia="zh-CN"/>
              </w:rPr>
              <w:t>业噪声源强调查清单（室</w:t>
            </w:r>
            <w:bookmarkEnd w:id="26"/>
            <w:r>
              <w:rPr>
                <w:rFonts w:hint="default" w:ascii="Times New Roman" w:hAnsi="Times New Roman" w:eastAsia="宋体" w:cs="Times New Roman"/>
                <w:b/>
                <w:color w:val="auto"/>
                <w:sz w:val="24"/>
                <w:szCs w:val="24"/>
                <w:highlight w:val="none"/>
                <w:lang w:val="en-US" w:eastAsia="zh-CN"/>
              </w:rPr>
              <w:t>外声源）</w:t>
            </w:r>
          </w:p>
          <w:tbl>
            <w:tblPr>
              <w:tblStyle w:val="57"/>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86"/>
              <w:gridCol w:w="2852"/>
              <w:gridCol w:w="617"/>
              <w:gridCol w:w="647"/>
              <w:gridCol w:w="528"/>
              <w:gridCol w:w="1083"/>
              <w:gridCol w:w="1505"/>
              <w:gridCol w:w="7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 w:hRule="atLeast"/>
                <w:jc w:val="center"/>
              </w:trPr>
              <w:tc>
                <w:tcPr>
                  <w:tcW w:w="23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171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声源名称</w:t>
                  </w:r>
                </w:p>
              </w:tc>
              <w:tc>
                <w:tcPr>
                  <w:tcW w:w="1075"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空间相对位置/m</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声源源强</w:t>
                  </w:r>
                </w:p>
              </w:tc>
              <w:tc>
                <w:tcPr>
                  <w:tcW w:w="90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声源控制措施</w:t>
                  </w:r>
                </w:p>
              </w:tc>
              <w:tc>
                <w:tcPr>
                  <w:tcW w:w="42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运行</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时段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jc w:val="center"/>
              </w:trPr>
              <w:tc>
                <w:tcPr>
                  <w:tcW w:w="23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17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X</w:t>
                  </w:r>
                </w:p>
              </w:tc>
              <w:tc>
                <w:tcPr>
                  <w:tcW w:w="3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Y</w:t>
                  </w:r>
                </w:p>
              </w:tc>
              <w:tc>
                <w:tcPr>
                  <w:tcW w:w="3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Z</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声功率级/dB(A)</w:t>
                  </w:r>
                </w:p>
              </w:tc>
              <w:tc>
                <w:tcPr>
                  <w:tcW w:w="9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42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2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1#厂房东侧环保设施风机</w:t>
                  </w:r>
                </w:p>
              </w:tc>
              <w:tc>
                <w:tcPr>
                  <w:tcW w:w="3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3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3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80-100</w:t>
                  </w:r>
                </w:p>
              </w:tc>
              <w:tc>
                <w:tcPr>
                  <w:tcW w:w="9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基础减振、厂房隔声</w:t>
                  </w:r>
                </w:p>
              </w:tc>
              <w:tc>
                <w:tcPr>
                  <w:tcW w:w="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lang w:val="en-US" w:eastAsia="zh-CN"/>
                    </w:rPr>
                    <w:t>h</w:t>
                  </w:r>
                </w:p>
              </w:tc>
            </w:tr>
          </w:tbl>
          <w:p>
            <w:pPr>
              <w:widowControl/>
              <w:spacing w:line="360" w:lineRule="auto"/>
              <w:ind w:left="479" w:leftChars="228"/>
              <w:rPr>
                <w:rFonts w:hint="default" w:ascii="Times New Roman" w:hAnsi="Times New Roman" w:cs="Times New Roman"/>
                <w:b w:val="0"/>
                <w:bCs/>
                <w:color w:val="auto"/>
                <w:kern w:val="0"/>
                <w:sz w:val="24"/>
              </w:rPr>
            </w:pPr>
            <w:bookmarkStart w:id="27" w:name="OLE_LINK81"/>
            <w:r>
              <w:rPr>
                <w:rFonts w:hint="default" w:ascii="Times New Roman" w:hAnsi="Times New Roman" w:cs="Times New Roman"/>
                <w:b w:val="0"/>
                <w:bCs/>
                <w:color w:val="auto"/>
                <w:kern w:val="0"/>
                <w:sz w:val="24"/>
              </w:rPr>
              <w:t>（2）预测模式</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采用《环境影响评价技术导则声环境》（HJ2.4-2021）中的工业噪声预测模式。</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①某一室内声源靠近围护结构处产生的倍频带声压级或A声级：</w:t>
            </w:r>
          </w:p>
          <w:p>
            <w:pPr>
              <w:spacing w:line="360" w:lineRule="auto"/>
              <w:ind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2190750" cy="485140"/>
                  <wp:effectExtent l="0" t="0" r="0" b="10160"/>
                  <wp:docPr id="5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true"/>
                          </pic:cNvPicPr>
                        </pic:nvPicPr>
                        <pic:blipFill>
                          <a:blip r:embed="rId11"/>
                          <a:stretch>
                            <a:fillRect/>
                          </a:stretch>
                        </pic:blipFill>
                        <pic:spPr>
                          <a:xfrm>
                            <a:off x="0" y="0"/>
                            <a:ext cx="2190750" cy="485140"/>
                          </a:xfrm>
                          <a:prstGeom prst="rect">
                            <a:avLst/>
                          </a:prstGeom>
                          <a:noFill/>
                          <a:ln>
                            <a:noFill/>
                          </a:ln>
                        </pic:spPr>
                      </pic:pic>
                    </a:graphicData>
                  </a:graphic>
                </wp:inline>
              </w:drawing>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pl</w:t>
            </w:r>
            <w:r>
              <w:rPr>
                <w:rFonts w:hint="default" w:ascii="Times New Roman" w:hAnsi="Times New Roman" w:cs="Times New Roman"/>
                <w:color w:val="auto"/>
                <w:sz w:val="24"/>
              </w:rPr>
              <w:t>——靠近开口处（或窗户）室内某倍频带的声压级或A声级，dB；</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w</w:t>
            </w:r>
            <w:r>
              <w:rPr>
                <w:rFonts w:hint="default" w:ascii="Times New Roman" w:hAnsi="Times New Roman" w:cs="Times New Roman"/>
                <w:color w:val="auto"/>
                <w:sz w:val="24"/>
              </w:rPr>
              <w:t>——点声源声功率级（A机权或倍频带），dB；</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Q——指向性因素；通常对无指向性声源，当声源放在房间中心时，Q=1；当放在一面墙的中心时，Q=2；当放在两面墙夹角处时，Q=4；当放在三面墙夹角处时，Q=8；</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R——房间常数。R=Sα/（1-α），S为房间内表面面积，m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，α为平均吸声系数；</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r——声源到靠近围护结构某点处的距离，m。</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②然后按下式计算出所有室内声源在围护结构处产生的i倍频带叠加声压级：</w:t>
            </w:r>
          </w:p>
          <w:bookmarkEnd w:id="27"/>
          <w:p>
            <w:pPr>
              <w:spacing w:line="360" w:lineRule="auto"/>
              <w:ind w:firstLine="420" w:firstLineChars="200"/>
              <w:jc w:val="center"/>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1981200" cy="609600"/>
                  <wp:effectExtent l="0" t="0" r="0" b="0"/>
                  <wp:docPr id="6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true"/>
                          </pic:cNvPicPr>
                        </pic:nvPicPr>
                        <pic:blipFill>
                          <a:blip r:embed="rId12"/>
                          <a:stretch>
                            <a:fillRect/>
                          </a:stretch>
                        </pic:blipFill>
                        <pic:spPr>
                          <a:xfrm>
                            <a:off x="0" y="0"/>
                            <a:ext cx="1981200" cy="609600"/>
                          </a:xfrm>
                          <a:prstGeom prst="rect">
                            <a:avLst/>
                          </a:prstGeom>
                          <a:noFill/>
                          <a:ln>
                            <a:noFill/>
                          </a:ln>
                        </pic:spPr>
                      </pic:pic>
                    </a:graphicData>
                  </a:graphic>
                </wp:inline>
              </w:drawing>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pli</w:t>
            </w:r>
            <w:r>
              <w:rPr>
                <w:rFonts w:hint="default" w:ascii="Times New Roman" w:hAnsi="Times New Roman" w:cs="Times New Roman"/>
                <w:color w:val="auto"/>
                <w:sz w:val="24"/>
              </w:rPr>
              <w:t>(T)——靠近围护结构处室内N个声源i倍频带的叠加声压级，dB；</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plij</w:t>
            </w:r>
            <w:r>
              <w:rPr>
                <w:rFonts w:hint="default" w:ascii="Times New Roman" w:hAnsi="Times New Roman" w:cs="Times New Roman"/>
                <w:color w:val="auto"/>
                <w:sz w:val="24"/>
              </w:rPr>
              <w:t>——室内j声源i倍频带的声压级，dB；</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N——室内声源总数；</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③在室内近似为扩散声场时，按下式计算出靠近室外围护结构处的声压级：</w:t>
            </w:r>
          </w:p>
          <w:p>
            <w:pPr>
              <w:spacing w:line="360" w:lineRule="auto"/>
              <w:ind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2047875" cy="313690"/>
                  <wp:effectExtent l="0" t="0" r="9525" b="10160"/>
                  <wp:docPr id="5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true"/>
                          </pic:cNvPicPr>
                        </pic:nvPicPr>
                        <pic:blipFill>
                          <a:blip r:embed="rId13"/>
                          <a:stretch>
                            <a:fillRect/>
                          </a:stretch>
                        </pic:blipFill>
                        <pic:spPr>
                          <a:xfrm>
                            <a:off x="0" y="0"/>
                            <a:ext cx="2047875" cy="313690"/>
                          </a:xfrm>
                          <a:prstGeom prst="rect">
                            <a:avLst/>
                          </a:prstGeom>
                          <a:noFill/>
                          <a:ln>
                            <a:noFill/>
                          </a:ln>
                        </pic:spPr>
                      </pic:pic>
                    </a:graphicData>
                  </a:graphic>
                </wp:inline>
              </w:drawing>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p2i</w:t>
            </w:r>
            <w:r>
              <w:rPr>
                <w:rFonts w:hint="default" w:ascii="Times New Roman" w:hAnsi="Times New Roman" w:cs="Times New Roman"/>
                <w:color w:val="auto"/>
                <w:sz w:val="24"/>
              </w:rPr>
              <w:t>(T)——靠近围护结构处室外N个声源i倍频带的叠加声压级，dB；</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pli</w:t>
            </w:r>
            <w:r>
              <w:rPr>
                <w:rFonts w:hint="default" w:ascii="Times New Roman" w:hAnsi="Times New Roman" w:cs="Times New Roman"/>
                <w:color w:val="auto"/>
                <w:sz w:val="24"/>
              </w:rPr>
              <w:t>(T)——靠近围护结构处室内N个声源i倍频带的叠加声压级，dB；</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TL</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——围护结构i倍频带的隔声量，dB。</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④然后按下式将室外声源的声压级和透过面积换算成等效的室外声源，计算出中心位置位于透声面积（S）处的等效声源的倍频带声功率级：</w:t>
            </w:r>
          </w:p>
          <w:p>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657350" cy="257175"/>
                  <wp:effectExtent l="0" t="0" r="0" b="9525"/>
                  <wp:docPr id="4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true"/>
                          </pic:cNvPicPr>
                        </pic:nvPicPr>
                        <pic:blipFill>
                          <a:blip r:embed="rId14"/>
                          <a:stretch>
                            <a:fillRect/>
                          </a:stretch>
                        </pic:blipFill>
                        <pic:spPr>
                          <a:xfrm>
                            <a:off x="0" y="0"/>
                            <a:ext cx="1657350" cy="257175"/>
                          </a:xfrm>
                          <a:prstGeom prst="rect">
                            <a:avLst/>
                          </a:prstGeom>
                          <a:noFill/>
                          <a:ln>
                            <a:noFill/>
                          </a:ln>
                        </pic:spPr>
                      </pic:pic>
                    </a:graphicData>
                  </a:graphic>
                </wp:inline>
              </w:drawing>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w</w:t>
            </w:r>
            <w:r>
              <w:rPr>
                <w:rFonts w:hint="default" w:ascii="Times New Roman" w:hAnsi="Times New Roman" w:cs="Times New Roman"/>
                <w:color w:val="auto"/>
                <w:sz w:val="24"/>
              </w:rPr>
              <w:t>——中心位置位于透声面积（S）处的等效声源的倍频带声功率级，dB；</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p2</w:t>
            </w:r>
            <w:r>
              <w:rPr>
                <w:rFonts w:hint="default" w:ascii="Times New Roman" w:hAnsi="Times New Roman" w:cs="Times New Roman"/>
                <w:color w:val="auto"/>
                <w:sz w:val="24"/>
              </w:rPr>
              <w:t>(T)——靠近围护结构处室外声源的声压级，dB；</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S——透声面积，m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然后按室外声源预测方法计算预测点处的A声级。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⑤在环境影响评价中，应根据声源声功率级或参考位置处的声压级、户外声传播衰减，计算预测点的声级，可按照下式计算：</w:t>
            </w:r>
          </w:p>
          <w:p>
            <w:pPr>
              <w:spacing w:line="360" w:lineRule="auto"/>
              <w:ind w:firstLine="420" w:firstLineChars="200"/>
              <w:jc w:val="center"/>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3257550" cy="247650"/>
                  <wp:effectExtent l="0" t="0" r="0" b="0"/>
                  <wp:docPr id="31"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true"/>
                          </pic:cNvPicPr>
                        </pic:nvPicPr>
                        <pic:blipFill>
                          <a:blip r:embed="rId15"/>
                          <a:stretch>
                            <a:fillRect/>
                          </a:stretch>
                        </pic:blipFill>
                        <pic:spPr>
                          <a:xfrm>
                            <a:off x="0" y="0"/>
                            <a:ext cx="3257550" cy="247650"/>
                          </a:xfrm>
                          <a:prstGeom prst="rect">
                            <a:avLst/>
                          </a:prstGeom>
                          <a:noFill/>
                          <a:ln>
                            <a:noFill/>
                          </a:ln>
                        </pic:spPr>
                      </pic:pic>
                    </a:graphicData>
                  </a:graphic>
                </wp:inline>
              </w:drawing>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p</w:t>
            </w:r>
            <w:r>
              <w:rPr>
                <w:rFonts w:hint="default" w:ascii="Times New Roman" w:hAnsi="Times New Roman" w:cs="Times New Roman"/>
                <w:color w:val="auto"/>
                <w:sz w:val="24"/>
              </w:rPr>
              <w:t>(r)——预测点处声压级，dB；</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Lw——由点声源产生的声功率级（A计权或倍频带），dB；</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Dc——指向性校正，它描述点声源的等效连续声压级与产生声功率级Lw的全向点声源在规定方向的声级的偏差程度，dB；</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div</w:t>
            </w:r>
            <w:r>
              <w:rPr>
                <w:rFonts w:hint="default" w:ascii="Times New Roman" w:hAnsi="Times New Roman" w:cs="Times New Roman"/>
                <w:color w:val="auto"/>
                <w:sz w:val="24"/>
              </w:rPr>
              <w:t>——几何发散引起的衰减，dB；</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atm</w:t>
            </w:r>
            <w:r>
              <w:rPr>
                <w:rFonts w:hint="default" w:ascii="Times New Roman" w:hAnsi="Times New Roman" w:cs="Times New Roman"/>
                <w:color w:val="auto"/>
                <w:sz w:val="24"/>
              </w:rPr>
              <w:t>——大气吸收引起的衰减，dB；</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gr</w:t>
            </w:r>
            <w:r>
              <w:rPr>
                <w:rFonts w:hint="default" w:ascii="Times New Roman" w:hAnsi="Times New Roman" w:cs="Times New Roman"/>
                <w:color w:val="auto"/>
                <w:sz w:val="24"/>
              </w:rPr>
              <w:t>——地面效应引起的衰减，dB；</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bar</w:t>
            </w:r>
            <w:r>
              <w:rPr>
                <w:rFonts w:hint="default" w:ascii="Times New Roman" w:hAnsi="Times New Roman" w:cs="Times New Roman"/>
                <w:color w:val="auto"/>
                <w:sz w:val="24"/>
              </w:rPr>
              <w:t>——障碍物屏蔽引起的衰减，dB；</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misc</w:t>
            </w:r>
            <w:r>
              <w:rPr>
                <w:rFonts w:hint="default" w:ascii="Times New Roman" w:hAnsi="Times New Roman" w:cs="Times New Roman"/>
                <w:color w:val="auto"/>
                <w:sz w:val="24"/>
              </w:rPr>
              <w:t>——其他多方面效应引起的衰减，dB；</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⑥设第i个室外声源在预测点产生的A声级为L</w:t>
            </w:r>
            <w:r>
              <w:rPr>
                <w:rFonts w:hint="default" w:ascii="Times New Roman" w:hAnsi="Times New Roman" w:cs="Times New Roman"/>
                <w:color w:val="auto"/>
                <w:sz w:val="24"/>
                <w:vertAlign w:val="subscript"/>
              </w:rPr>
              <w:t>Ai</w:t>
            </w:r>
            <w:r>
              <w:rPr>
                <w:rFonts w:hint="default" w:ascii="Times New Roman" w:hAnsi="Times New Roman" w:cs="Times New Roman"/>
                <w:color w:val="auto"/>
                <w:sz w:val="24"/>
              </w:rPr>
              <w:t>，在T时间内该声源工作时间t</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；第j个等效室外声源在预测点产生的A声级为L</w:t>
            </w:r>
            <w:r>
              <w:rPr>
                <w:rFonts w:hint="default" w:ascii="Times New Roman" w:hAnsi="Times New Roman" w:cs="Times New Roman"/>
                <w:color w:val="auto"/>
                <w:sz w:val="24"/>
                <w:vertAlign w:val="subscript"/>
              </w:rPr>
              <w:t>Aj</w:t>
            </w:r>
            <w:r>
              <w:rPr>
                <w:rFonts w:hint="default" w:ascii="Times New Roman" w:hAnsi="Times New Roman" w:cs="Times New Roman"/>
                <w:color w:val="auto"/>
                <w:sz w:val="24"/>
              </w:rPr>
              <w:t xml:space="preserve">，在T时间内该声源工作时间为t </w:t>
            </w:r>
            <w:r>
              <w:rPr>
                <w:rFonts w:hint="default" w:ascii="Times New Roman" w:hAnsi="Times New Roman" w:cs="Times New Roman"/>
                <w:color w:val="auto"/>
                <w:sz w:val="24"/>
                <w:vertAlign w:val="subscript"/>
              </w:rPr>
              <w:t>j</w:t>
            </w:r>
            <w:r>
              <w:rPr>
                <w:rFonts w:hint="default" w:ascii="Times New Roman" w:hAnsi="Times New Roman" w:cs="Times New Roman"/>
                <w:color w:val="auto"/>
                <w:sz w:val="24"/>
              </w:rPr>
              <w:t>，则拟建工程声源对预测点产生的贡献值（L</w:t>
            </w:r>
            <w:r>
              <w:rPr>
                <w:rFonts w:hint="default" w:ascii="Times New Roman" w:hAnsi="Times New Roman" w:cs="Times New Roman"/>
                <w:color w:val="auto"/>
                <w:sz w:val="24"/>
                <w:vertAlign w:val="subscript"/>
              </w:rPr>
              <w:t>eqg</w:t>
            </w:r>
            <w:r>
              <w:rPr>
                <w:rFonts w:hint="default" w:ascii="Times New Roman" w:hAnsi="Times New Roman" w:cs="Times New Roman"/>
                <w:color w:val="auto"/>
                <w:sz w:val="24"/>
              </w:rPr>
              <w:t>）为：</w:t>
            </w:r>
          </w:p>
          <w:p>
            <w:pPr>
              <w:spacing w:line="360" w:lineRule="auto"/>
              <w:ind w:firstLine="420" w:firstLineChars="200"/>
              <w:jc w:val="center"/>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2791460" cy="525145"/>
                  <wp:effectExtent l="0" t="0" r="8890" b="8255"/>
                  <wp:docPr id="5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true"/>
                          </pic:cNvPicPr>
                        </pic:nvPicPr>
                        <pic:blipFill>
                          <a:blip r:embed="rId16"/>
                          <a:stretch>
                            <a:fillRect/>
                          </a:stretch>
                        </pic:blipFill>
                        <pic:spPr>
                          <a:xfrm>
                            <a:off x="0" y="0"/>
                            <a:ext cx="2791460" cy="525145"/>
                          </a:xfrm>
                          <a:prstGeom prst="rect">
                            <a:avLst/>
                          </a:prstGeom>
                          <a:noFill/>
                          <a:ln>
                            <a:noFill/>
                          </a:ln>
                        </pic:spPr>
                      </pic:pic>
                    </a:graphicData>
                  </a:graphic>
                </wp:inline>
              </w:drawing>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eqg</w:t>
            </w:r>
            <w:r>
              <w:rPr>
                <w:rFonts w:hint="default" w:ascii="Times New Roman" w:hAnsi="Times New Roman" w:cs="Times New Roman"/>
                <w:color w:val="auto"/>
                <w:sz w:val="24"/>
              </w:rPr>
              <w:t>——建设项目声源在预测点产生的噪声贡献值，dB；</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T——用于计算等效声级的时间，s；</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N——室外声源个数；</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t</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——在T时间内i声源工作时间，s；</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M——等效室外声源个数；</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t</w:t>
            </w:r>
            <w:r>
              <w:rPr>
                <w:rFonts w:hint="default" w:ascii="Times New Roman" w:hAnsi="Times New Roman" w:cs="Times New Roman"/>
                <w:color w:val="auto"/>
                <w:sz w:val="24"/>
                <w:vertAlign w:val="subscript"/>
              </w:rPr>
              <w:t>j</w:t>
            </w:r>
            <w:r>
              <w:rPr>
                <w:rFonts w:hint="default" w:ascii="Times New Roman" w:hAnsi="Times New Roman" w:cs="Times New Roman"/>
                <w:color w:val="auto"/>
                <w:sz w:val="24"/>
              </w:rPr>
              <w:t>——在T时间内j声源工作时间，s。</w:t>
            </w:r>
          </w:p>
          <w:p>
            <w:pPr>
              <w:tabs>
                <w:tab w:val="left" w:pos="1380"/>
                <w:tab w:val="left" w:pos="1860"/>
                <w:tab w:val="center" w:pos="4535"/>
                <w:tab w:val="left" w:pos="5985"/>
                <w:tab w:val="left" w:pos="774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⑦预测点的贡献值和背景值按能量叠加方法计算得到的声级。</w:t>
            </w:r>
          </w:p>
          <w:p>
            <w:pPr>
              <w:tabs>
                <w:tab w:val="left" w:pos="1380"/>
                <w:tab w:val="left" w:pos="1860"/>
                <w:tab w:val="center" w:pos="4535"/>
                <w:tab w:val="left" w:pos="5985"/>
                <w:tab w:val="left" w:pos="774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噪声预测值（L</w:t>
            </w:r>
            <w:r>
              <w:rPr>
                <w:rFonts w:hint="default" w:ascii="Times New Roman" w:hAnsi="Times New Roman" w:cs="Times New Roman"/>
                <w:color w:val="auto"/>
                <w:sz w:val="24"/>
                <w:vertAlign w:val="subscript"/>
              </w:rPr>
              <w:t>eq</w:t>
            </w:r>
            <w:r>
              <w:rPr>
                <w:rFonts w:hint="default" w:ascii="Times New Roman" w:hAnsi="Times New Roman" w:cs="Times New Roman"/>
                <w:color w:val="auto"/>
                <w:sz w:val="24"/>
              </w:rPr>
              <w:t>）计算公式为：</w:t>
            </w:r>
          </w:p>
          <w:p>
            <w:pPr>
              <w:tabs>
                <w:tab w:val="left" w:pos="1380"/>
                <w:tab w:val="left" w:pos="1860"/>
                <w:tab w:val="center" w:pos="4535"/>
                <w:tab w:val="left" w:pos="5985"/>
                <w:tab w:val="left" w:pos="7740"/>
              </w:tabs>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1849755" cy="363855"/>
                  <wp:effectExtent l="0" t="0" r="17145" b="17145"/>
                  <wp:docPr id="5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true"/>
                          </pic:cNvPicPr>
                        </pic:nvPicPr>
                        <pic:blipFill>
                          <a:blip r:embed="rId17"/>
                          <a:stretch>
                            <a:fillRect/>
                          </a:stretch>
                        </pic:blipFill>
                        <pic:spPr>
                          <a:xfrm>
                            <a:off x="0" y="0"/>
                            <a:ext cx="1849755" cy="363855"/>
                          </a:xfrm>
                          <a:prstGeom prst="rect">
                            <a:avLst/>
                          </a:prstGeom>
                          <a:noFill/>
                          <a:ln>
                            <a:noFill/>
                          </a:ln>
                        </pic:spPr>
                      </pic:pic>
                    </a:graphicData>
                  </a:graphic>
                </wp:inline>
              </w:drawing>
            </w:r>
          </w:p>
          <w:p>
            <w:pPr>
              <w:spacing w:line="360" w:lineRule="auto"/>
              <w:rPr>
                <w:rFonts w:hint="default" w:ascii="Times New Roman" w:hAnsi="Times New Roman" w:cs="Times New Roman"/>
                <w:b/>
                <w:color w:val="auto"/>
                <w:kern w:val="0"/>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eq</w:t>
            </w:r>
            <w:r>
              <w:rPr>
                <w:rFonts w:hint="default" w:ascii="Times New Roman" w:hAnsi="Times New Roman" w:cs="Times New Roman"/>
                <w:color w:val="auto"/>
                <w:sz w:val="24"/>
              </w:rPr>
              <w:t>——预测点的噪声预测值，dB；</w:t>
            </w:r>
          </w:p>
          <w:p>
            <w:pPr>
              <w:spacing w:line="360" w:lineRule="auto"/>
              <w:ind w:left="420" w:leftChars="200" w:firstLine="240" w:firstLineChars="100"/>
              <w:rPr>
                <w:rFonts w:hint="default" w:ascii="Times New Roman" w:hAnsi="Times New Roman" w:cs="Times New Roman"/>
                <w:b/>
                <w:color w:val="auto"/>
                <w:kern w:val="0"/>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eqg</w:t>
            </w:r>
            <w:r>
              <w:rPr>
                <w:rFonts w:hint="default" w:ascii="Times New Roman" w:hAnsi="Times New Roman" w:cs="Times New Roman"/>
                <w:color w:val="auto"/>
                <w:sz w:val="24"/>
              </w:rPr>
              <w:t>——建设项目声源在预测点产生的噪声贡献值，dB；</w:t>
            </w:r>
          </w:p>
          <w:p>
            <w:pPr>
              <w:spacing w:line="360" w:lineRule="auto"/>
              <w:ind w:left="420" w:leftChars="200"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eqb</w:t>
            </w:r>
            <w:r>
              <w:rPr>
                <w:rFonts w:hint="default" w:ascii="Times New Roman" w:hAnsi="Times New Roman" w:cs="Times New Roman"/>
                <w:color w:val="auto"/>
                <w:sz w:val="24"/>
              </w:rPr>
              <w:t>——预测点的背景噪声值，dB。</w:t>
            </w:r>
          </w:p>
          <w:p>
            <w:pPr>
              <w:spacing w:line="360" w:lineRule="auto"/>
              <w:ind w:left="420" w:leftChars="200"/>
              <w:rPr>
                <w:rFonts w:hint="default" w:ascii="Times New Roman" w:hAnsi="Times New Roman" w:cs="Times New Roman"/>
                <w:b w:val="0"/>
                <w:bCs/>
                <w:color w:val="auto"/>
                <w:kern w:val="0"/>
                <w:sz w:val="24"/>
              </w:rPr>
            </w:pPr>
            <w:r>
              <w:rPr>
                <w:rFonts w:hint="default" w:ascii="Times New Roman" w:hAnsi="Times New Roman" w:cs="Times New Roman"/>
                <w:b w:val="0"/>
                <w:bCs/>
                <w:color w:val="auto"/>
                <w:kern w:val="0"/>
                <w:sz w:val="24"/>
              </w:rPr>
              <w:t>（3）噪声防治措施</w:t>
            </w:r>
          </w:p>
          <w:p>
            <w:pPr>
              <w:tabs>
                <w:tab w:val="left" w:pos="1380"/>
                <w:tab w:val="left" w:pos="1860"/>
                <w:tab w:val="center" w:pos="4535"/>
                <w:tab w:val="left" w:pos="5985"/>
                <w:tab w:val="left" w:pos="774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为最大限度降低噪声对区域环境的影响，评价建议采取以下措施：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①选用低噪声设备，各机加工设备安装减震基座，厂房隔声等；</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w:t>
            </w:r>
            <w:r>
              <w:rPr>
                <w:rFonts w:hint="default" w:ascii="Times New Roman" w:hAnsi="Times New Roman" w:cs="Times New Roman"/>
                <w:color w:val="auto"/>
                <w:sz w:val="24"/>
                <w:lang w:val="en-US" w:eastAsia="zh-CN"/>
              </w:rPr>
              <w:t>风机等高噪设备设专用设备间，</w:t>
            </w:r>
            <w:r>
              <w:rPr>
                <w:rFonts w:hint="default" w:ascii="Times New Roman" w:hAnsi="Times New Roman" w:cs="Times New Roman"/>
                <w:color w:val="auto"/>
                <w:sz w:val="24"/>
              </w:rPr>
              <w:t>各风机进出风口采用软连接，底部安装减震基座，风机出口安装消声器；</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③合理安排生产时间，合理生产车间布局，将高噪声设备尽可能安放在厂区中部；</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④加强内部管理，完善合理各项操作规程、规范，尽可能减少由于设备维护不善、工人操作不规范带来噪声提高的情况。</w:t>
            </w:r>
          </w:p>
          <w:p>
            <w:pPr>
              <w:spacing w:line="360" w:lineRule="auto"/>
              <w:ind w:firstLine="480" w:firstLineChars="200"/>
              <w:rPr>
                <w:rFonts w:hint="default" w:ascii="Times New Roman" w:hAnsi="Times New Roman" w:cs="Times New Roman"/>
                <w:b w:val="0"/>
                <w:bCs/>
                <w:color w:val="auto"/>
                <w:sz w:val="24"/>
              </w:rPr>
            </w:pPr>
            <w:r>
              <w:rPr>
                <w:rFonts w:hint="default" w:ascii="Times New Roman" w:hAnsi="Times New Roman" w:cs="Times New Roman"/>
                <w:b w:val="0"/>
                <w:bCs/>
                <w:color w:val="auto"/>
                <w:kern w:val="0"/>
                <w:sz w:val="24"/>
              </w:rPr>
              <w:t>（4）预测结果</w:t>
            </w:r>
          </w:p>
          <w:p>
            <w:pPr>
              <w:keepNext w:val="0"/>
              <w:keepLines w:val="0"/>
              <w:suppressLineNumbers w:val="0"/>
              <w:bidi w:val="0"/>
              <w:spacing w:before="0" w:beforeAutospacing="0" w:after="0" w:afterAutospacing="0"/>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本次评价以贡献值作为预测值，预测结果见下表。</w:t>
            </w:r>
          </w:p>
          <w:p>
            <w:pPr>
              <w:keepNext w:val="0"/>
              <w:keepLines w:val="0"/>
              <w:suppressLineNumbers w:val="0"/>
              <w:bidi w:val="0"/>
              <w:spacing w:before="0" w:beforeAutospacing="0" w:after="0" w:afterAutospacing="0"/>
              <w:ind w:left="0" w:right="0"/>
              <w:jc w:val="center"/>
              <w:rPr>
                <w:rFonts w:hint="default" w:ascii="Times New Roman" w:hAnsi="Times New Roman" w:cs="Times New Roman"/>
                <w:b/>
                <w:bCs/>
                <w:i w:val="0"/>
                <w:color w:val="auto"/>
                <w:kern w:val="2"/>
                <w:sz w:val="24"/>
                <w:szCs w:val="24"/>
                <w:lang w:val="en-US" w:eastAsia="zh-CN" w:bidi="ar-SA"/>
              </w:rPr>
            </w:pPr>
            <w:r>
              <w:rPr>
                <w:rFonts w:hint="default" w:ascii="Times New Roman" w:hAnsi="Times New Roman" w:cs="Times New Roman"/>
                <w:b/>
                <w:bCs/>
                <w:i w:val="0"/>
                <w:color w:val="auto"/>
                <w:kern w:val="2"/>
                <w:sz w:val="24"/>
                <w:szCs w:val="24"/>
                <w:lang w:val="en-US" w:eastAsia="zh-CN" w:bidi="ar-SA"/>
              </w:rPr>
              <w:t>表4.</w:t>
            </w:r>
            <w:r>
              <w:rPr>
                <w:rFonts w:hint="eastAsia" w:cs="Times New Roman"/>
                <w:b/>
                <w:bCs/>
                <w:i w:val="0"/>
                <w:color w:val="auto"/>
                <w:kern w:val="2"/>
                <w:sz w:val="24"/>
                <w:szCs w:val="24"/>
                <w:lang w:val="en-US" w:eastAsia="zh-CN" w:bidi="ar-SA"/>
              </w:rPr>
              <w:t>10</w:t>
            </w:r>
            <w:r>
              <w:rPr>
                <w:rFonts w:hint="default" w:ascii="Times New Roman" w:hAnsi="Times New Roman" w:cs="Times New Roman"/>
                <w:b/>
                <w:bCs/>
                <w:i w:val="0"/>
                <w:color w:val="auto"/>
                <w:kern w:val="2"/>
                <w:sz w:val="24"/>
                <w:szCs w:val="24"/>
                <w:lang w:val="en-US" w:eastAsia="zh-CN" w:bidi="ar-SA"/>
              </w:rPr>
              <w:t>厂界噪声预测结果表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260"/>
              <w:gridCol w:w="1515"/>
              <w:gridCol w:w="1515"/>
              <w:gridCol w:w="1515"/>
              <w:gridCol w:w="151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预测点</w:t>
                  </w:r>
                </w:p>
              </w:tc>
              <w:tc>
                <w:tcPr>
                  <w:tcW w:w="14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东厂界</w:t>
                  </w:r>
                </w:p>
              </w:tc>
              <w:tc>
                <w:tcPr>
                  <w:tcW w:w="14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南厂界</w:t>
                  </w:r>
                </w:p>
              </w:tc>
              <w:tc>
                <w:tcPr>
                  <w:tcW w:w="145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西厂界</w:t>
                  </w:r>
                </w:p>
              </w:tc>
              <w:tc>
                <w:tcPr>
                  <w:tcW w:w="145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北厂界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bookmarkStart w:id="28" w:name="OLE_LINK159" w:colFirst="1" w:colLast="4"/>
                  <w:r>
                    <w:rPr>
                      <w:rFonts w:hint="default" w:ascii="Times New Roman" w:hAnsi="Times New Roman" w:cs="Times New Roman"/>
                      <w:color w:val="auto"/>
                      <w:szCs w:val="21"/>
                    </w:rPr>
                    <w:t>昼间贡献值</w:t>
                  </w:r>
                </w:p>
              </w:tc>
              <w:tc>
                <w:tcPr>
                  <w:tcW w:w="145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w:t>
                  </w:r>
                  <w:r>
                    <w:rPr>
                      <w:rFonts w:hint="eastAsia" w:ascii="Times New Roman" w:hAnsi="Times New Roman" w:cs="Times New Roman"/>
                      <w:color w:val="auto"/>
                      <w:szCs w:val="21"/>
                      <w:lang w:val="en-US" w:eastAsia="zh-CN"/>
                    </w:rPr>
                    <w:t>0</w:t>
                  </w:r>
                  <w:r>
                    <w:rPr>
                      <w:rFonts w:hint="default" w:ascii="Times New Roman" w:hAnsi="Times New Roman" w:cs="Times New Roman"/>
                      <w:color w:val="auto"/>
                      <w:szCs w:val="21"/>
                      <w:lang w:val="en-US" w:eastAsia="zh-CN"/>
                    </w:rPr>
                    <w:t>.8</w:t>
                  </w:r>
                </w:p>
              </w:tc>
              <w:tc>
                <w:tcPr>
                  <w:tcW w:w="145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5</w:t>
                  </w:r>
                  <w:r>
                    <w:rPr>
                      <w:rFonts w:hint="eastAsia" w:ascii="Times New Roman" w:hAnsi="Times New Roman" w:cs="Times New Roman"/>
                      <w:color w:val="auto"/>
                      <w:szCs w:val="21"/>
                      <w:lang w:val="en-US" w:eastAsia="zh-CN"/>
                    </w:rPr>
                    <w:t>4</w:t>
                  </w:r>
                  <w:r>
                    <w:rPr>
                      <w:rFonts w:hint="default" w:ascii="Times New Roman" w:hAnsi="Times New Roman" w:cs="Times New Roman"/>
                      <w:color w:val="auto"/>
                      <w:szCs w:val="21"/>
                      <w:lang w:val="en-US" w:eastAsia="zh-CN"/>
                    </w:rPr>
                    <w:t>.6</w:t>
                  </w:r>
                </w:p>
              </w:tc>
              <w:tc>
                <w:tcPr>
                  <w:tcW w:w="145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bookmarkStart w:id="29" w:name="OLE_LINK158"/>
                  <w:r>
                    <w:rPr>
                      <w:rFonts w:hint="default" w:ascii="Times New Roman" w:hAnsi="Times New Roman" w:cs="Times New Roman"/>
                      <w:color w:val="auto"/>
                      <w:szCs w:val="21"/>
                      <w:lang w:val="en-US" w:eastAsia="zh-CN"/>
                    </w:rPr>
                    <w:t>5</w:t>
                  </w: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.5</w:t>
                  </w:r>
                  <w:bookmarkEnd w:id="29"/>
                </w:p>
              </w:tc>
              <w:tc>
                <w:tcPr>
                  <w:tcW w:w="145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w:t>
                  </w: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lang w:val="en-US" w:eastAsia="zh-CN"/>
                    </w:rPr>
                    <w:t>.7</w:t>
                  </w:r>
                </w:p>
              </w:tc>
            </w:tr>
            <w:bookmarkEnd w:id="28"/>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标准限值</w:t>
                  </w:r>
                </w:p>
              </w:tc>
              <w:tc>
                <w:tcPr>
                  <w:tcW w:w="5823" w:type="dxa"/>
                  <w:gridSpan w:val="4"/>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昼间65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eastAsia="zh-CN"/>
                    </w:rPr>
                    <w:t>夜</w:t>
                  </w:r>
                  <w:r>
                    <w:rPr>
                      <w:rFonts w:hint="default" w:ascii="Times New Roman" w:hAnsi="Times New Roman" w:cs="Times New Roman"/>
                      <w:color w:val="auto"/>
                      <w:szCs w:val="21"/>
                    </w:rPr>
                    <w:t>间贡献值</w:t>
                  </w:r>
                </w:p>
              </w:tc>
              <w:tc>
                <w:tcPr>
                  <w:tcW w:w="145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w:t>
                  </w:r>
                  <w:r>
                    <w:rPr>
                      <w:rFonts w:hint="eastAsia" w:ascii="Times New Roman" w:hAnsi="Times New Roman" w:cs="Times New Roman"/>
                      <w:color w:val="auto"/>
                      <w:szCs w:val="21"/>
                      <w:lang w:val="en-US" w:eastAsia="zh-CN"/>
                    </w:rPr>
                    <w:t>0</w:t>
                  </w:r>
                  <w:r>
                    <w:rPr>
                      <w:rFonts w:hint="default" w:ascii="Times New Roman" w:hAnsi="Times New Roman" w:cs="Times New Roman"/>
                      <w:color w:val="auto"/>
                      <w:szCs w:val="21"/>
                      <w:lang w:val="en-US" w:eastAsia="zh-CN"/>
                    </w:rPr>
                    <w:t>.8</w:t>
                  </w:r>
                </w:p>
              </w:tc>
              <w:tc>
                <w:tcPr>
                  <w:tcW w:w="145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5</w:t>
                  </w:r>
                  <w:r>
                    <w:rPr>
                      <w:rFonts w:hint="eastAsia" w:ascii="Times New Roman" w:hAnsi="Times New Roman" w:cs="Times New Roman"/>
                      <w:color w:val="auto"/>
                      <w:szCs w:val="21"/>
                      <w:lang w:val="en-US" w:eastAsia="zh-CN"/>
                    </w:rPr>
                    <w:t>4</w:t>
                  </w:r>
                  <w:r>
                    <w:rPr>
                      <w:rFonts w:hint="default" w:ascii="Times New Roman" w:hAnsi="Times New Roman" w:cs="Times New Roman"/>
                      <w:color w:val="auto"/>
                      <w:szCs w:val="21"/>
                      <w:lang w:val="en-US" w:eastAsia="zh-CN"/>
                    </w:rPr>
                    <w:t>.6</w:t>
                  </w:r>
                </w:p>
              </w:tc>
              <w:tc>
                <w:tcPr>
                  <w:tcW w:w="145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w:t>
                  </w: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.5</w:t>
                  </w:r>
                </w:p>
              </w:tc>
              <w:tc>
                <w:tcPr>
                  <w:tcW w:w="145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w:t>
                  </w: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7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标准限值</w:t>
                  </w:r>
                </w:p>
              </w:tc>
              <w:tc>
                <w:tcPr>
                  <w:tcW w:w="5823" w:type="dxa"/>
                  <w:gridSpan w:val="4"/>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eastAsia="zh-CN"/>
                    </w:rPr>
                    <w:t>夜间</w:t>
                  </w:r>
                  <w:r>
                    <w:rPr>
                      <w:rFonts w:hint="default" w:ascii="Times New Roman" w:hAnsi="Times New Roman" w:cs="Times New Roman"/>
                      <w:color w:val="auto"/>
                      <w:szCs w:val="21"/>
                      <w:lang w:val="en-US" w:eastAsia="zh-CN"/>
                    </w:rPr>
                    <w:t>55</w:t>
                  </w:r>
                </w:p>
              </w:tc>
            </w:tr>
          </w:tbl>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由此可见，运营期通过对高噪声设备采取相应的噪声控制措施，利用围墙隔声和距离衰减的情况下，厂界昼夜间噪声能够符合《工业企业厂界环境噪声排放标准》（GB12348-2008）3类标准。</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综上所述，本项目的各类噪声设备在正常运转情况下，采取降噪措施经距离衰减后，不会对评价区域声环境质量产生明显影响。</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1"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（3）噪声监测要求</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根据</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fldChar w:fldCharType="begin"/>
            </w:r>
            <w:r>
              <w:rPr>
                <w:rFonts w:hint="default" w:ascii="Times New Roman" w:hAnsi="Times New Roman" w:eastAsia="宋体" w:cs="Times New Roman"/>
                <w:color w:val="auto"/>
                <w:sz w:val="24"/>
                <w:lang w:val="en-US" w:eastAsia="zh-CN"/>
              </w:rPr>
              <w:instrText xml:space="preserve">HYPERLINK"https://www.eiacloud.com/hpyzs/lawsRegulations/searchDetail?id=d337723ff180477e99197248fffd0aea&amp;modelName=%E9%A6%96%E9%A1%B5"\t"https://www.eiacloud.com/hpyzs/lawsRegulations/_blank"</w:instrText>
            </w:r>
            <w:r>
              <w:rPr>
                <w:rFonts w:hint="default" w:ascii="Times New Roman" w:hAnsi="Times New Roman" w:eastAsia="宋体" w:cs="Times New Roman"/>
                <w:color w:val="auto"/>
                <w:sz w:val="24"/>
                <w:lang w:val="en-US" w:eastAsia="zh-CN"/>
              </w:rPr>
              <w:fldChar w:fldCharType="separate"/>
            </w:r>
            <w:r>
              <w:rPr>
                <w:rFonts w:hint="default" w:ascii="Times New Roman" w:hAnsi="Times New Roman" w:eastAsia="宋体" w:cs="Times New Roman"/>
                <w:color w:val="auto"/>
                <w:sz w:val="24"/>
                <w:lang w:val="en-US" w:eastAsia="zh-CN"/>
              </w:rPr>
              <w:t>排污许可证申请与核发技术规范 工业噪声</w:t>
            </w:r>
            <w:r>
              <w:rPr>
                <w:rFonts w:hint="default" w:ascii="Times New Roman" w:hAnsi="Times New Roman" w:eastAsia="宋体" w:cs="Times New Roman"/>
                <w:color w:val="auto"/>
                <w:sz w:val="24"/>
                <w:lang w:val="en-US" w:eastAsia="zh-CN"/>
              </w:rPr>
              <w:fldChar w:fldCharType="end"/>
            </w:r>
            <w:r>
              <w:rPr>
                <w:rFonts w:hint="default" w:ascii="Times New Roman" w:hAnsi="Times New Roman" w:eastAsia="宋体" w:cs="Times New Roman"/>
                <w:color w:val="auto"/>
                <w:sz w:val="24"/>
                <w:lang w:val="en-US" w:eastAsia="zh-CN"/>
              </w:rPr>
              <w:t>》（HJ1301-2023）的要求对项目噪声污染源情况以及污染治理设施的运转情况进行定期检查，监测可委托有资质的单位实施，监测方法按环境监测技术规范进行。</w:t>
            </w:r>
          </w:p>
          <w:p>
            <w:pPr>
              <w:pStyle w:val="9"/>
              <w:keepNext w:val="0"/>
              <w:keepLines w:val="0"/>
              <w:suppressLineNumbers w:val="0"/>
              <w:spacing w:before="0" w:beforeAutospacing="0" w:after="0" w:afterAutospacing="0"/>
              <w:ind w:right="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w:t>
            </w:r>
            <w:r>
              <w:rPr>
                <w:rFonts w:hint="eastAsia" w:cs="Times New Roman"/>
                <w:b/>
                <w:bCs/>
                <w:color w:val="auto"/>
                <w:sz w:val="24"/>
                <w:szCs w:val="24"/>
                <w:lang w:val="en-US" w:eastAsia="zh-CN"/>
              </w:rPr>
              <w:t>11</w:t>
            </w:r>
            <w:r>
              <w:rPr>
                <w:rFonts w:hint="default" w:ascii="Times New Roman" w:hAnsi="Times New Roman" w:cs="Times New Roman"/>
                <w:b/>
                <w:bCs/>
                <w:color w:val="auto"/>
                <w:sz w:val="24"/>
                <w:szCs w:val="24"/>
                <w:lang w:val="en-US" w:eastAsia="zh-CN"/>
              </w:rPr>
              <w:t>噪声监测计划一览表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1140"/>
              <w:gridCol w:w="1695"/>
              <w:gridCol w:w="3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监测点位</w:t>
                  </w:r>
                </w:p>
              </w:tc>
              <w:tc>
                <w:tcPr>
                  <w:tcW w:w="114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监测指标</w:t>
                  </w:r>
                </w:p>
              </w:tc>
              <w:tc>
                <w:tcPr>
                  <w:tcW w:w="16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监测频次</w:t>
                  </w:r>
                </w:p>
              </w:tc>
              <w:tc>
                <w:tcPr>
                  <w:tcW w:w="39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四至厂界外1m</w:t>
                  </w:r>
                </w:p>
              </w:tc>
              <w:tc>
                <w:tcPr>
                  <w:tcW w:w="114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噪声</w:t>
                  </w:r>
                </w:p>
              </w:tc>
              <w:tc>
                <w:tcPr>
                  <w:tcW w:w="169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1次/季度，昼、夜各1次</w:t>
                  </w:r>
                </w:p>
              </w:tc>
              <w:tc>
                <w:tcPr>
                  <w:tcW w:w="39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执行《工业企业厂界环境噪声排放标准》（GB12348-2008）3类标准</w:t>
                  </w:r>
                </w:p>
              </w:tc>
            </w:tr>
          </w:tbl>
          <w:p>
            <w:pPr>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lang w:val="en-US" w:eastAsia="zh-CN"/>
              </w:rPr>
            </w:pPr>
          </w:p>
        </w:tc>
      </w:tr>
    </w:tbl>
    <w:p>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4"/>
        <w:tblW w:w="0" w:type="auto"/>
        <w:tblInd w:w="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12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7" w:hRule="atLeast"/>
        </w:trPr>
        <w:tc>
          <w:tcPr>
            <w:tcW w:w="435" w:type="dxa"/>
          </w:tcPr>
          <w:p>
            <w:pPr>
              <w:pStyle w:val="32"/>
              <w:keepNext w:val="0"/>
              <w:keepLines w:val="0"/>
              <w:suppressLineNumbers w:val="0"/>
              <w:spacing w:before="0" w:beforeAutospacing="0" w:after="0" w:afterAutospacing="0" w:line="360" w:lineRule="auto"/>
              <w:ind w:left="0" w:right="0"/>
              <w:jc w:val="center"/>
              <w:outlineLvl w:val="0"/>
              <w:rPr>
                <w:rFonts w:hint="default" w:ascii="Times New Roman" w:hAnsi="Times New Roman" w:cs="Times New Roman"/>
                <w:b/>
                <w:bCs/>
                <w:snapToGrid w:val="0"/>
                <w:color w:val="auto"/>
                <w:sz w:val="30"/>
                <w:szCs w:val="30"/>
                <w:vertAlign w:val="baseline"/>
              </w:rPr>
            </w:pPr>
          </w:p>
        </w:tc>
        <w:tc>
          <w:tcPr>
            <w:tcW w:w="12796"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b/>
                <w:bCs w:val="0"/>
                <w:color w:val="auto"/>
                <w:sz w:val="24"/>
                <w:szCs w:val="20"/>
                <w:lang w:val="en-US" w:eastAsia="zh-CN"/>
              </w:rPr>
            </w:pPr>
            <w:r>
              <w:rPr>
                <w:rFonts w:hint="default" w:ascii="Times New Roman" w:hAnsi="Times New Roman" w:cs="Times New Roman"/>
                <w:b/>
                <w:bCs w:val="0"/>
                <w:color w:val="auto"/>
                <w:sz w:val="24"/>
                <w:szCs w:val="20"/>
                <w:lang w:val="en-US" w:eastAsia="zh-CN"/>
              </w:rPr>
              <w:t>4、固体废物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firstLineChars="200"/>
              <w:textAlignment w:val="auto"/>
              <w:rPr>
                <w:rFonts w:hint="default" w:ascii="Times New Roman" w:hAnsi="Times New Roman" w:cs="Times New Roman"/>
                <w:b/>
                <w:bCs w:val="0"/>
                <w:color w:val="auto"/>
                <w:sz w:val="24"/>
                <w:szCs w:val="20"/>
                <w:lang w:val="en-US" w:eastAsia="zh-CN"/>
              </w:rPr>
            </w:pPr>
            <w:r>
              <w:rPr>
                <w:rFonts w:hint="default" w:ascii="Times New Roman" w:hAnsi="Times New Roman" w:cs="Times New Roman"/>
                <w:b/>
                <w:bCs w:val="0"/>
                <w:color w:val="auto"/>
                <w:sz w:val="24"/>
                <w:szCs w:val="20"/>
                <w:lang w:val="en-US" w:eastAsia="zh-CN"/>
              </w:rPr>
              <w:t>（1）固体废物产生情况统计</w:t>
            </w:r>
          </w:p>
          <w:p>
            <w:pPr>
              <w:pStyle w:val="9"/>
              <w:keepNext w:val="0"/>
              <w:keepLines w:val="0"/>
              <w:suppressLineNumbers w:val="0"/>
              <w:spacing w:before="0" w:beforeAutospacing="0" w:after="0" w:afterAutospacing="0"/>
              <w:ind w:right="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表4.1</w:t>
            </w:r>
            <w:r>
              <w:rPr>
                <w:rFonts w:hint="eastAsia"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项目固体废物产生情况汇总表</w:t>
            </w:r>
          </w:p>
          <w:tbl>
            <w:tblPr>
              <w:tblStyle w:val="33"/>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1435"/>
              <w:gridCol w:w="720"/>
              <w:gridCol w:w="317"/>
              <w:gridCol w:w="1427"/>
              <w:gridCol w:w="1490"/>
              <w:gridCol w:w="801"/>
              <w:gridCol w:w="748"/>
              <w:gridCol w:w="1327"/>
              <w:gridCol w:w="3255"/>
              <w:gridCol w:w="105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70"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固体废物名称</w:t>
                  </w:r>
                </w:p>
              </w:tc>
              <w:tc>
                <w:tcPr>
                  <w:tcW w:w="286"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产生工序</w:t>
                  </w:r>
                </w:p>
              </w:tc>
              <w:tc>
                <w:tcPr>
                  <w:tcW w:w="126"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形态</w:t>
                  </w:r>
                </w:p>
              </w:tc>
              <w:tc>
                <w:tcPr>
                  <w:tcW w:w="567"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固废属性及废物代码</w:t>
                  </w:r>
                </w:p>
              </w:tc>
              <w:tc>
                <w:tcPr>
                  <w:tcW w:w="592"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主要有毒有害物质名称</w:t>
                  </w:r>
                </w:p>
              </w:tc>
              <w:tc>
                <w:tcPr>
                  <w:tcW w:w="318"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环境危险特性</w:t>
                  </w:r>
                </w:p>
              </w:tc>
              <w:tc>
                <w:tcPr>
                  <w:tcW w:w="297"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产生量</w:t>
                  </w:r>
                  <w:r>
                    <w:rPr>
                      <w:rFonts w:hint="default" w:ascii="Times New Roman" w:hAnsi="Times New Roman" w:cs="Times New Roman"/>
                      <w:b/>
                      <w:bCs w:val="0"/>
                      <w:color w:val="000000"/>
                      <w:kern w:val="24"/>
                      <w:sz w:val="21"/>
                      <w:szCs w:val="21"/>
                    </w:rPr>
                    <w:t>t/a</w:t>
                  </w:r>
                </w:p>
              </w:tc>
              <w:tc>
                <w:tcPr>
                  <w:tcW w:w="527"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贮存方式</w:t>
                  </w:r>
                </w:p>
              </w:tc>
              <w:tc>
                <w:tcPr>
                  <w:tcW w:w="1293"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利用处置方式和去向</w:t>
                  </w:r>
                </w:p>
              </w:tc>
              <w:tc>
                <w:tcPr>
                  <w:tcW w:w="418"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利用或处置量</w:t>
                  </w:r>
                  <w:r>
                    <w:rPr>
                      <w:rFonts w:hint="default" w:ascii="Times New Roman" w:hAnsi="Times New Roman" w:cs="Times New Roman"/>
                      <w:b/>
                      <w:bCs w:val="0"/>
                      <w:color w:val="000000"/>
                      <w:kern w:val="24"/>
                      <w:sz w:val="21"/>
                      <w:szCs w:val="21"/>
                    </w:rPr>
                    <w:t>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70" w:type="pct"/>
                  <w:tcBorders>
                    <w:tl2br w:val="nil"/>
                    <w:tr2bl w:val="nil"/>
                  </w:tcBorders>
                  <w:shd w:val="clear" w:color="auto" w:fill="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000000"/>
                      <w:kern w:val="2"/>
                      <w:sz w:val="21"/>
                      <w:szCs w:val="21"/>
                      <w:lang w:eastAsia="zh-CN" w:bidi="ar-SA"/>
                    </w:rPr>
                  </w:pPr>
                  <w:bookmarkStart w:id="30" w:name="OLE_LINK117" w:colFirst="6" w:colLast="6"/>
                  <w:r>
                    <w:rPr>
                      <w:rFonts w:hint="default" w:ascii="Times New Roman" w:hAnsi="Times New Roman" w:cs="Times New Roman"/>
                      <w:b w:val="0"/>
                      <w:bCs/>
                      <w:color w:val="000000"/>
                      <w:kern w:val="2"/>
                      <w:sz w:val="21"/>
                      <w:szCs w:val="21"/>
                      <w:lang w:eastAsia="zh-CN" w:bidi="ar-SA"/>
                    </w:rPr>
                    <w:t>废包装袋</w:t>
                  </w:r>
                </w:p>
              </w:tc>
              <w:tc>
                <w:tcPr>
                  <w:tcW w:w="286" w:type="pct"/>
                  <w:tcBorders>
                    <w:tl2br w:val="nil"/>
                    <w:tr2bl w:val="nil"/>
                  </w:tcBorders>
                  <w:shd w:val="clear" w:color="auto" w:fill="auto"/>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24"/>
                      <w:sz w:val="21"/>
                      <w:szCs w:val="21"/>
                      <w:lang w:eastAsia="zh-CN" w:bidi="ar-SA"/>
                    </w:rPr>
                  </w:pPr>
                  <w:r>
                    <w:rPr>
                      <w:rFonts w:hint="default" w:cs="Times New Roman"/>
                      <w:b w:val="0"/>
                      <w:bCs/>
                      <w:color w:val="000000"/>
                      <w:kern w:val="24"/>
                      <w:sz w:val="21"/>
                      <w:szCs w:val="21"/>
                      <w:lang w:eastAsia="zh-CN" w:bidi="ar-SA"/>
                    </w:rPr>
                    <w:t>原辅料</w:t>
                  </w:r>
                </w:p>
              </w:tc>
              <w:tc>
                <w:tcPr>
                  <w:tcW w:w="126" w:type="pct"/>
                  <w:tcBorders>
                    <w:tl2br w:val="nil"/>
                    <w:tr2bl w:val="nil"/>
                  </w:tcBorders>
                  <w:shd w:val="clear" w:color="auto" w:fill="auto"/>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2"/>
                      <w:sz w:val="21"/>
                      <w:szCs w:val="21"/>
                      <w:lang w:eastAsia="zh-CN" w:bidi="ar-SA"/>
                    </w:rPr>
                  </w:pPr>
                  <w:r>
                    <w:rPr>
                      <w:rFonts w:hint="default" w:cs="Times New Roman"/>
                      <w:b w:val="0"/>
                      <w:bCs/>
                      <w:color w:val="000000"/>
                      <w:kern w:val="2"/>
                      <w:sz w:val="21"/>
                      <w:szCs w:val="21"/>
                      <w:lang w:eastAsia="zh-CN" w:bidi="ar-SA"/>
                    </w:rPr>
                    <w:t>固态</w:t>
                  </w:r>
                </w:p>
              </w:tc>
              <w:tc>
                <w:tcPr>
                  <w:tcW w:w="567" w:type="pct"/>
                  <w:tcBorders>
                    <w:tl2br w:val="nil"/>
                    <w:tr2bl w:val="nil"/>
                  </w:tcBorders>
                  <w:shd w:val="clear" w:color="auto" w:fill="FFFFFF"/>
                  <w:noWrap w:val="0"/>
                  <w:vAlign w:val="center"/>
                </w:tcPr>
                <w:p>
                  <w:pPr>
                    <w:adjustRightInd w:val="0"/>
                    <w:snapToGrid w:val="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bookmarkStart w:id="31" w:name="OLE_LINK119"/>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SW59</w:t>
                  </w:r>
                </w:p>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themeColor="text1"/>
                      <w:kern w:val="2"/>
                      <w:sz w:val="21"/>
                      <w:szCs w:val="21"/>
                      <w:highlight w:val="none"/>
                      <w:shd w:val="clear" w:color="auto" w:fill="auto"/>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900-099-S59</w:t>
                  </w:r>
                  <w:bookmarkEnd w:id="31"/>
                </w:p>
              </w:tc>
              <w:tc>
                <w:tcPr>
                  <w:tcW w:w="592"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b w:val="0"/>
                      <w:bCs/>
                      <w:color w:val="000000"/>
                      <w:kern w:val="2"/>
                      <w:sz w:val="21"/>
                      <w:szCs w:val="21"/>
                      <w:lang w:val="en-US" w:eastAsia="zh-CN" w:bidi="ar-SA"/>
                    </w:rPr>
                  </w:pPr>
                  <w:r>
                    <w:rPr>
                      <w:rFonts w:hint="eastAsia" w:cs="Times New Roman"/>
                      <w:b w:val="0"/>
                      <w:bCs/>
                      <w:color w:val="000000"/>
                      <w:kern w:val="2"/>
                      <w:sz w:val="21"/>
                      <w:szCs w:val="21"/>
                      <w:lang w:val="en-US" w:eastAsia="zh-CN" w:bidi="ar-SA"/>
                    </w:rPr>
                    <w:t>/</w:t>
                  </w:r>
                </w:p>
              </w:tc>
              <w:tc>
                <w:tcPr>
                  <w:tcW w:w="318"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2"/>
                      <w:sz w:val="21"/>
                      <w:szCs w:val="21"/>
                      <w:lang w:val="en-US" w:eastAsia="zh-CN" w:bidi="ar-SA"/>
                    </w:rPr>
                  </w:pPr>
                  <w:r>
                    <w:rPr>
                      <w:rFonts w:hint="eastAsia" w:cs="Times New Roman"/>
                      <w:b w:val="0"/>
                      <w:bCs/>
                      <w:color w:val="000000"/>
                      <w:kern w:val="2"/>
                      <w:sz w:val="21"/>
                      <w:szCs w:val="21"/>
                      <w:lang w:val="en-US" w:eastAsia="zh-CN" w:bidi="ar-SA"/>
                    </w:rPr>
                    <w:t>/</w:t>
                  </w:r>
                </w:p>
              </w:tc>
              <w:tc>
                <w:tcPr>
                  <w:tcW w:w="297"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2"/>
                      <w:sz w:val="21"/>
                      <w:szCs w:val="21"/>
                      <w:lang w:val="en-US" w:eastAsia="zh-CN" w:bidi="ar-SA"/>
                    </w:rPr>
                  </w:pPr>
                  <w:r>
                    <w:rPr>
                      <w:rFonts w:hint="eastAsia" w:cs="Times New Roman"/>
                      <w:b w:val="0"/>
                      <w:bCs/>
                      <w:color w:val="000000"/>
                      <w:kern w:val="2"/>
                      <w:sz w:val="21"/>
                      <w:szCs w:val="21"/>
                      <w:lang w:val="en-US" w:eastAsia="zh-CN" w:bidi="ar-SA"/>
                    </w:rPr>
                    <w:t>5</w:t>
                  </w:r>
                </w:p>
              </w:tc>
              <w:tc>
                <w:tcPr>
                  <w:tcW w:w="527"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2"/>
                      <w:sz w:val="21"/>
                      <w:szCs w:val="21"/>
                      <w:lang w:val="en-US" w:eastAsia="zh-CN" w:bidi="ar-SA"/>
                    </w:rPr>
                  </w:pPr>
                  <w:r>
                    <w:rPr>
                      <w:rFonts w:hint="default" w:ascii="Times New Roman" w:hAnsi="Times New Roman" w:eastAsia="宋体" w:cs="Times New Roman"/>
                      <w:color w:val="000000" w:themeColor="text1"/>
                      <w:sz w:val="21"/>
                      <w:szCs w:val="21"/>
                      <w14:textFill>
                        <w14:solidFill>
                          <w14:schemeClr w14:val="tx1"/>
                        </w14:solidFill>
                      </w14:textFill>
                    </w:rPr>
                    <w:t>暂存一般工业固废暂存场所</w:t>
                  </w:r>
                </w:p>
              </w:tc>
              <w:tc>
                <w:tcPr>
                  <w:tcW w:w="1293"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0"/>
                      <w:sz w:val="21"/>
                      <w:szCs w:val="21"/>
                      <w:lang w:val="en-US" w:eastAsia="zh-CN" w:bidi="ar-SA"/>
                    </w:rPr>
                  </w:pPr>
                  <w:r>
                    <w:rPr>
                      <w:rFonts w:hint="default" w:ascii="Times New Roman" w:hAnsi="Times New Roman" w:eastAsia="宋体" w:cs="Times New Roman"/>
                      <w:sz w:val="21"/>
                      <w:szCs w:val="21"/>
                    </w:rPr>
                    <w:t>定期外售综合利用</w:t>
                  </w:r>
                </w:p>
              </w:tc>
              <w:tc>
                <w:tcPr>
                  <w:tcW w:w="418"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2"/>
                      <w:sz w:val="21"/>
                      <w:szCs w:val="21"/>
                      <w:lang w:val="en-US" w:eastAsia="zh-CN" w:bidi="ar-SA"/>
                    </w:rPr>
                  </w:pPr>
                  <w:r>
                    <w:rPr>
                      <w:rFonts w:hint="eastAsia" w:cs="Times New Roman"/>
                      <w:b w:val="0"/>
                      <w:bCs/>
                      <w:color w:val="000000"/>
                      <w:kern w:val="2"/>
                      <w:sz w:val="21"/>
                      <w:szCs w:val="21"/>
                      <w:lang w:val="en-US" w:eastAsia="zh-CN" w:bidi="ar-SA"/>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70" w:type="pct"/>
                  <w:tcBorders>
                    <w:tl2br w:val="nil"/>
                    <w:tr2bl w:val="nil"/>
                  </w:tcBorders>
                  <w:shd w:val="clear" w:color="auto" w:fill="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000000"/>
                      <w:sz w:val="21"/>
                      <w:szCs w:val="21"/>
                      <w:lang w:val="en-US" w:eastAsia="zh-CN"/>
                    </w:rPr>
                  </w:pPr>
                  <w:r>
                    <w:rPr>
                      <w:rFonts w:hint="default" w:ascii="Times New Roman" w:hAnsi="Times New Roman" w:cs="Times New Roman"/>
                      <w:sz w:val="21"/>
                      <w:szCs w:val="21"/>
                      <w:lang w:eastAsia="zh-CN"/>
                    </w:rPr>
                    <w:t>废机油</w:t>
                  </w:r>
                </w:p>
              </w:tc>
              <w:tc>
                <w:tcPr>
                  <w:tcW w:w="286" w:type="pct"/>
                  <w:tcBorders>
                    <w:tl2br w:val="nil"/>
                    <w:tr2bl w:val="nil"/>
                  </w:tcBorders>
                  <w:shd w:val="clear" w:color="auto" w:fill="auto"/>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24"/>
                      <w:sz w:val="21"/>
                      <w:szCs w:val="21"/>
                      <w:highlight w:val="none"/>
                      <w:lang w:val="en-US" w:eastAsia="zh-CN"/>
                    </w:rPr>
                  </w:pPr>
                  <w:r>
                    <w:rPr>
                      <w:rFonts w:hint="eastAsia" w:cs="Times New Roman"/>
                      <w:b w:val="0"/>
                      <w:bCs/>
                      <w:color w:val="000000"/>
                      <w:kern w:val="24"/>
                      <w:sz w:val="21"/>
                      <w:szCs w:val="21"/>
                      <w:highlight w:val="none"/>
                      <w:lang w:val="en-US" w:eastAsia="zh-CN"/>
                    </w:rPr>
                    <w:t>设备维护</w:t>
                  </w:r>
                </w:p>
              </w:tc>
              <w:tc>
                <w:tcPr>
                  <w:tcW w:w="126" w:type="pct"/>
                  <w:tcBorders>
                    <w:tl2br w:val="nil"/>
                    <w:tr2bl w:val="nil"/>
                  </w:tcBorders>
                  <w:shd w:val="clear" w:color="auto" w:fill="auto"/>
                  <w:noWrap w:val="0"/>
                  <w:vAlign w:val="center"/>
                </w:tcPr>
                <w:p>
                  <w:pPr>
                    <w:keepNext w:val="0"/>
                    <w:keepLines w:val="0"/>
                    <w:pageBreakBefore w:val="0"/>
                    <w:widowControl w:val="0"/>
                    <w:wordWrap/>
                    <w:autoSpaceDE/>
                    <w:autoSpaceDN/>
                    <w:bidi w:val="0"/>
                    <w:adjustRightInd w:val="0"/>
                    <w:snapToGrid w:val="0"/>
                    <w:jc w:val="center"/>
                    <w:rPr>
                      <w:rFonts w:hint="eastAsia" w:ascii="Times New Roman" w:hAnsi="Times New Roman" w:eastAsia="宋体" w:cs="Times New Roman"/>
                      <w:b w:val="0"/>
                      <w:bCs/>
                      <w:color w:val="000000"/>
                      <w:sz w:val="21"/>
                      <w:szCs w:val="21"/>
                      <w:lang w:val="en-US" w:eastAsia="zh-CN"/>
                    </w:rPr>
                  </w:pPr>
                  <w:r>
                    <w:rPr>
                      <w:rFonts w:hint="eastAsia" w:cs="Times New Roman"/>
                      <w:b w:val="0"/>
                      <w:bCs/>
                      <w:color w:val="000000"/>
                      <w:sz w:val="21"/>
                      <w:szCs w:val="21"/>
                      <w:lang w:val="en-US" w:eastAsia="zh-CN"/>
                    </w:rPr>
                    <w:t>液态</w:t>
                  </w:r>
                </w:p>
              </w:tc>
              <w:tc>
                <w:tcPr>
                  <w:tcW w:w="567" w:type="pct"/>
                  <w:tcBorders>
                    <w:tl2br w:val="nil"/>
                    <w:tr2bl w:val="nil"/>
                  </w:tcBorders>
                  <w:shd w:val="clear" w:color="auto" w:fill="FFFFFF"/>
                  <w:noWrap w:val="0"/>
                  <w:vAlign w:val="center"/>
                </w:tcPr>
                <w:p>
                  <w:pPr>
                    <w:keepNext w:val="0"/>
                    <w:keepLines w:val="0"/>
                    <w:pageBreakBefore w:val="0"/>
                    <w:widowControl w:val="0"/>
                    <w:suppressLineNumbers w:val="0"/>
                    <w:wordWrap/>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HW08</w:t>
                  </w:r>
                </w:p>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sz w:val="21"/>
                      <w:szCs w:val="21"/>
                      <w:lang w:val="en-US" w:eastAsia="zh-CN"/>
                    </w:rPr>
                    <w:t>900-214-08</w:t>
                  </w:r>
                </w:p>
              </w:tc>
              <w:tc>
                <w:tcPr>
                  <w:tcW w:w="592"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机油</w:t>
                  </w:r>
                </w:p>
              </w:tc>
              <w:tc>
                <w:tcPr>
                  <w:tcW w:w="318"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rPr>
                  </w:pPr>
                  <w:r>
                    <w:rPr>
                      <w:rFonts w:hint="default" w:ascii="Times New Roman" w:hAnsi="Times New Roman" w:eastAsia="宋体" w:cs="Times New Roman"/>
                      <w:sz w:val="21"/>
                      <w:szCs w:val="21"/>
                    </w:rPr>
                    <w:t>T,I</w:t>
                  </w:r>
                </w:p>
              </w:tc>
              <w:tc>
                <w:tcPr>
                  <w:tcW w:w="297"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0.05</w:t>
                  </w:r>
                </w:p>
              </w:tc>
              <w:tc>
                <w:tcPr>
                  <w:tcW w:w="527"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color w:val="000000" w:themeColor="text1"/>
                      <w:sz w:val="21"/>
                      <w:szCs w:val="21"/>
                      <w14:textFill>
                        <w14:solidFill>
                          <w14:schemeClr w14:val="tx1"/>
                        </w14:solidFill>
                      </w14:textFill>
                    </w:rPr>
                    <w:t>暂存</w:t>
                  </w:r>
                  <w:r>
                    <w:rPr>
                      <w:rFonts w:hint="eastAsia" w:cs="Times New Roman"/>
                      <w:color w:val="000000" w:themeColor="text1"/>
                      <w:sz w:val="21"/>
                      <w:szCs w:val="21"/>
                      <w:lang w:val="en-US" w:eastAsia="zh-CN"/>
                      <w14:textFill>
                        <w14:solidFill>
                          <w14:schemeClr w14:val="tx1"/>
                        </w14:solidFill>
                      </w14:textFill>
                    </w:rPr>
                    <w:t>危废贮存库</w:t>
                  </w:r>
                </w:p>
              </w:tc>
              <w:tc>
                <w:tcPr>
                  <w:tcW w:w="1293"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0"/>
                      <w:sz w:val="21"/>
                      <w:szCs w:val="21"/>
                    </w:rPr>
                  </w:pPr>
                  <w:r>
                    <w:rPr>
                      <w:rFonts w:hint="eastAsia" w:ascii="Times New Roman" w:hAnsi="Times New Roman" w:eastAsia="宋体"/>
                      <w:color w:val="000000" w:themeColor="text1"/>
                      <w:kern w:val="0"/>
                      <w:sz w:val="21"/>
                      <w:szCs w:val="21"/>
                      <w14:textFill>
                        <w14:solidFill>
                          <w14:schemeClr w14:val="tx1"/>
                        </w14:solidFill>
                      </w14:textFill>
                    </w:rPr>
                    <w:t>委托有资质单位外运处置</w:t>
                  </w:r>
                </w:p>
              </w:tc>
              <w:tc>
                <w:tcPr>
                  <w:tcW w:w="418"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0.05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70" w:type="pct"/>
                  <w:tcBorders>
                    <w:tl2br w:val="nil"/>
                    <w:tr2bl w:val="nil"/>
                  </w:tcBorders>
                  <w:shd w:val="clear" w:color="auto" w:fill="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000000"/>
                      <w:sz w:val="21"/>
                      <w:szCs w:val="21"/>
                      <w:lang w:val="en-US" w:eastAsia="zh-CN"/>
                    </w:rPr>
                  </w:pPr>
                  <w:r>
                    <w:rPr>
                      <w:rFonts w:hint="default" w:ascii="Times New Roman" w:hAnsi="Times New Roman" w:cs="Times New Roman"/>
                      <w:sz w:val="21"/>
                      <w:szCs w:val="21"/>
                      <w:lang w:eastAsia="zh-CN"/>
                    </w:rPr>
                    <w:t>废油桶</w:t>
                  </w:r>
                </w:p>
              </w:tc>
              <w:tc>
                <w:tcPr>
                  <w:tcW w:w="286" w:type="pct"/>
                  <w:tcBorders>
                    <w:tl2br w:val="nil"/>
                    <w:tr2bl w:val="nil"/>
                  </w:tcBorders>
                  <w:shd w:val="clear" w:color="auto" w:fill="auto"/>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24"/>
                      <w:sz w:val="21"/>
                      <w:szCs w:val="21"/>
                      <w:highlight w:val="none"/>
                      <w:lang w:val="en-US" w:eastAsia="zh-CN"/>
                    </w:rPr>
                  </w:pPr>
                  <w:r>
                    <w:rPr>
                      <w:rFonts w:hint="eastAsia" w:cs="Times New Roman"/>
                      <w:b w:val="0"/>
                      <w:bCs/>
                      <w:color w:val="000000"/>
                      <w:kern w:val="24"/>
                      <w:sz w:val="21"/>
                      <w:szCs w:val="21"/>
                      <w:highlight w:val="none"/>
                      <w:lang w:val="en-US" w:eastAsia="zh-CN"/>
                    </w:rPr>
                    <w:t>设备维护</w:t>
                  </w:r>
                </w:p>
              </w:tc>
              <w:tc>
                <w:tcPr>
                  <w:tcW w:w="126" w:type="pct"/>
                  <w:tcBorders>
                    <w:tl2br w:val="nil"/>
                    <w:tr2bl w:val="nil"/>
                  </w:tcBorders>
                  <w:shd w:val="clear" w:color="auto" w:fill="auto"/>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rPr>
                  </w:pPr>
                  <w:r>
                    <w:rPr>
                      <w:rFonts w:hint="default" w:cs="Times New Roman"/>
                      <w:b w:val="0"/>
                      <w:bCs/>
                      <w:color w:val="000000"/>
                      <w:kern w:val="2"/>
                      <w:sz w:val="21"/>
                      <w:szCs w:val="21"/>
                      <w:lang w:eastAsia="zh-CN" w:bidi="ar-SA"/>
                    </w:rPr>
                    <w:t>固态</w:t>
                  </w:r>
                </w:p>
              </w:tc>
              <w:tc>
                <w:tcPr>
                  <w:tcW w:w="567" w:type="pct"/>
                  <w:tcBorders>
                    <w:tl2br w:val="nil"/>
                    <w:tr2bl w:val="nil"/>
                  </w:tcBorders>
                  <w:shd w:val="clear" w:color="auto" w:fill="FFFFFF"/>
                  <w:noWrap w:val="0"/>
                  <w:vAlign w:val="center"/>
                </w:tcPr>
                <w:p>
                  <w:pPr>
                    <w:keepNext w:val="0"/>
                    <w:keepLines w:val="0"/>
                    <w:pageBreakBefore w:val="0"/>
                    <w:widowControl w:val="0"/>
                    <w:suppressLineNumbers w:val="0"/>
                    <w:wordWrap/>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HW</w:t>
                  </w:r>
                  <w:r>
                    <w:rPr>
                      <w:rFonts w:hint="eastAsia" w:cs="Times New Roman"/>
                      <w:sz w:val="21"/>
                      <w:szCs w:val="21"/>
                      <w:lang w:val="en-US" w:eastAsia="zh-CN"/>
                    </w:rPr>
                    <w:t>08</w:t>
                  </w:r>
                </w:p>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sz w:val="21"/>
                      <w:szCs w:val="21"/>
                      <w:lang w:val="en-US" w:eastAsia="zh-CN"/>
                    </w:rPr>
                    <w:t>900-</w:t>
                  </w:r>
                  <w:r>
                    <w:rPr>
                      <w:rFonts w:hint="eastAsia" w:cs="Times New Roman"/>
                      <w:sz w:val="21"/>
                      <w:szCs w:val="21"/>
                      <w:lang w:val="en-US" w:eastAsia="zh-CN"/>
                    </w:rPr>
                    <w:t>249</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08</w:t>
                  </w:r>
                </w:p>
              </w:tc>
              <w:tc>
                <w:tcPr>
                  <w:tcW w:w="592"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default" w:ascii="Times New Roman" w:hAnsi="Times New Roman" w:eastAsia="宋体" w:cs="Times New Roman"/>
                      <w:sz w:val="21"/>
                      <w:szCs w:val="21"/>
                    </w:rPr>
                    <w:t>沾染危险废物的废弃包容器</w:t>
                  </w:r>
                </w:p>
              </w:tc>
              <w:tc>
                <w:tcPr>
                  <w:tcW w:w="318"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sz w:val="21"/>
                      <w:szCs w:val="21"/>
                    </w:rPr>
                    <w:t>T</w:t>
                  </w:r>
                  <w:r>
                    <w:rPr>
                      <w:rFonts w:hint="eastAsia" w:cs="Times New Roman"/>
                      <w:sz w:val="21"/>
                      <w:szCs w:val="21"/>
                      <w:lang w:val="en-US" w:eastAsia="zh-CN"/>
                    </w:rPr>
                    <w:t>,I</w:t>
                  </w:r>
                </w:p>
              </w:tc>
              <w:tc>
                <w:tcPr>
                  <w:tcW w:w="297"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0.01</w:t>
                  </w:r>
                </w:p>
              </w:tc>
              <w:tc>
                <w:tcPr>
                  <w:tcW w:w="527"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eastAsia="zh-CN"/>
                    </w:rPr>
                  </w:pPr>
                  <w:r>
                    <w:rPr>
                      <w:rFonts w:hint="default" w:ascii="Times New Roman" w:hAnsi="Times New Roman" w:eastAsia="宋体" w:cs="Times New Roman"/>
                      <w:color w:val="000000" w:themeColor="text1"/>
                      <w:sz w:val="21"/>
                      <w:szCs w:val="21"/>
                      <w14:textFill>
                        <w14:solidFill>
                          <w14:schemeClr w14:val="tx1"/>
                        </w14:solidFill>
                      </w14:textFill>
                    </w:rPr>
                    <w:t>暂存</w:t>
                  </w:r>
                  <w:r>
                    <w:rPr>
                      <w:rFonts w:hint="eastAsia" w:cs="Times New Roman"/>
                      <w:color w:val="000000" w:themeColor="text1"/>
                      <w:sz w:val="21"/>
                      <w:szCs w:val="21"/>
                      <w:lang w:val="en-US" w:eastAsia="zh-CN"/>
                      <w14:textFill>
                        <w14:solidFill>
                          <w14:schemeClr w14:val="tx1"/>
                        </w14:solidFill>
                      </w14:textFill>
                    </w:rPr>
                    <w:t>危废贮存库</w:t>
                  </w:r>
                </w:p>
              </w:tc>
              <w:tc>
                <w:tcPr>
                  <w:tcW w:w="1293"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0"/>
                      <w:sz w:val="21"/>
                      <w:szCs w:val="21"/>
                    </w:rPr>
                  </w:pPr>
                  <w:r>
                    <w:rPr>
                      <w:rFonts w:hint="eastAsia" w:ascii="Times New Roman" w:hAnsi="Times New Roman" w:eastAsia="宋体"/>
                      <w:color w:val="000000" w:themeColor="text1"/>
                      <w:kern w:val="0"/>
                      <w:sz w:val="21"/>
                      <w:szCs w:val="21"/>
                      <w14:textFill>
                        <w14:solidFill>
                          <w14:schemeClr w14:val="tx1"/>
                        </w14:solidFill>
                      </w14:textFill>
                    </w:rPr>
                    <w:t>委托有资质单位外运处置</w:t>
                  </w:r>
                </w:p>
              </w:tc>
              <w:tc>
                <w:tcPr>
                  <w:tcW w:w="418"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0.01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70" w:type="pct"/>
                  <w:tcBorders>
                    <w:tl2br w:val="nil"/>
                    <w:tr2bl w:val="nil"/>
                  </w:tcBorders>
                  <w:shd w:val="clear" w:color="auto" w:fill="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000000"/>
                      <w:sz w:val="21"/>
                      <w:szCs w:val="21"/>
                      <w:lang w:val="en-US" w:eastAsia="zh-CN"/>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废弃的含油抹布、劳保用品</w:t>
                  </w:r>
                </w:p>
              </w:tc>
              <w:tc>
                <w:tcPr>
                  <w:tcW w:w="286" w:type="pct"/>
                  <w:tcBorders>
                    <w:tl2br w:val="nil"/>
                    <w:tr2bl w:val="nil"/>
                  </w:tcBorders>
                  <w:shd w:val="clear" w:color="auto" w:fill="auto"/>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24"/>
                      <w:sz w:val="21"/>
                      <w:szCs w:val="21"/>
                      <w:highlight w:val="none"/>
                      <w:lang w:val="en-US" w:eastAsia="zh-CN"/>
                    </w:rPr>
                  </w:pPr>
                  <w:r>
                    <w:rPr>
                      <w:rFonts w:hint="eastAsia" w:cs="Times New Roman"/>
                      <w:b w:val="0"/>
                      <w:bCs/>
                      <w:color w:val="000000"/>
                      <w:kern w:val="24"/>
                      <w:sz w:val="21"/>
                      <w:szCs w:val="21"/>
                      <w:highlight w:val="none"/>
                      <w:lang w:val="en-US" w:eastAsia="zh-CN"/>
                    </w:rPr>
                    <w:t>设备维护</w:t>
                  </w:r>
                </w:p>
              </w:tc>
              <w:tc>
                <w:tcPr>
                  <w:tcW w:w="126" w:type="pct"/>
                  <w:tcBorders>
                    <w:tl2br w:val="nil"/>
                    <w:tr2bl w:val="nil"/>
                  </w:tcBorders>
                  <w:shd w:val="clear" w:color="auto" w:fill="auto"/>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rPr>
                  </w:pPr>
                  <w:r>
                    <w:rPr>
                      <w:rFonts w:hint="default" w:cs="Times New Roman"/>
                      <w:b w:val="0"/>
                      <w:bCs/>
                      <w:color w:val="000000"/>
                      <w:kern w:val="2"/>
                      <w:sz w:val="21"/>
                      <w:szCs w:val="21"/>
                      <w:lang w:eastAsia="zh-CN" w:bidi="ar-SA"/>
                    </w:rPr>
                    <w:t>固态</w:t>
                  </w:r>
                </w:p>
              </w:tc>
              <w:tc>
                <w:tcPr>
                  <w:tcW w:w="567" w:type="pct"/>
                  <w:tcBorders>
                    <w:tl2br w:val="nil"/>
                    <w:tr2bl w:val="nil"/>
                  </w:tcBorders>
                  <w:shd w:val="clear" w:color="auto" w:fill="FFFFFF"/>
                  <w:noWrap w:val="0"/>
                  <w:vAlign w:val="center"/>
                </w:tcPr>
                <w:p>
                  <w:pPr>
                    <w:keepNext w:val="0"/>
                    <w:keepLines w:val="0"/>
                    <w:pageBreakBefore w:val="0"/>
                    <w:widowControl w:val="0"/>
                    <w:suppressLineNumbers w:val="0"/>
                    <w:wordWrap/>
                    <w:topLinePunct/>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HW49</w:t>
                  </w:r>
                </w:p>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sz w:val="21"/>
                      <w:szCs w:val="21"/>
                      <w:lang w:val="en-US" w:eastAsia="zh-CN"/>
                    </w:rPr>
                    <w:t>900-041-49</w:t>
                  </w:r>
                </w:p>
              </w:tc>
              <w:tc>
                <w:tcPr>
                  <w:tcW w:w="592"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color w:val="000000"/>
                      <w:sz w:val="21"/>
                      <w:szCs w:val="21"/>
                      <w:lang w:val="en-US" w:eastAsia="zh-CN"/>
                    </w:rPr>
                    <w:t>矿物油</w:t>
                  </w:r>
                  <w:r>
                    <w:rPr>
                      <w:rFonts w:hint="default" w:ascii="Times New Roman" w:hAnsi="Times New Roman" w:eastAsia="宋体" w:cs="Times New Roman"/>
                      <w:color w:val="000000"/>
                      <w:sz w:val="21"/>
                      <w:szCs w:val="21"/>
                    </w:rPr>
                    <w:t>等</w:t>
                  </w:r>
                </w:p>
              </w:tc>
              <w:tc>
                <w:tcPr>
                  <w:tcW w:w="318"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rPr>
                  </w:pPr>
                  <w:r>
                    <w:rPr>
                      <w:rFonts w:hint="default" w:ascii="Times New Roman" w:hAnsi="Times New Roman" w:eastAsia="宋体" w:cs="Times New Roman"/>
                      <w:sz w:val="21"/>
                      <w:szCs w:val="21"/>
                    </w:rPr>
                    <w:t>T/In</w:t>
                  </w:r>
                </w:p>
              </w:tc>
              <w:tc>
                <w:tcPr>
                  <w:tcW w:w="297"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0.01</w:t>
                  </w:r>
                </w:p>
              </w:tc>
              <w:tc>
                <w:tcPr>
                  <w:tcW w:w="527"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袋装</w:t>
                  </w:r>
                </w:p>
              </w:tc>
              <w:tc>
                <w:tcPr>
                  <w:tcW w:w="1293"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0"/>
                      <w:sz w:val="21"/>
                      <w:szCs w:val="21"/>
                    </w:rPr>
                  </w:pPr>
                  <w:r>
                    <w:rPr>
                      <w:rFonts w:hint="eastAsia"/>
                      <w:sz w:val="21"/>
                      <w:szCs w:val="21"/>
                      <w:lang w:val="en-US" w:eastAsia="zh-CN"/>
                    </w:rPr>
                    <w:t>混入生活垃圾，全程不按危废处置，</w:t>
                  </w:r>
                  <w:r>
                    <w:rPr>
                      <w:rFonts w:hint="eastAsia"/>
                      <w:sz w:val="21"/>
                      <w:szCs w:val="21"/>
                    </w:rPr>
                    <w:t>收集后由环卫部门统一清运处理</w:t>
                  </w:r>
                </w:p>
              </w:tc>
              <w:tc>
                <w:tcPr>
                  <w:tcW w:w="418"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0.01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70" w:type="pct"/>
                  <w:tcBorders>
                    <w:tl2br w:val="nil"/>
                    <w:tr2bl w:val="nil"/>
                  </w:tcBorders>
                  <w:shd w:val="clear" w:color="auto" w:fill="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000000"/>
                      <w:sz w:val="21"/>
                      <w:szCs w:val="21"/>
                      <w:lang w:val="en-US" w:eastAsia="zh-CN"/>
                    </w:rPr>
                  </w:pPr>
                  <w:r>
                    <w:rPr>
                      <w:rFonts w:hint="eastAsia" w:ascii="Times New Roman" w:hAnsi="Times New Roman" w:cs="Times New Roman"/>
                      <w:sz w:val="21"/>
                      <w:szCs w:val="21"/>
                      <w:lang w:val="en-US" w:eastAsia="zh-CN"/>
                    </w:rPr>
                    <w:t>废活性炭</w:t>
                  </w:r>
                </w:p>
              </w:tc>
              <w:tc>
                <w:tcPr>
                  <w:tcW w:w="286" w:type="pct"/>
                  <w:tcBorders>
                    <w:tl2br w:val="nil"/>
                    <w:tr2bl w:val="nil"/>
                  </w:tcBorders>
                  <w:shd w:val="clear" w:color="auto" w:fill="auto"/>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24"/>
                      <w:sz w:val="21"/>
                      <w:szCs w:val="21"/>
                      <w:highlight w:val="none"/>
                      <w:lang w:val="en-US" w:eastAsia="zh-CN"/>
                    </w:rPr>
                  </w:pPr>
                  <w:r>
                    <w:rPr>
                      <w:rFonts w:hint="eastAsia" w:cs="Times New Roman"/>
                      <w:b w:val="0"/>
                      <w:bCs/>
                      <w:color w:val="000000"/>
                      <w:kern w:val="24"/>
                      <w:sz w:val="21"/>
                      <w:szCs w:val="21"/>
                      <w:highlight w:val="none"/>
                      <w:lang w:val="en-US" w:eastAsia="zh-CN"/>
                    </w:rPr>
                    <w:t>废气处理</w:t>
                  </w:r>
                </w:p>
              </w:tc>
              <w:tc>
                <w:tcPr>
                  <w:tcW w:w="126" w:type="pct"/>
                  <w:tcBorders>
                    <w:tl2br w:val="nil"/>
                    <w:tr2bl w:val="nil"/>
                  </w:tcBorders>
                  <w:shd w:val="clear" w:color="auto" w:fill="auto"/>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rPr>
                  </w:pPr>
                  <w:r>
                    <w:rPr>
                      <w:rFonts w:hint="default" w:cs="Times New Roman"/>
                      <w:b w:val="0"/>
                      <w:bCs/>
                      <w:color w:val="000000"/>
                      <w:kern w:val="2"/>
                      <w:sz w:val="21"/>
                      <w:szCs w:val="21"/>
                      <w:lang w:eastAsia="zh-CN" w:bidi="ar-SA"/>
                    </w:rPr>
                    <w:t>固态</w:t>
                  </w:r>
                </w:p>
              </w:tc>
              <w:tc>
                <w:tcPr>
                  <w:tcW w:w="567" w:type="pct"/>
                  <w:tcBorders>
                    <w:tl2br w:val="nil"/>
                    <w:tr2bl w:val="nil"/>
                  </w:tcBorders>
                  <w:shd w:val="clear" w:color="auto" w:fill="FFFFFF"/>
                  <w:noWrap w:val="0"/>
                  <w:vAlign w:val="center"/>
                </w:tcPr>
                <w:p>
                  <w:pPr>
                    <w:keepNext w:val="0"/>
                    <w:keepLines w:val="0"/>
                    <w:pageBreakBefore w:val="0"/>
                    <w:widowControl w:val="0"/>
                    <w:suppressLineNumbers w:val="0"/>
                    <w:wordWrap/>
                    <w:autoSpaceDE/>
                    <w:autoSpaceDN/>
                    <w:bidi w:val="0"/>
                    <w:adjustRightInd w:val="0"/>
                    <w:snapToGrid w:val="0"/>
                    <w:spacing w:before="0" w:beforeAutospacing="0" w:after="0" w:afterAutospacing="0"/>
                    <w:ind w:left="0" w:right="0"/>
                    <w:jc w:val="center"/>
                    <w:textAlignment w:val="baseline"/>
                    <w:rPr>
                      <w:rFonts w:hint="default"/>
                      <w:sz w:val="21"/>
                      <w:szCs w:val="21"/>
                    </w:rPr>
                  </w:pPr>
                  <w:r>
                    <w:rPr>
                      <w:rFonts w:hint="default"/>
                      <w:sz w:val="21"/>
                      <w:szCs w:val="21"/>
                    </w:rPr>
                    <w:t>HW49</w:t>
                  </w:r>
                </w:p>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themeColor="text1"/>
                      <w:sz w:val="21"/>
                      <w:szCs w:val="21"/>
                      <w:highlight w:val="none"/>
                      <w:shd w:val="clear" w:color="auto" w:fill="auto"/>
                      <w14:textFill>
                        <w14:solidFill>
                          <w14:schemeClr w14:val="tx1"/>
                        </w14:solidFill>
                      </w14:textFill>
                    </w:rPr>
                  </w:pPr>
                  <w:r>
                    <w:rPr>
                      <w:rFonts w:hint="eastAsia"/>
                      <w:sz w:val="21"/>
                      <w:szCs w:val="21"/>
                      <w:lang w:val="en-US" w:eastAsia="zh-CN"/>
                    </w:rPr>
                    <w:t>900-039-49</w:t>
                  </w:r>
                </w:p>
              </w:tc>
              <w:tc>
                <w:tcPr>
                  <w:tcW w:w="592"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VOCs</w:t>
                  </w:r>
                </w:p>
              </w:tc>
              <w:tc>
                <w:tcPr>
                  <w:tcW w:w="318"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eastAsia" w:ascii="Times New Roman" w:hAnsi="Times New Roman" w:eastAsia="宋体" w:cs="Times New Roman"/>
                      <w:b w:val="0"/>
                      <w:bCs/>
                      <w:color w:val="000000"/>
                      <w:sz w:val="21"/>
                      <w:szCs w:val="21"/>
                      <w:lang w:val="en-US" w:eastAsia="zh-CN"/>
                    </w:rPr>
                  </w:pPr>
                  <w:r>
                    <w:rPr>
                      <w:rFonts w:hint="eastAsia" w:cs="Times New Roman"/>
                      <w:b w:val="0"/>
                      <w:bCs/>
                      <w:color w:val="000000"/>
                      <w:sz w:val="21"/>
                      <w:szCs w:val="21"/>
                      <w:lang w:val="en-US" w:eastAsia="zh-CN"/>
                    </w:rPr>
                    <w:t>T</w:t>
                  </w:r>
                </w:p>
              </w:tc>
              <w:tc>
                <w:tcPr>
                  <w:tcW w:w="297"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30.375</w:t>
                  </w:r>
                </w:p>
              </w:tc>
              <w:tc>
                <w:tcPr>
                  <w:tcW w:w="527"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eastAsia="zh-CN"/>
                    </w:rPr>
                  </w:pPr>
                  <w:r>
                    <w:rPr>
                      <w:rFonts w:hint="default" w:ascii="Times New Roman" w:hAnsi="Times New Roman" w:eastAsia="宋体" w:cs="Times New Roman"/>
                      <w:color w:val="000000" w:themeColor="text1"/>
                      <w:sz w:val="21"/>
                      <w:szCs w:val="21"/>
                      <w14:textFill>
                        <w14:solidFill>
                          <w14:schemeClr w14:val="tx1"/>
                        </w14:solidFill>
                      </w14:textFill>
                    </w:rPr>
                    <w:t>暂存</w:t>
                  </w:r>
                  <w:r>
                    <w:rPr>
                      <w:rFonts w:hint="eastAsia" w:cs="Times New Roman"/>
                      <w:color w:val="000000" w:themeColor="text1"/>
                      <w:sz w:val="21"/>
                      <w:szCs w:val="21"/>
                      <w:lang w:val="en-US" w:eastAsia="zh-CN"/>
                      <w14:textFill>
                        <w14:solidFill>
                          <w14:schemeClr w14:val="tx1"/>
                        </w14:solidFill>
                      </w14:textFill>
                    </w:rPr>
                    <w:t>危废贮存库</w:t>
                  </w:r>
                </w:p>
              </w:tc>
              <w:tc>
                <w:tcPr>
                  <w:tcW w:w="1293"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0"/>
                      <w:sz w:val="21"/>
                      <w:szCs w:val="21"/>
                    </w:rPr>
                  </w:pPr>
                  <w:r>
                    <w:rPr>
                      <w:rFonts w:hint="eastAsia" w:ascii="Times New Roman" w:hAnsi="Times New Roman" w:eastAsia="宋体"/>
                      <w:color w:val="000000" w:themeColor="text1"/>
                      <w:kern w:val="0"/>
                      <w:sz w:val="21"/>
                      <w:szCs w:val="21"/>
                      <w14:textFill>
                        <w14:solidFill>
                          <w14:schemeClr w14:val="tx1"/>
                        </w14:solidFill>
                      </w14:textFill>
                    </w:rPr>
                    <w:t>委托有资质单位外运处置</w:t>
                  </w:r>
                </w:p>
              </w:tc>
              <w:tc>
                <w:tcPr>
                  <w:tcW w:w="418"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30.375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70" w:type="pct"/>
                  <w:tcBorders>
                    <w:tl2br w:val="nil"/>
                    <w:tr2bl w:val="nil"/>
                  </w:tcBorders>
                  <w:shd w:val="clear" w:color="auto" w:fill="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000000"/>
                      <w:sz w:val="21"/>
                      <w:szCs w:val="21"/>
                      <w:lang w:val="en-US" w:eastAsia="zh-CN"/>
                    </w:rPr>
                  </w:pPr>
                  <w:r>
                    <w:rPr>
                      <w:rFonts w:hint="eastAsia" w:ascii="Times New Roman" w:hAnsi="Times New Roman" w:cs="Times New Roman"/>
                      <w:b w:val="0"/>
                      <w:bCs/>
                      <w:color w:val="000000"/>
                      <w:sz w:val="21"/>
                      <w:szCs w:val="21"/>
                      <w:lang w:val="en-US" w:eastAsia="zh-CN"/>
                    </w:rPr>
                    <w:t>生活垃圾</w:t>
                  </w:r>
                </w:p>
              </w:tc>
              <w:tc>
                <w:tcPr>
                  <w:tcW w:w="286" w:type="pct"/>
                  <w:tcBorders>
                    <w:tl2br w:val="nil"/>
                    <w:tr2bl w:val="nil"/>
                  </w:tcBorders>
                  <w:shd w:val="clear" w:color="auto" w:fill="auto"/>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kern w:val="24"/>
                      <w:sz w:val="21"/>
                      <w:szCs w:val="21"/>
                      <w:highlight w:val="none"/>
                      <w:lang w:val="en-US" w:eastAsia="zh-CN"/>
                    </w:rPr>
                  </w:pPr>
                  <w:r>
                    <w:rPr>
                      <w:rFonts w:hint="eastAsia" w:cs="Times New Roman"/>
                      <w:b w:val="0"/>
                      <w:bCs/>
                      <w:color w:val="000000"/>
                      <w:kern w:val="24"/>
                      <w:sz w:val="21"/>
                      <w:szCs w:val="21"/>
                      <w:highlight w:val="none"/>
                      <w:lang w:val="en-US" w:eastAsia="zh-CN"/>
                    </w:rPr>
                    <w:t>员工办公生活</w:t>
                  </w:r>
                </w:p>
              </w:tc>
              <w:tc>
                <w:tcPr>
                  <w:tcW w:w="126" w:type="pct"/>
                  <w:tcBorders>
                    <w:tl2br w:val="nil"/>
                    <w:tr2bl w:val="nil"/>
                  </w:tcBorders>
                  <w:shd w:val="clear" w:color="auto" w:fill="auto"/>
                  <w:noWrap w:val="0"/>
                  <w:vAlign w:val="center"/>
                </w:tcPr>
                <w:p>
                  <w:pPr>
                    <w:keepNext w:val="0"/>
                    <w:keepLines w:val="0"/>
                    <w:pageBreakBefore w:val="0"/>
                    <w:widowControl w:val="0"/>
                    <w:wordWrap/>
                    <w:autoSpaceDE/>
                    <w:autoSpaceDN/>
                    <w:bidi w:val="0"/>
                    <w:adjustRightInd w:val="0"/>
                    <w:snapToGrid w:val="0"/>
                    <w:jc w:val="center"/>
                    <w:rPr>
                      <w:rFonts w:hint="eastAsia" w:ascii="Times New Roman" w:hAnsi="Times New Roman" w:eastAsia="宋体" w:cs="Times New Roman"/>
                      <w:b w:val="0"/>
                      <w:bCs/>
                      <w:color w:val="000000"/>
                      <w:sz w:val="21"/>
                      <w:szCs w:val="21"/>
                      <w:lang w:val="en-US" w:eastAsia="zh-CN"/>
                    </w:rPr>
                  </w:pPr>
                  <w:r>
                    <w:rPr>
                      <w:rFonts w:hint="eastAsia" w:cs="Times New Roman"/>
                      <w:b w:val="0"/>
                      <w:bCs/>
                      <w:color w:val="000000"/>
                      <w:sz w:val="21"/>
                      <w:szCs w:val="21"/>
                      <w:lang w:val="en-US" w:eastAsia="zh-CN"/>
                    </w:rPr>
                    <w:t>固态</w:t>
                  </w:r>
                </w:p>
              </w:tc>
              <w:tc>
                <w:tcPr>
                  <w:tcW w:w="567" w:type="pct"/>
                  <w:tcBorders>
                    <w:tl2br w:val="nil"/>
                    <w:tr2bl w:val="nil"/>
                  </w:tcBorders>
                  <w:shd w:val="clear" w:color="auto" w:fill="FFFFFF"/>
                  <w:noWrap w:val="0"/>
                  <w:vAlign w:val="center"/>
                </w:tcPr>
                <w:p>
                  <w:pPr>
                    <w:keepNext w:val="0"/>
                    <w:keepLines w:val="0"/>
                    <w:pageBreakBefore w:val="0"/>
                    <w:widowControl w:val="0"/>
                    <w:wordWrap/>
                    <w:autoSpaceDE/>
                    <w:autoSpaceDN/>
                    <w:bidi w:val="0"/>
                    <w:adjustRightInd w:val="0"/>
                    <w:snapToGrid w:val="0"/>
                    <w:jc w:val="center"/>
                    <w:rPr>
                      <w:rFonts w:hint="eastAsia"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eastAsia" w:cs="Times New Roman"/>
                      <w:b w:val="0"/>
                      <w:bCs/>
                      <w:color w:val="000000" w:themeColor="text1"/>
                      <w:sz w:val="21"/>
                      <w:szCs w:val="21"/>
                      <w:highlight w:val="none"/>
                      <w:shd w:val="clear" w:color="auto" w:fill="auto"/>
                      <w:lang w:val="en-US" w:eastAsia="zh-CN"/>
                      <w14:textFill>
                        <w14:solidFill>
                          <w14:schemeClr w14:val="tx1"/>
                        </w14:solidFill>
                      </w14:textFill>
                    </w:rPr>
                    <w:t>/</w:t>
                  </w:r>
                </w:p>
              </w:tc>
              <w:tc>
                <w:tcPr>
                  <w:tcW w:w="592"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w:t>
                  </w:r>
                </w:p>
              </w:tc>
              <w:tc>
                <w:tcPr>
                  <w:tcW w:w="318"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eastAsia" w:ascii="Times New Roman" w:hAnsi="Times New Roman" w:eastAsia="宋体" w:cs="Times New Roman"/>
                      <w:b w:val="0"/>
                      <w:bCs/>
                      <w:color w:val="000000"/>
                      <w:sz w:val="21"/>
                      <w:szCs w:val="21"/>
                      <w:lang w:val="en-US" w:eastAsia="zh-CN"/>
                    </w:rPr>
                  </w:pPr>
                  <w:r>
                    <w:rPr>
                      <w:rFonts w:hint="eastAsia" w:cs="Times New Roman"/>
                      <w:b w:val="0"/>
                      <w:bCs/>
                      <w:color w:val="000000"/>
                      <w:sz w:val="21"/>
                      <w:szCs w:val="21"/>
                      <w:lang w:val="en-US" w:eastAsia="zh-CN"/>
                    </w:rPr>
                    <w:t>/</w:t>
                  </w:r>
                </w:p>
              </w:tc>
              <w:tc>
                <w:tcPr>
                  <w:tcW w:w="297"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1.32</w:t>
                  </w:r>
                </w:p>
              </w:tc>
              <w:tc>
                <w:tcPr>
                  <w:tcW w:w="527"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垃圾桶</w:t>
                  </w:r>
                </w:p>
              </w:tc>
              <w:tc>
                <w:tcPr>
                  <w:tcW w:w="1293"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eastAsia="宋体" w:cs="Times New Roman"/>
                      <w:b w:val="0"/>
                      <w:bCs/>
                      <w:color w:val="000000"/>
                      <w:kern w:val="0"/>
                      <w:sz w:val="21"/>
                      <w:szCs w:val="21"/>
                      <w:lang w:val="en-US" w:eastAsia="zh-CN"/>
                    </w:rPr>
                  </w:pPr>
                  <w:r>
                    <w:rPr>
                      <w:rFonts w:hint="eastAsia" w:cs="Times New Roman"/>
                      <w:b w:val="0"/>
                      <w:bCs/>
                      <w:color w:val="000000"/>
                      <w:kern w:val="0"/>
                      <w:sz w:val="21"/>
                      <w:szCs w:val="21"/>
                      <w:lang w:val="en-US" w:eastAsia="zh-CN"/>
                    </w:rPr>
                    <w:t>收集后交由环卫部门统一处理</w:t>
                  </w:r>
                </w:p>
              </w:tc>
              <w:tc>
                <w:tcPr>
                  <w:tcW w:w="418" w:type="pct"/>
                  <w:tcBorders>
                    <w:tl2br w:val="nil"/>
                    <w:tr2bl w:val="nil"/>
                  </w:tcBorders>
                  <w:noWrap w:val="0"/>
                  <w:vAlign w:val="center"/>
                </w:tcPr>
                <w:p>
                  <w:pPr>
                    <w:keepNext w:val="0"/>
                    <w:keepLines w:val="0"/>
                    <w:pageBreakBefore w:val="0"/>
                    <w:widowControl w:val="0"/>
                    <w:wordWrap/>
                    <w:autoSpaceDE/>
                    <w:autoSpaceDN/>
                    <w:bidi w:val="0"/>
                    <w:adjustRightInd w:val="0"/>
                    <w:snapToGrid w:val="0"/>
                    <w:jc w:val="center"/>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1.32</w:t>
                  </w:r>
                </w:p>
              </w:tc>
            </w:tr>
            <w:bookmarkEnd w:id="30"/>
          </w:tbl>
          <w:p>
            <w:pPr>
              <w:pStyle w:val="9"/>
              <w:keepNext w:val="0"/>
              <w:keepLines w:val="0"/>
              <w:suppressLineNumbers w:val="0"/>
              <w:spacing w:before="0" w:beforeAutospacing="0" w:after="0" w:afterAutospacing="0"/>
              <w:ind w:right="0"/>
              <w:jc w:val="both"/>
              <w:rPr>
                <w:rFonts w:hint="default" w:ascii="Times New Roman" w:hAnsi="Times New Roman" w:cs="Times New Roman"/>
                <w:b/>
                <w:bCs/>
                <w:color w:val="auto"/>
                <w:sz w:val="24"/>
                <w:szCs w:val="24"/>
                <w:lang w:val="en-US" w:eastAsia="zh-CN"/>
              </w:rPr>
            </w:pPr>
          </w:p>
          <w:p>
            <w:pPr>
              <w:pStyle w:val="9"/>
              <w:keepNext w:val="0"/>
              <w:keepLines w:val="0"/>
              <w:suppressLineNumbers w:val="0"/>
              <w:spacing w:before="0" w:beforeAutospacing="0" w:after="0" w:afterAutospacing="0"/>
              <w:ind w:right="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表4.1</w:t>
            </w:r>
            <w:r>
              <w:rPr>
                <w:rFonts w:hint="eastAsia" w:cs="Times New Roman"/>
                <w:b/>
                <w:bCs/>
                <w:color w:val="auto"/>
                <w:sz w:val="24"/>
                <w:szCs w:val="24"/>
                <w:lang w:val="en-US" w:eastAsia="zh-CN"/>
              </w:rPr>
              <w:t>3</w:t>
            </w:r>
            <w:r>
              <w:rPr>
                <w:rFonts w:hint="default" w:ascii="Times New Roman" w:hAnsi="Times New Roman" w:cs="Times New Roman"/>
                <w:b/>
                <w:bCs/>
                <w:color w:val="auto"/>
                <w:sz w:val="24"/>
                <w:szCs w:val="24"/>
                <w:lang w:val="en-US" w:eastAsia="zh-CN"/>
              </w:rPr>
              <w:t>危险废物贮存场所（设施）基本情况表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1353"/>
              <w:gridCol w:w="1373"/>
              <w:gridCol w:w="1056"/>
              <w:gridCol w:w="1437"/>
              <w:gridCol w:w="1235"/>
              <w:gridCol w:w="1237"/>
              <w:gridCol w:w="1238"/>
              <w:gridCol w:w="1057"/>
              <w:gridCol w:w="1062"/>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 w:type="pct"/>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544" w:type="pct"/>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贮存场所（设施）名称</w:t>
                  </w:r>
                </w:p>
              </w:tc>
              <w:tc>
                <w:tcPr>
                  <w:tcW w:w="552" w:type="pct"/>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危险废物名称</w:t>
                  </w:r>
                </w:p>
              </w:tc>
              <w:tc>
                <w:tcPr>
                  <w:tcW w:w="426" w:type="pct"/>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危险废物类别</w:t>
                  </w:r>
                </w:p>
              </w:tc>
              <w:tc>
                <w:tcPr>
                  <w:tcW w:w="513" w:type="pct"/>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危险废物代码</w:t>
                  </w:r>
                </w:p>
              </w:tc>
              <w:tc>
                <w:tcPr>
                  <w:tcW w:w="497" w:type="pct"/>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危险特性</w:t>
                  </w:r>
                </w:p>
              </w:tc>
              <w:tc>
                <w:tcPr>
                  <w:tcW w:w="498" w:type="pct"/>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产生量（t/a）</w:t>
                  </w:r>
                </w:p>
              </w:tc>
              <w:tc>
                <w:tcPr>
                  <w:tcW w:w="498" w:type="pct"/>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产生工序</w:t>
                  </w:r>
                </w:p>
              </w:tc>
              <w:tc>
                <w:tcPr>
                  <w:tcW w:w="426" w:type="pct"/>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贮存方式</w:t>
                  </w:r>
                </w:p>
              </w:tc>
              <w:tc>
                <w:tcPr>
                  <w:tcW w:w="428" w:type="pct"/>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贮存能力</w:t>
                  </w:r>
                </w:p>
              </w:tc>
              <w:tc>
                <w:tcPr>
                  <w:tcW w:w="428" w:type="pct"/>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 w:type="pct"/>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bookmarkStart w:id="32" w:name="OLE_LINK121" w:colFirst="2" w:colLast="9"/>
                  <w:r>
                    <w:rPr>
                      <w:rFonts w:hint="default" w:ascii="Times New Roman" w:hAnsi="Times New Roman" w:cs="Times New Roman"/>
                      <w:color w:val="auto"/>
                      <w:sz w:val="21"/>
                      <w:szCs w:val="21"/>
                      <w:vertAlign w:val="baseline"/>
                      <w:lang w:val="en-US" w:eastAsia="zh-CN"/>
                    </w:rPr>
                    <w:t>1</w:t>
                  </w:r>
                </w:p>
              </w:tc>
              <w:tc>
                <w:tcPr>
                  <w:tcW w:w="544" w:type="pct"/>
                  <w:vMerge w:val="restart"/>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危废贮存库</w:t>
                  </w:r>
                </w:p>
              </w:tc>
              <w:tc>
                <w:tcPr>
                  <w:tcW w:w="552" w:type="pct"/>
                  <w:tcBorders>
                    <w:tl2br w:val="nil"/>
                    <w:tr2bl w:val="nil"/>
                  </w:tcBorders>
                  <w:shd w:val="clear" w:color="auto" w:fill="auto"/>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sz w:val="21"/>
                      <w:szCs w:val="21"/>
                      <w:lang w:eastAsia="zh-CN"/>
                    </w:rPr>
                    <w:t>废机油</w:t>
                  </w:r>
                </w:p>
              </w:tc>
              <w:tc>
                <w:tcPr>
                  <w:tcW w:w="426" w:type="pct"/>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HW08</w:t>
                  </w:r>
                </w:p>
              </w:tc>
              <w:tc>
                <w:tcPr>
                  <w:tcW w:w="513" w:type="pct"/>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900-214-08</w:t>
                  </w:r>
                </w:p>
              </w:tc>
              <w:tc>
                <w:tcPr>
                  <w:tcW w:w="497" w:type="pct"/>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I</w:t>
                  </w:r>
                </w:p>
              </w:tc>
              <w:tc>
                <w:tcPr>
                  <w:tcW w:w="498" w:type="pct"/>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bidi="ar-SA"/>
                    </w:rPr>
                    <w:t>0.05</w:t>
                  </w:r>
                </w:p>
              </w:tc>
              <w:tc>
                <w:tcPr>
                  <w:tcW w:w="498" w:type="pct"/>
                  <w:vMerge w:val="restart"/>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bidi="ar-SA"/>
                    </w:rPr>
                    <w:t>生产过程</w:t>
                  </w:r>
                </w:p>
              </w:tc>
              <w:tc>
                <w:tcPr>
                  <w:tcW w:w="426" w:type="pct"/>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sz w:val="21"/>
                      <w:szCs w:val="21"/>
                      <w:highlight w:val="none"/>
                    </w:rPr>
                    <w:t>密闭桶装</w:t>
                  </w:r>
                </w:p>
              </w:tc>
              <w:tc>
                <w:tcPr>
                  <w:tcW w:w="428"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val="0"/>
                    <w:snapToGrid w:val="0"/>
                    <w:ind w:firstLine="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b w:val="0"/>
                      <w:bCs/>
                      <w:color w:val="000000"/>
                      <w:sz w:val="21"/>
                      <w:szCs w:val="21"/>
                      <w:lang w:val="en-US" w:eastAsia="zh-CN"/>
                    </w:rPr>
                    <w:t>0.05</w:t>
                  </w:r>
                  <w:r>
                    <w:rPr>
                      <w:rFonts w:hint="default" w:ascii="Times New Roman" w:hAnsi="Times New Roman" w:cs="Times New Roman"/>
                      <w:b w:val="0"/>
                      <w:bCs/>
                      <w:color w:val="auto"/>
                      <w:kern w:val="24"/>
                      <w:sz w:val="21"/>
                      <w:szCs w:val="21"/>
                      <w:highlight w:val="none"/>
                      <w:lang w:val="en-US" w:eastAsia="zh-CN"/>
                    </w:rPr>
                    <w:t>t</w:t>
                  </w:r>
                </w:p>
              </w:tc>
              <w:tc>
                <w:tcPr>
                  <w:tcW w:w="42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1</w:t>
                  </w:r>
                  <w:r>
                    <w:rPr>
                      <w:rFonts w:hint="default" w:ascii="Times New Roman" w:hAnsi="Times New Roman" w:eastAsia="宋体" w:cs="Times New Roman"/>
                      <w:color w:val="auto"/>
                      <w:sz w:val="21"/>
                      <w:szCs w:val="21"/>
                      <w:vertAlign w:val="baseline"/>
                      <w:lang w:val="en-US" w:eastAsia="zh-CN"/>
                    </w:rPr>
                    <w:t>年</w:t>
                  </w:r>
                </w:p>
              </w:tc>
            </w:tr>
            <w:bookmarkEnd w:id="3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 w:type="pct"/>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bookmarkStart w:id="33" w:name="OLE_LINK122" w:colFirst="2" w:colLast="9"/>
                  <w:r>
                    <w:rPr>
                      <w:rFonts w:hint="default" w:ascii="Times New Roman" w:hAnsi="Times New Roman" w:cs="Times New Roman"/>
                      <w:color w:val="auto"/>
                      <w:sz w:val="21"/>
                      <w:szCs w:val="21"/>
                      <w:vertAlign w:val="baseline"/>
                      <w:lang w:val="en-US" w:eastAsia="zh-CN"/>
                    </w:rPr>
                    <w:t>2</w:t>
                  </w:r>
                </w:p>
              </w:tc>
              <w:tc>
                <w:tcPr>
                  <w:tcW w:w="544" w:type="pct"/>
                  <w:vMerge w:val="continue"/>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jc w:val="center"/>
                    <w:textAlignment w:val="auto"/>
                    <w:rPr>
                      <w:rFonts w:hint="default" w:ascii="Times New Roman" w:hAnsi="Times New Roman" w:eastAsia="宋体" w:cs="Times New Roman"/>
                      <w:color w:val="auto"/>
                      <w:sz w:val="21"/>
                      <w:szCs w:val="21"/>
                      <w:vertAlign w:val="baseline"/>
                      <w:lang w:val="en-US" w:eastAsia="zh-CN"/>
                    </w:rPr>
                  </w:pPr>
                </w:p>
              </w:tc>
              <w:tc>
                <w:tcPr>
                  <w:tcW w:w="552" w:type="pct"/>
                  <w:tcBorders>
                    <w:tl2br w:val="nil"/>
                    <w:tr2bl w:val="nil"/>
                  </w:tcBorders>
                  <w:shd w:val="clear" w:color="auto" w:fill="auto"/>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sz w:val="21"/>
                      <w:szCs w:val="21"/>
                      <w:lang w:eastAsia="zh-CN"/>
                    </w:rPr>
                    <w:t>废油桶</w:t>
                  </w:r>
                </w:p>
              </w:tc>
              <w:tc>
                <w:tcPr>
                  <w:tcW w:w="426" w:type="pct"/>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HW08</w:t>
                  </w:r>
                </w:p>
              </w:tc>
              <w:tc>
                <w:tcPr>
                  <w:tcW w:w="513" w:type="pct"/>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900-249-08</w:t>
                  </w:r>
                </w:p>
              </w:tc>
              <w:tc>
                <w:tcPr>
                  <w:tcW w:w="497" w:type="pct"/>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w:t>
                  </w:r>
                  <w:r>
                    <w:rPr>
                      <w:rFonts w:hint="eastAsia" w:cs="Times New Roman"/>
                      <w:color w:val="auto"/>
                      <w:sz w:val="21"/>
                      <w:szCs w:val="21"/>
                      <w:vertAlign w:val="baseline"/>
                      <w:lang w:val="en-US" w:eastAsia="zh-CN"/>
                    </w:rPr>
                    <w:t>,I</w:t>
                  </w:r>
                </w:p>
              </w:tc>
              <w:tc>
                <w:tcPr>
                  <w:tcW w:w="498" w:type="pct"/>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bidi="ar-SA"/>
                    </w:rPr>
                    <w:t>0.01</w:t>
                  </w:r>
                </w:p>
              </w:tc>
              <w:tc>
                <w:tcPr>
                  <w:tcW w:w="498" w:type="pct"/>
                  <w:vMerge w:val="continue"/>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426" w:type="pct"/>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sz w:val="21"/>
                      <w:szCs w:val="21"/>
                    </w:rPr>
                    <w:t>托盘堆放</w:t>
                  </w:r>
                </w:p>
              </w:tc>
              <w:tc>
                <w:tcPr>
                  <w:tcW w:w="428"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val="0"/>
                    <w:snapToGrid w:val="0"/>
                    <w:ind w:firstLine="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b w:val="0"/>
                      <w:bCs/>
                      <w:color w:val="000000"/>
                      <w:sz w:val="21"/>
                      <w:szCs w:val="21"/>
                      <w:lang w:val="en-US" w:eastAsia="zh-CN"/>
                    </w:rPr>
                    <w:t>0.01</w:t>
                  </w:r>
                  <w:r>
                    <w:rPr>
                      <w:rFonts w:hint="default" w:ascii="Times New Roman" w:hAnsi="Times New Roman" w:cs="Times New Roman"/>
                      <w:b w:val="0"/>
                      <w:bCs/>
                      <w:color w:val="auto"/>
                      <w:kern w:val="24"/>
                      <w:sz w:val="21"/>
                      <w:szCs w:val="21"/>
                      <w:highlight w:val="none"/>
                      <w:lang w:val="en-US" w:eastAsia="zh-CN"/>
                    </w:rPr>
                    <w:t>t</w:t>
                  </w:r>
                </w:p>
              </w:tc>
              <w:tc>
                <w:tcPr>
                  <w:tcW w:w="42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w:t>
                  </w:r>
                  <w:r>
                    <w:rPr>
                      <w:rFonts w:hint="default" w:ascii="Times New Roman" w:hAnsi="Times New Roman" w:eastAsia="宋体" w:cs="Times New Roman"/>
                      <w:color w:val="auto"/>
                      <w:sz w:val="21"/>
                      <w:szCs w:val="21"/>
                      <w:vertAlign w:val="baseline"/>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7" w:type="pct"/>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544" w:type="pct"/>
                  <w:vMerge w:val="continue"/>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jc w:val="center"/>
                    <w:textAlignment w:val="auto"/>
                    <w:rPr>
                      <w:rFonts w:hint="default" w:ascii="Times New Roman" w:hAnsi="Times New Roman" w:eastAsia="宋体" w:cs="Times New Roman"/>
                      <w:color w:val="auto"/>
                      <w:sz w:val="21"/>
                      <w:szCs w:val="21"/>
                      <w:vertAlign w:val="baseline"/>
                      <w:lang w:val="en-US" w:eastAsia="zh-CN"/>
                    </w:rPr>
                  </w:pPr>
                </w:p>
              </w:tc>
              <w:tc>
                <w:tcPr>
                  <w:tcW w:w="552" w:type="pct"/>
                  <w:tcBorders>
                    <w:tl2br w:val="nil"/>
                    <w:tr2bl w:val="nil"/>
                  </w:tcBorders>
                  <w:shd w:val="clear" w:color="auto" w:fill="auto"/>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废活性炭</w:t>
                  </w:r>
                </w:p>
              </w:tc>
              <w:tc>
                <w:tcPr>
                  <w:tcW w:w="426" w:type="pct"/>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HW49</w:t>
                  </w:r>
                </w:p>
              </w:tc>
              <w:tc>
                <w:tcPr>
                  <w:tcW w:w="513" w:type="pct"/>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Helvetica" w:cs="Times New Roman"/>
                      <w:i w:val="0"/>
                      <w:iCs w:val="0"/>
                      <w:caps w:val="0"/>
                      <w:color w:val="333333"/>
                      <w:spacing w:val="0"/>
                      <w:sz w:val="21"/>
                      <w:szCs w:val="21"/>
                      <w:shd w:val="clear" w:fill="FFFFFF"/>
                    </w:rPr>
                    <w:t>900-039-49</w:t>
                  </w:r>
                </w:p>
              </w:tc>
              <w:tc>
                <w:tcPr>
                  <w:tcW w:w="497" w:type="pct"/>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i w:val="0"/>
                      <w:iCs w:val="0"/>
                      <w:caps w:val="0"/>
                      <w:color w:val="333333"/>
                      <w:spacing w:val="0"/>
                      <w:sz w:val="21"/>
                      <w:szCs w:val="21"/>
                      <w:shd w:val="clear" w:fill="FFFFFF"/>
                      <w:lang w:val="en-US" w:eastAsia="zh-CN"/>
                    </w:rPr>
                  </w:pPr>
                  <w:r>
                    <w:rPr>
                      <w:rFonts w:hint="default" w:ascii="Times New Roman" w:hAnsi="Times New Roman" w:eastAsia="宋体" w:cs="Times New Roman"/>
                      <w:i w:val="0"/>
                      <w:iCs w:val="0"/>
                      <w:caps w:val="0"/>
                      <w:color w:val="333333"/>
                      <w:spacing w:val="0"/>
                      <w:sz w:val="21"/>
                      <w:szCs w:val="21"/>
                      <w:shd w:val="clear" w:fill="FFFFFF"/>
                      <w:lang w:val="en-US" w:eastAsia="zh-CN"/>
                    </w:rPr>
                    <w:t>T</w:t>
                  </w:r>
                </w:p>
              </w:tc>
              <w:tc>
                <w:tcPr>
                  <w:tcW w:w="498" w:type="pct"/>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93.15</w:t>
                  </w:r>
                </w:p>
              </w:tc>
              <w:tc>
                <w:tcPr>
                  <w:tcW w:w="498" w:type="pct"/>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bidi="ar-SA"/>
                    </w:rPr>
                    <w:t>废气处理设施</w:t>
                  </w:r>
                </w:p>
              </w:tc>
              <w:tc>
                <w:tcPr>
                  <w:tcW w:w="426" w:type="pct"/>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sz w:val="21"/>
                      <w:szCs w:val="21"/>
                    </w:rPr>
                    <w:t>内塑外编织袋</w:t>
                  </w:r>
                </w:p>
              </w:tc>
              <w:tc>
                <w:tcPr>
                  <w:tcW w:w="428" w:type="pct"/>
                  <w:tcBorders>
                    <w:tl2br w:val="nil"/>
                    <w:tr2bl w:val="nil"/>
                  </w:tcBorders>
                  <w:shd w:val="clear" w:color="auto" w:fill="auto"/>
                  <w:vAlign w:val="center"/>
                </w:tcPr>
                <w:p>
                  <w:pPr>
                    <w:keepNext w:val="0"/>
                    <w:keepLines w:val="0"/>
                    <w:pageBreakBefore w:val="0"/>
                    <w:widowControl w:val="0"/>
                    <w:wordWrap/>
                    <w:topLinePunct w:val="0"/>
                    <w:autoSpaceDE/>
                    <w:autoSpaceDN/>
                    <w:bidi w:val="0"/>
                    <w:adjustRightInd w:val="0"/>
                    <w:snapToGrid w:val="0"/>
                    <w:ind w:firstLine="0"/>
                    <w:jc w:val="center"/>
                    <w:textAlignment w:val="auto"/>
                    <w:rPr>
                      <w:rFonts w:hint="default" w:ascii="Times New Roman" w:hAnsi="Times New Roman" w:cs="Times New Roman"/>
                      <w:b w:val="0"/>
                      <w:bCs/>
                      <w:color w:val="000000"/>
                      <w:sz w:val="21"/>
                      <w:szCs w:val="21"/>
                      <w:lang w:val="en-US" w:eastAsia="zh-CN"/>
                    </w:rPr>
                  </w:pPr>
                  <w:r>
                    <w:rPr>
                      <w:rFonts w:hint="eastAsia" w:cs="Times New Roman"/>
                      <w:b w:val="0"/>
                      <w:bCs/>
                      <w:color w:val="000000"/>
                      <w:sz w:val="21"/>
                      <w:szCs w:val="21"/>
                      <w:lang w:val="en-US" w:eastAsia="zh-CN"/>
                    </w:rPr>
                    <w:t>20</w:t>
                  </w:r>
                </w:p>
              </w:tc>
              <w:tc>
                <w:tcPr>
                  <w:tcW w:w="42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r>
                    <w:rPr>
                      <w:rFonts w:hint="default" w:ascii="Times New Roman" w:hAnsi="Times New Roman" w:cs="Times New Roman"/>
                      <w:color w:val="auto"/>
                      <w:sz w:val="21"/>
                      <w:szCs w:val="21"/>
                      <w:vertAlign w:val="baseline"/>
                      <w:lang w:val="en-US" w:eastAsia="zh-CN"/>
                    </w:rPr>
                    <w:t>个月</w:t>
                  </w:r>
                </w:p>
              </w:tc>
            </w:tr>
            <w:bookmarkEnd w:id="33"/>
          </w:tbl>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cs="Times New Roman"/>
                <w:color w:val="auto"/>
                <w:lang w:val="en-US" w:eastAsia="zh-CN"/>
              </w:rPr>
            </w:pPr>
          </w:p>
        </w:tc>
      </w:tr>
    </w:tbl>
    <w:p>
      <w:pPr>
        <w:pStyle w:val="32"/>
        <w:spacing w:before="0" w:beforeAutospacing="0" w:after="0" w:afterAutospacing="0" w:line="360" w:lineRule="auto"/>
        <w:jc w:val="center"/>
        <w:outlineLvl w:val="0"/>
        <w:rPr>
          <w:rFonts w:hint="default" w:ascii="Times New Roman" w:hAnsi="Times New Roman" w:cs="Times New Roman"/>
          <w:b/>
          <w:bCs/>
          <w:snapToGrid w:val="0"/>
          <w:color w:val="auto"/>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
        <w:gridCol w:w="8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0" w:hRule="atLeast"/>
        </w:trPr>
        <w:tc>
          <w:tcPr>
            <w:tcW w:w="489" w:type="dxa"/>
          </w:tcPr>
          <w:p>
            <w:pPr>
              <w:pStyle w:val="32"/>
              <w:keepNext w:val="0"/>
              <w:keepLines w:val="0"/>
              <w:suppressLineNumbers w:val="0"/>
              <w:spacing w:before="0" w:beforeAutospacing="0" w:after="0" w:afterAutospacing="0" w:line="360" w:lineRule="auto"/>
              <w:ind w:left="0" w:right="0"/>
              <w:jc w:val="center"/>
              <w:outlineLvl w:val="0"/>
              <w:rPr>
                <w:rFonts w:hint="default" w:ascii="Times New Roman" w:hAnsi="Times New Roman" w:cs="Times New Roman"/>
                <w:b/>
                <w:bCs/>
                <w:snapToGrid w:val="0"/>
                <w:color w:val="auto"/>
                <w:sz w:val="30"/>
                <w:szCs w:val="30"/>
                <w:vertAlign w:val="baseline"/>
              </w:rPr>
            </w:pPr>
          </w:p>
        </w:tc>
        <w:tc>
          <w:tcPr>
            <w:tcW w:w="8571" w:type="dxa"/>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1"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（2）源强分析</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本项目营运期固体废物主要为一般工业废物、危险废物和生活垃圾。</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①一般工业固废</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主要为</w:t>
            </w:r>
            <w:bookmarkStart w:id="34" w:name="OLE_LINK85"/>
            <w:r>
              <w:rPr>
                <w:rFonts w:hint="default" w:ascii="Times New Roman" w:hAnsi="Times New Roman" w:eastAsia="宋体" w:cs="Times New Roman"/>
                <w:b w:val="0"/>
                <w:bCs w:val="0"/>
                <w:color w:val="auto"/>
                <w:sz w:val="24"/>
                <w:lang w:val="en-US" w:eastAsia="zh-CN"/>
              </w:rPr>
              <w:t>废</w:t>
            </w:r>
            <w:bookmarkEnd w:id="34"/>
            <w:r>
              <w:rPr>
                <w:rFonts w:hint="default" w:ascii="Times New Roman" w:hAnsi="Times New Roman" w:eastAsia="宋体" w:cs="Times New Roman"/>
                <w:b w:val="0"/>
                <w:bCs w:val="0"/>
                <w:color w:val="auto"/>
                <w:sz w:val="24"/>
                <w:lang w:val="en-US" w:eastAsia="zh-CN"/>
              </w:rPr>
              <w:t>包装袋。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sz w:val="24"/>
                <w:szCs w:val="24"/>
              </w:rPr>
            </w:pPr>
            <w:r>
              <w:rPr>
                <w:rFonts w:hint="default" w:ascii="Times New Roman" w:hAnsi="Times New Roman" w:eastAsia="宋体" w:cs="Times New Roman"/>
                <w:b w:val="0"/>
                <w:bCs w:val="0"/>
                <w:color w:val="auto"/>
                <w:sz w:val="24"/>
                <w:szCs w:val="24"/>
                <w:lang w:val="en-US" w:eastAsia="zh-CN"/>
              </w:rPr>
              <w:t>废包装袋：</w:t>
            </w:r>
            <w:r>
              <w:rPr>
                <w:rFonts w:hint="default" w:ascii="Times New Roman" w:hAnsi="Times New Roman" w:eastAsia="宋体" w:cs="Times New Roman"/>
                <w:color w:val="000000"/>
                <w:kern w:val="0"/>
                <w:sz w:val="24"/>
                <w:szCs w:val="24"/>
                <w:lang w:val="en-US" w:eastAsia="zh-CN" w:bidi="ar"/>
              </w:rPr>
              <w:t>本项目包装多为编织袋、纸箱包装，生产过程中会产生一定量的废包装材料，产生量约为5t/a。废包装材料为一般工业固体废物，属于《一般固体废物分类与代码》（GB/T 39198-2020）中的废复合包装（类别代码为</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SW59</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900-099-S59</w:t>
            </w:r>
            <w:r>
              <w:rPr>
                <w:rFonts w:hint="default" w:ascii="Times New Roman" w:hAnsi="Times New Roman" w:eastAsia="宋体" w:cs="Times New Roman"/>
                <w:color w:val="000000"/>
                <w:kern w:val="0"/>
                <w:sz w:val="24"/>
                <w:szCs w:val="24"/>
                <w:lang w:val="en-US" w:eastAsia="zh-CN" w:bidi="ar"/>
              </w:rPr>
              <w:t>），集中收集后交由废品回收公司回收处理。</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②危险废物</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主要有包括</w:t>
            </w:r>
            <w:r>
              <w:commentReference w:id="5"/>
            </w:r>
            <w:r>
              <w:rPr>
                <w:rFonts w:hint="eastAsia" w:cs="Times New Roman"/>
                <w:b w:val="0"/>
                <w:bCs w:val="0"/>
                <w:color w:val="auto"/>
                <w:sz w:val="24"/>
                <w:lang w:val="en-US" w:eastAsia="zh-CN"/>
              </w:rPr>
              <w:t>废活性炭、废机油、废油桶等</w:t>
            </w:r>
            <w:r>
              <w:rPr>
                <w:rFonts w:hint="default" w:ascii="Times New Roman" w:hAnsi="Times New Roman" w:eastAsia="宋体" w:cs="Times New Roman"/>
                <w:b w:val="0"/>
                <w:bCs w:val="0"/>
                <w:color w:val="auto"/>
                <w:sz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olor w:val="000000" w:themeColor="text1"/>
                <w:sz w:val="24"/>
                <w:szCs w:val="24"/>
                <w:highlight w:val="none"/>
                <w14:textFill>
                  <w14:solidFill>
                    <w14:schemeClr w14:val="tx1"/>
                  </w14:solidFill>
                </w14:textFill>
              </w:rPr>
            </w:pPr>
            <w:commentRangeStart w:id="6"/>
            <w:r>
              <w:rPr>
                <w:rFonts w:hint="eastAsia" w:ascii="Times New Roman" w:hAnsi="Times New Roman" w:eastAsia="宋体"/>
                <w:color w:val="000000" w:themeColor="text1"/>
                <w:sz w:val="24"/>
                <w14:textFill>
                  <w14:solidFill>
                    <w14:schemeClr w14:val="tx1"/>
                  </w14:solidFill>
                </w14:textFill>
              </w:rPr>
              <w:t>废活性炭</w:t>
            </w:r>
            <w:commentRangeEnd w:id="6"/>
            <w:r>
              <w:commentReference w:id="6"/>
            </w:r>
            <w:r>
              <w:commentReference w:id="7"/>
            </w:r>
            <w:r>
              <w:rPr>
                <w:rFonts w:hint="eastAsia"/>
                <w:lang w:eastAsia="zh-CN"/>
              </w:rPr>
              <w:t>：</w:t>
            </w:r>
            <w:r>
              <w:rPr>
                <w:rFonts w:hint="eastAsia"/>
                <w:color w:val="000000" w:themeColor="text1"/>
                <w:sz w:val="24"/>
                <w:lang w:eastAsia="zh-CN"/>
                <w14:textFill>
                  <w14:solidFill>
                    <w14:schemeClr w14:val="tx1"/>
                  </w14:solidFill>
                </w14:textFill>
              </w:rPr>
              <w:t>产生于废气治理环节。根据前文计算，</w:t>
            </w:r>
            <w:r>
              <w:rPr>
                <w:rFonts w:hint="eastAsia" w:ascii="Times New Roman" w:hAnsi="Times New Roman" w:eastAsia="宋体"/>
                <w:color w:val="000000" w:themeColor="text1"/>
                <w:sz w:val="24"/>
                <w14:textFill>
                  <w14:solidFill>
                    <w14:schemeClr w14:val="tx1"/>
                  </w14:solidFill>
                </w14:textFill>
              </w:rPr>
              <w:t>吸收的废气量为</w:t>
            </w:r>
            <w:r>
              <w:rPr>
                <w:rFonts w:hint="default"/>
                <w:color w:val="000000" w:themeColor="text1"/>
                <w:sz w:val="24"/>
                <w:lang w:eastAsia="zh-CN"/>
                <w14:textFill>
                  <w14:solidFill>
                    <w14:schemeClr w14:val="tx1"/>
                  </w14:solidFill>
                </w14:textFill>
              </w:rPr>
              <w:t>1.4175</w:t>
            </w:r>
            <w:r>
              <w:rPr>
                <w:rFonts w:hint="eastAsia"/>
                <w:color w:val="000000" w:themeColor="text1"/>
                <w:sz w:val="24"/>
                <w:lang w:val="en-US" w:eastAsia="zh-CN"/>
                <w14:textFill>
                  <w14:solidFill>
                    <w14:schemeClr w14:val="tx1"/>
                  </w14:solidFill>
                </w14:textFill>
              </w:rPr>
              <w:t>t</w:t>
            </w:r>
            <w:r>
              <w:rPr>
                <w:rFonts w:hint="eastAsia" w:ascii="Times New Roman" w:hAnsi="Times New Roman" w:eastAsia="宋体"/>
                <w:color w:val="000000" w:themeColor="text1"/>
                <w:sz w:val="24"/>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活性炭吸附有机废气量按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0.25kg/kg</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活性炭计，则活性炭用量为</w:t>
            </w:r>
            <w:r>
              <w:rPr>
                <w:rFonts w:hint="default" w:cs="宋体"/>
                <w:color w:val="000000" w:themeColor="text1"/>
                <w:kern w:val="0"/>
                <w:sz w:val="24"/>
                <w:szCs w:val="24"/>
                <w:lang w:eastAsia="zh-CN" w:bidi="ar"/>
                <w14:textFill>
                  <w14:solidFill>
                    <w14:schemeClr w14:val="tx1"/>
                  </w14:solidFill>
                </w14:textFill>
              </w:rPr>
              <w:t>5.67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则废活性炭产生量为</w:t>
            </w:r>
            <w:r>
              <w:rPr>
                <w:rFonts w:hint="default" w:cs="Times New Roman"/>
                <w:color w:val="000000" w:themeColor="text1"/>
                <w:kern w:val="0"/>
                <w:sz w:val="24"/>
                <w:szCs w:val="24"/>
                <w:lang w:eastAsia="zh-CN" w:bidi="ar"/>
                <w14:textFill>
                  <w14:solidFill>
                    <w14:schemeClr w14:val="tx1"/>
                  </w14:solidFill>
                </w14:textFill>
              </w:rPr>
              <w:t>7.0875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。根据</w:t>
            </w:r>
            <w:r>
              <w:rPr>
                <w:rFonts w:hint="eastAsia" w:cs="宋体"/>
                <w:color w:val="000000" w:themeColor="text1"/>
                <w:kern w:val="0"/>
                <w:sz w:val="24"/>
                <w:szCs w:val="24"/>
                <w:lang w:val="en-US" w:eastAsia="zh-CN" w:bidi="ar"/>
                <w14:textFill>
                  <w14:solidFill>
                    <w14:schemeClr w14:val="tx1"/>
                  </w14:solidFill>
                </w14:textFill>
              </w:rPr>
              <w:t>《国家危险废物名录》（2025年版）</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，废活性炭属“</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HW49</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其他废物，代码</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900-039-49</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cs="宋体"/>
                <w:color w:val="000000" w:themeColor="text1"/>
                <w:kern w:val="0"/>
                <w:sz w:val="24"/>
                <w:szCs w:val="24"/>
                <w:lang w:val="en-US" w:eastAsia="zh-CN" w:bidi="ar"/>
                <w14:textFill>
                  <w14:solidFill>
                    <w14:schemeClr w14:val="tx1"/>
                  </w14:solidFill>
                </w14:textFill>
              </w:rPr>
              <w:t>烟气、</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VOCs</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治理过程产生的废活性炭”。集中收集后暂存危废贮存库，定期交有资质单位处置，</w:t>
            </w:r>
            <w:r>
              <w:rPr>
                <w:rFonts w:hint="default" w:ascii="Times New Roman" w:hAnsi="Times New Roman" w:eastAsia="宋体"/>
                <w:color w:val="000000" w:themeColor="text1"/>
                <w:sz w:val="24"/>
                <w:highlight w:val="none"/>
                <w14:textFill>
                  <w14:solidFill>
                    <w14:schemeClr w14:val="tx1"/>
                  </w14:solidFill>
                </w14:textFill>
              </w:rPr>
              <w:t>活性炭</w:t>
            </w:r>
            <w:r>
              <w:rPr>
                <w:rFonts w:hint="eastAsia" w:ascii="Times New Roman" w:hAnsi="Times New Roman" w:eastAsia="宋体"/>
                <w:color w:val="000000" w:themeColor="text1"/>
                <w:sz w:val="24"/>
                <w:highlight w:val="none"/>
                <w:lang w:eastAsia="zh-CN"/>
                <w14:textFill>
                  <w14:solidFill>
                    <w14:schemeClr w14:val="tx1"/>
                  </w14:solidFill>
                </w14:textFill>
              </w:rPr>
              <w:t>每</w:t>
            </w:r>
            <w:r>
              <w:rPr>
                <w:rFonts w:hint="default"/>
                <w:color w:val="000000" w:themeColor="text1"/>
                <w:sz w:val="24"/>
                <w:highlight w:val="none"/>
                <w:lang w:eastAsia="zh-CN"/>
                <w14:textFill>
                  <w14:solidFill>
                    <w14:schemeClr w14:val="tx1"/>
                  </w14:solidFill>
                </w14:textFill>
              </w:rPr>
              <w:t>两</w:t>
            </w:r>
            <w:r>
              <w:rPr>
                <w:rFonts w:hint="eastAsia" w:ascii="Times New Roman" w:hAnsi="Times New Roman" w:eastAsia="宋体"/>
                <w:color w:val="000000" w:themeColor="text1"/>
                <w:sz w:val="24"/>
                <w:highlight w:val="none"/>
                <w:lang w:val="en-US" w:eastAsia="zh-CN"/>
                <w14:textFill>
                  <w14:solidFill>
                    <w14:schemeClr w14:val="tx1"/>
                  </w14:solidFill>
                </w14:textFill>
              </w:rPr>
              <w:t>个月更换</w:t>
            </w:r>
            <w:r>
              <w:rPr>
                <w:rFonts w:hint="default"/>
                <w:color w:val="000000" w:themeColor="text1"/>
                <w:sz w:val="24"/>
                <w:highlight w:val="none"/>
                <w:lang w:eastAsia="zh-CN"/>
                <w14:textFill>
                  <w14:solidFill>
                    <w14:schemeClr w14:val="tx1"/>
                  </w14:solidFill>
                </w14:textFill>
              </w:rPr>
              <w:t>一</w:t>
            </w:r>
            <w:r>
              <w:rPr>
                <w:rFonts w:hint="eastAsia" w:ascii="Times New Roman" w:hAnsi="Times New Roman" w:eastAsia="宋体"/>
                <w:color w:val="000000" w:themeColor="text1"/>
                <w:sz w:val="24"/>
                <w:highlight w:val="none"/>
                <w:lang w:val="en-US" w:eastAsia="zh-CN"/>
                <w14:textFill>
                  <w14:solidFill>
                    <w14:schemeClr w14:val="tx1"/>
                  </w14:solidFill>
                </w14:textFill>
              </w:rPr>
              <w:t>次</w:t>
            </w:r>
            <w:r>
              <w:rPr>
                <w:rFonts w:hint="default" w:ascii="Times New Roman" w:hAnsi="Times New Roman" w:eastAsia="宋体"/>
                <w:color w:val="000000" w:themeColor="text1"/>
                <w:sz w:val="24"/>
                <w:highlight w:val="none"/>
                <w14:textFill>
                  <w14:solidFill>
                    <w14:schemeClr w14:val="tx1"/>
                  </w14:solidFill>
                </w14:textFill>
              </w:rPr>
              <w:t>，每次更换量为</w:t>
            </w:r>
            <w:r>
              <w:rPr>
                <w:rFonts w:hint="default"/>
                <w:color w:val="000000" w:themeColor="text1"/>
                <w:sz w:val="24"/>
                <w:highlight w:val="none"/>
                <w14:textFill>
                  <w14:solidFill>
                    <w14:schemeClr w14:val="tx1"/>
                  </w14:solidFill>
                </w14:textFill>
              </w:rPr>
              <w:t>1.2t</w:t>
            </w:r>
            <w:r>
              <w:rPr>
                <w:rFonts w:hint="default" w:ascii="Times New Roman" w:hAnsi="Times New Roman" w:eastAsia="宋体"/>
                <w:color w:val="000000" w:themeColor="text1"/>
                <w:sz w:val="24"/>
                <w:szCs w:val="24"/>
                <w:highlight w:val="none"/>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废机油：设备维护过程中会产废</w:t>
            </w:r>
            <w:r>
              <w:rPr>
                <w:rFonts w:hint="default" w:ascii="Times New Roman" w:hAnsi="Times New Roman" w:cs="Times New Roman"/>
                <w:b w:val="0"/>
                <w:bCs w:val="0"/>
                <w:color w:val="auto"/>
                <w:sz w:val="24"/>
                <w:lang w:val="en-US" w:eastAsia="zh-CN"/>
              </w:rPr>
              <w:t>机</w:t>
            </w:r>
            <w:r>
              <w:rPr>
                <w:rFonts w:hint="default" w:ascii="Times New Roman" w:hAnsi="Times New Roman" w:eastAsia="宋体" w:cs="Times New Roman"/>
                <w:b w:val="0"/>
                <w:bCs w:val="0"/>
                <w:color w:val="auto"/>
                <w:sz w:val="24"/>
                <w:lang w:val="en-US" w:eastAsia="zh-CN"/>
              </w:rPr>
              <w:t>油，产生量为0.</w:t>
            </w:r>
            <w:r>
              <w:rPr>
                <w:rFonts w:hint="eastAsia" w:cs="Times New Roman"/>
                <w:b w:val="0"/>
                <w:bCs w:val="0"/>
                <w:color w:val="auto"/>
                <w:sz w:val="24"/>
                <w:lang w:val="en-US" w:eastAsia="zh-CN"/>
              </w:rPr>
              <w:t>0</w:t>
            </w:r>
            <w:r>
              <w:rPr>
                <w:rFonts w:hint="default" w:ascii="Times New Roman" w:hAnsi="Times New Roman" w:cs="Times New Roman"/>
                <w:b w:val="0"/>
                <w:bCs w:val="0"/>
                <w:color w:val="auto"/>
                <w:sz w:val="24"/>
                <w:lang w:val="en-US" w:eastAsia="zh-CN"/>
              </w:rPr>
              <w:t>5</w:t>
            </w:r>
            <w:r>
              <w:rPr>
                <w:rFonts w:hint="default" w:ascii="Times New Roman" w:hAnsi="Times New Roman" w:eastAsia="宋体" w:cs="Times New Roman"/>
                <w:b w:val="0"/>
                <w:bCs w:val="0"/>
                <w:color w:val="auto"/>
                <w:sz w:val="24"/>
                <w:lang w:val="en-US" w:eastAsia="zh-CN"/>
              </w:rPr>
              <w:t>t/a，对照《国家危险废物名录》（202</w:t>
            </w:r>
            <w:r>
              <w:rPr>
                <w:rFonts w:hint="eastAsia" w:cs="Times New Roman"/>
                <w:b w:val="0"/>
                <w:bCs w:val="0"/>
                <w:color w:val="auto"/>
                <w:sz w:val="24"/>
                <w:lang w:val="en-US" w:eastAsia="zh-CN"/>
              </w:rPr>
              <w:t>5</w:t>
            </w:r>
            <w:r>
              <w:rPr>
                <w:rFonts w:hint="default" w:ascii="Times New Roman" w:hAnsi="Times New Roman" w:eastAsia="宋体" w:cs="Times New Roman"/>
                <w:b w:val="0"/>
                <w:bCs w:val="0"/>
                <w:color w:val="auto"/>
                <w:sz w:val="24"/>
                <w:lang w:val="en-US" w:eastAsia="zh-CN"/>
              </w:rPr>
              <w:t>年版），此类废物属于废物类别为HW08，废物代码为900-214-08项目将设备维护产生的废润滑油收集于密封桶并暂存于危险废物</w:t>
            </w:r>
            <w:r>
              <w:rPr>
                <w:rFonts w:hint="default" w:ascii="Times New Roman" w:hAnsi="Times New Roman" w:cs="Times New Roman"/>
                <w:b w:val="0"/>
                <w:bCs w:val="0"/>
                <w:color w:val="auto"/>
                <w:sz w:val="24"/>
                <w:lang w:val="en-US" w:eastAsia="zh-CN"/>
              </w:rPr>
              <w:t>贮存间</w:t>
            </w:r>
            <w:r>
              <w:rPr>
                <w:rFonts w:hint="default" w:ascii="Times New Roman" w:hAnsi="Times New Roman" w:eastAsia="宋体" w:cs="Times New Roman"/>
                <w:b w:val="0"/>
                <w:bCs w:val="0"/>
                <w:color w:val="auto"/>
                <w:sz w:val="24"/>
                <w:lang w:val="en-US" w:eastAsia="zh-CN"/>
              </w:rPr>
              <w:t>后定期委托有资质单位进行处置。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废油桶：产生机油原料存储工段，产生量约0.0</w:t>
            </w:r>
            <w:r>
              <w:rPr>
                <w:rFonts w:hint="eastAsia" w:cs="Times New Roman"/>
                <w:b w:val="0"/>
                <w:bCs w:val="0"/>
                <w:color w:val="auto"/>
                <w:sz w:val="24"/>
                <w:lang w:val="en-US" w:eastAsia="zh-CN"/>
              </w:rPr>
              <w:t>1</w:t>
            </w:r>
            <w:r>
              <w:rPr>
                <w:rFonts w:hint="default" w:ascii="Times New Roman" w:hAnsi="Times New Roman" w:eastAsia="宋体" w:cs="Times New Roman"/>
                <w:b w:val="0"/>
                <w:bCs w:val="0"/>
                <w:color w:val="auto"/>
                <w:sz w:val="24"/>
                <w:lang w:val="en-US" w:eastAsia="zh-CN"/>
              </w:rPr>
              <w:t>t/a。对照《国家危险废物名录》（202</w:t>
            </w:r>
            <w:r>
              <w:rPr>
                <w:rFonts w:hint="eastAsia" w:cs="Times New Roman"/>
                <w:b w:val="0"/>
                <w:bCs w:val="0"/>
                <w:color w:val="auto"/>
                <w:sz w:val="24"/>
                <w:lang w:val="en-US" w:eastAsia="zh-CN"/>
              </w:rPr>
              <w:t>5</w:t>
            </w:r>
            <w:r>
              <w:rPr>
                <w:rFonts w:hint="default" w:ascii="Times New Roman" w:hAnsi="Times New Roman" w:eastAsia="宋体" w:cs="Times New Roman"/>
                <w:b w:val="0"/>
                <w:bCs w:val="0"/>
                <w:color w:val="auto"/>
                <w:sz w:val="24"/>
                <w:lang w:val="en-US" w:eastAsia="zh-CN"/>
              </w:rPr>
              <w:t>年版），此类危废编号为HW08，名称为其他生产、销售、使用过程中产生的废矿物油及沾染矿物油的废弃包装物，废</w:t>
            </w:r>
            <w:r>
              <w:rPr>
                <w:rFonts w:hint="default" w:cs="Times New Roman"/>
                <w:b w:val="0"/>
                <w:bCs w:val="0"/>
                <w:color w:val="auto"/>
                <w:sz w:val="24"/>
                <w:lang w:eastAsia="zh-CN"/>
              </w:rPr>
              <w:t>.</w:t>
            </w:r>
            <w:r>
              <w:rPr>
                <w:rFonts w:hint="default" w:ascii="Times New Roman" w:hAnsi="Times New Roman" w:eastAsia="宋体" w:cs="Times New Roman"/>
                <w:b w:val="0"/>
                <w:bCs w:val="0"/>
                <w:color w:val="auto"/>
                <w:sz w:val="24"/>
                <w:lang w:val="en-US" w:eastAsia="zh-CN"/>
              </w:rPr>
              <w:t>物代码为900-249-08，危险特性为T，I。经规范暂存后，委托有相应处理资质的单位进行处理。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废弃的含油抹布、劳保用品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生产过程会产生</w:t>
            </w:r>
            <w:r>
              <w:rPr>
                <w:rFonts w:hint="eastAsia" w:ascii="Times New Roman" w:hAnsi="Times New Roman" w:eastAsia="宋体" w:cs="Times New Roman"/>
                <w:color w:val="000000" w:themeColor="text1"/>
                <w:sz w:val="24"/>
                <w:lang w:eastAsia="zh-CN"/>
                <w14:textFill>
                  <w14:solidFill>
                    <w14:schemeClr w14:val="tx1"/>
                  </w14:solidFill>
                </w14:textFill>
              </w:rPr>
              <w:t>废弃的含油抹布、劳保用品</w:t>
            </w:r>
            <w:r>
              <w:rPr>
                <w:rFonts w:hint="eastAsia" w:ascii="Times New Roman" w:hAnsi="Times New Roman" w:eastAsia="宋体" w:cs="Times New Roman"/>
                <w:color w:val="000000" w:themeColor="text1"/>
                <w:sz w:val="24"/>
                <w14:textFill>
                  <w14:solidFill>
                    <w14:schemeClr w14:val="tx1"/>
                  </w14:solidFill>
                </w14:textFill>
              </w:rPr>
              <w:t>，根据建设单位提供的资料，</w:t>
            </w:r>
            <w:r>
              <w:rPr>
                <w:rFonts w:hint="eastAsia" w:ascii="Times New Roman" w:hAnsi="Times New Roman" w:eastAsia="宋体" w:cs="Times New Roman"/>
                <w:color w:val="000000" w:themeColor="text1"/>
                <w:sz w:val="24"/>
                <w:lang w:eastAsia="zh-CN"/>
                <w14:textFill>
                  <w14:solidFill>
                    <w14:schemeClr w14:val="tx1"/>
                  </w14:solidFill>
                </w14:textFill>
              </w:rPr>
              <w:t>废弃的含油抹布、劳保用品</w:t>
            </w:r>
            <w:r>
              <w:rPr>
                <w:rFonts w:hint="eastAsia" w:ascii="Times New Roman" w:hAnsi="Times New Roman" w:eastAsia="宋体" w:cs="Times New Roman"/>
                <w:color w:val="000000" w:themeColor="text1"/>
                <w:sz w:val="24"/>
                <w14:textFill>
                  <w14:solidFill>
                    <w14:schemeClr w14:val="tx1"/>
                  </w14:solidFill>
                </w14:textFill>
              </w:rPr>
              <w:t>产生量约为0.</w:t>
            </w:r>
            <w:r>
              <w:rPr>
                <w:rFonts w:hint="eastAsia" w:cs="Times New Roman"/>
                <w:color w:val="000000" w:themeColor="text1"/>
                <w:sz w:val="24"/>
                <w:lang w:val="en-US" w:eastAsia="zh-CN"/>
                <w14:textFill>
                  <w14:solidFill>
                    <w14:schemeClr w14:val="tx1"/>
                  </w14:solidFill>
                </w14:textFill>
              </w:rPr>
              <w:t>01</w:t>
            </w:r>
            <w:r>
              <w:rPr>
                <w:rFonts w:hint="eastAsia" w:ascii="Times New Roman" w:hAnsi="Times New Roman" w:eastAsia="宋体" w:cs="Times New Roman"/>
                <w:color w:val="000000" w:themeColor="text1"/>
                <w:sz w:val="24"/>
                <w14:textFill>
                  <w14:solidFill>
                    <w14:schemeClr w14:val="tx1"/>
                  </w14:solidFill>
                </w14:textFill>
              </w:rPr>
              <w:t>t/a，对照《国家危险废物名录》（202</w:t>
            </w:r>
            <w:r>
              <w:rPr>
                <w:rFonts w:hint="eastAsia" w:cs="Times New Roman"/>
                <w:color w:val="000000" w:themeColor="text1"/>
                <w:sz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14:textFill>
                  <w14:solidFill>
                    <w14:schemeClr w14:val="tx1"/>
                  </w14:solidFill>
                </w14:textFill>
              </w:rPr>
              <w:t>年），</w:t>
            </w:r>
            <w:r>
              <w:rPr>
                <w:rFonts w:hint="eastAsia" w:ascii="Times New Roman" w:hAnsi="Times New Roman" w:eastAsia="宋体" w:cs="Times New Roman"/>
                <w:color w:val="000000" w:themeColor="text1"/>
                <w:sz w:val="24"/>
                <w:lang w:eastAsia="zh-CN"/>
                <w14:textFill>
                  <w14:solidFill>
                    <w14:schemeClr w14:val="tx1"/>
                  </w14:solidFill>
                </w14:textFill>
              </w:rPr>
              <w:t>废弃的含油抹布、劳保用品</w:t>
            </w:r>
            <w:r>
              <w:rPr>
                <w:rFonts w:hint="eastAsia" w:ascii="Times New Roman" w:hAnsi="Times New Roman" w:eastAsia="宋体" w:cs="Times New Roman"/>
                <w:color w:val="000000" w:themeColor="text1"/>
                <w:sz w:val="24"/>
                <w14:textFill>
                  <w14:solidFill>
                    <w14:schemeClr w14:val="tx1"/>
                  </w14:solidFill>
                </w14:textFill>
              </w:rPr>
              <w:t>属于HW49其他废物900-041-49，未分类收集情况下全部环节豁免，全过程不按照危险废物管理，运营期本项目未分类收集的废含油抹布混入</w:t>
            </w:r>
            <w:r>
              <w:rPr>
                <w:rFonts w:hint="eastAsia" w:cs="Times New Roman"/>
                <w:color w:val="000000" w:themeColor="text1"/>
                <w:sz w:val="24"/>
                <w:lang w:val="en-US" w:eastAsia="zh-CN"/>
                <w14:textFill>
                  <w14:solidFill>
                    <w14:schemeClr w14:val="tx1"/>
                  </w14:solidFill>
                </w14:textFill>
              </w:rPr>
              <w:t>生活垃圾统一</w:t>
            </w:r>
            <w:r>
              <w:rPr>
                <w:rFonts w:hint="eastAsia" w:ascii="Times New Roman" w:hAnsi="Times New Roman" w:eastAsia="宋体" w:cs="Times New Roman"/>
                <w:color w:val="000000" w:themeColor="text1"/>
                <w:sz w:val="24"/>
                <w14:textFill>
                  <w14:solidFill>
                    <w14:schemeClr w14:val="tx1"/>
                  </w14:solidFill>
                </w14:textFill>
              </w:rPr>
              <w:t>收集后，</w:t>
            </w:r>
            <w:r>
              <w:rPr>
                <w:rFonts w:hint="eastAsia" w:cs="Times New Roman"/>
                <w:color w:val="000000" w:themeColor="text1"/>
                <w:sz w:val="24"/>
                <w:lang w:val="en-US" w:eastAsia="zh-CN"/>
                <w14:textFill>
                  <w14:solidFill>
                    <w14:schemeClr w14:val="tx1"/>
                  </w14:solidFill>
                </w14:textFill>
              </w:rPr>
              <w:t>再</w:t>
            </w:r>
            <w:r>
              <w:rPr>
                <w:rFonts w:hint="eastAsia" w:ascii="Times New Roman" w:hAnsi="Times New Roman" w:eastAsia="宋体" w:cs="Times New Roman"/>
                <w:color w:val="000000" w:themeColor="text1"/>
                <w:sz w:val="24"/>
                <w14:textFill>
                  <w14:solidFill>
                    <w14:schemeClr w14:val="tx1"/>
                  </w14:solidFill>
                </w14:textFill>
              </w:rPr>
              <w:t>由环卫部门统一清运。</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③生活垃圾</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劳动定员为</w:t>
            </w:r>
            <w:r>
              <w:rPr>
                <w:rFonts w:hint="eastAsia" w:cs="Times New Roman"/>
                <w:b w:val="0"/>
                <w:bCs w:val="0"/>
                <w:color w:val="auto"/>
                <w:sz w:val="24"/>
                <w:lang w:val="en-US" w:eastAsia="zh-CN"/>
              </w:rPr>
              <w:t>8</w:t>
            </w:r>
            <w:r>
              <w:rPr>
                <w:rFonts w:hint="default" w:ascii="Times New Roman" w:hAnsi="Times New Roman" w:eastAsia="宋体" w:cs="Times New Roman"/>
                <w:b w:val="0"/>
                <w:bCs w:val="0"/>
                <w:color w:val="auto"/>
                <w:sz w:val="24"/>
                <w:lang w:val="en-US" w:eastAsia="zh-CN"/>
              </w:rPr>
              <w:t>人，生活垃圾按每人0.5kg/d计算，生活垃圾产生量</w:t>
            </w:r>
            <w:r>
              <w:rPr>
                <w:rFonts w:hint="eastAsia" w:cs="Times New Roman"/>
                <w:b w:val="0"/>
                <w:bCs w:val="0"/>
                <w:color w:val="auto"/>
                <w:sz w:val="24"/>
                <w:lang w:val="en-US" w:eastAsia="zh-CN"/>
              </w:rPr>
              <w:t>1.32</w:t>
            </w:r>
            <w:r>
              <w:rPr>
                <w:rFonts w:hint="default" w:ascii="Times New Roman" w:hAnsi="Times New Roman" w:eastAsia="宋体" w:cs="Times New Roman"/>
                <w:b w:val="0"/>
                <w:bCs w:val="0"/>
                <w:color w:val="auto"/>
                <w:sz w:val="24"/>
                <w:lang w:val="en-US" w:eastAsia="zh-CN"/>
              </w:rPr>
              <w:t>t/a，由环卫部门统一收集处理。</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（2）固体废物环境管理要求</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根据《中华人民共和国固体废物污染环境防治法》等规定，本项目产生的危险废物应按要求交由有资质单位外运处置，危险废物应配套危废贮存库规范贮存。</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项目各类原材料、一般工业固废和危废应分区存放，禁止将不相容的原料和危废在同一容器内混装；使用容器盛装液态、半固态危险废物时，容器内部应留有适当的空间，以适应因温度变化等可能引发的收缩和膨胀，防止其导致容器渗漏或永久变形；装载危险废物的容器和包装物上必须粘贴符合《危险废物识别标志设置技术规范》（HJ 1276</w:t>
            </w:r>
            <w:r>
              <w:rPr>
                <w:rFonts w:hint="default" w:ascii="Times New Roman" w:hAnsi="Times New Roman"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2022）标准要求的危险废物标签；危废贮存库要做好防风、防晒、防雨、防漏、防渗、防腐等措施，并制定好固体废物特别是危险废物贮存和转移运输途中的污染防范及事故应急措施。</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在严格采取以上措施情况下，本项目营运期产生的各类固体废物均可得到妥善处理和处置，不会对周围环境产生二次污染。一般工业固废暂存间应做好防流失、防尘、防火、防雨等措施，危险贮存库严格按照《危险废物贮存污染控制标准》（GB18597-2023）中相关要求建设，具体危险废物贮存、贮存库建设要求如下：</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①贮存设施采取必要的防风、防晒、防雨、防漏、防渗、防腐以及其他环境污染防治措施，不应露天堆放危险废物。</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②贮存设施应根据危险废物的类别、数量、形态、物理化学性质和污染防治等要求设置必要的贮存分区，避免不相容的危险废物接触、混合。</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③贮存设施或贮存分区内地面、墙面裙脚、堵截泄漏的围堰、接触危险废物的隔板和墙体等应采用坚固的材料建造，表面无裂缝。</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b w:val="0"/>
                <w:bCs w:val="0"/>
                <w:color w:val="auto"/>
                <w:sz w:val="24"/>
                <w:vertAlign w:val="superscript"/>
                <w:lang w:val="en-US" w:eastAsia="zh-CN"/>
              </w:rPr>
              <w:t>-7</w:t>
            </w:r>
            <w:r>
              <w:rPr>
                <w:rFonts w:hint="default" w:ascii="Times New Roman" w:hAnsi="Times New Roman" w:eastAsia="宋体" w:cs="Times New Roman"/>
                <w:b w:val="0"/>
                <w:bCs w:val="0"/>
                <w:color w:val="auto"/>
                <w:sz w:val="24"/>
                <w:lang w:val="en-US" w:eastAsia="zh-CN"/>
              </w:rPr>
              <w:t>cm/s），或至少2mm厚高密度聚乙烯膜等人工防渗材料（渗透系数不大于10</w:t>
            </w:r>
            <w:r>
              <w:rPr>
                <w:rFonts w:hint="default" w:ascii="Times New Roman" w:hAnsi="Times New Roman" w:eastAsia="宋体" w:cs="Times New Roman"/>
                <w:b w:val="0"/>
                <w:bCs w:val="0"/>
                <w:color w:val="auto"/>
                <w:sz w:val="24"/>
                <w:vertAlign w:val="superscript"/>
                <w:lang w:val="en-US" w:eastAsia="zh-CN"/>
              </w:rPr>
              <w:t>-10</w:t>
            </w:r>
            <w:r>
              <w:rPr>
                <w:rFonts w:hint="default" w:ascii="Times New Roman" w:hAnsi="Times New Roman" w:eastAsia="宋体" w:cs="Times New Roman"/>
                <w:b w:val="0"/>
                <w:bCs w:val="0"/>
                <w:color w:val="auto"/>
                <w:sz w:val="24"/>
                <w:lang w:val="en-US" w:eastAsia="zh-CN"/>
              </w:rPr>
              <w:t>cm/s），或其他防渗性能等效的材料。</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⑤贮存设施应采取技术和管理措施防止无关人员进入。</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⑥在贮存库内或通过贮存分区方式贮存液态危险废物的，应具有液体泄漏堵截设施，堵截设施最小容积不应低于对应贮存区域最大液态废物容器容积或液态废物总储量1/10（二者取较大者）。</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⑦容器和包装物材质、内衬应与盛装的危险废物相容；针对不同类别、形态、物理化学性质的危险废物，其容器和包装物应满足相应的防渗、防漏、防腐和强度等要求；硬质容器和包装物及其支护结构堆叠码放时不应有明显变形，无破损泄漏；柔性容器和包装物堆叠码放时应封口严密，无破损泄漏；容器和包装物外表面应保持清洁。</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⑧液态危险废物应装入容器内贮存，半固态危险废物应装入容器或包装袋内贮存。应定期检查危险废物的贮存状况，及时清理贮存设施地面，更换破损泄漏的危险废物贮存容器和包装物，保证堆存危险废物的防雨、防风等设施功能完好。</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⑨按照《危险废物识别标志设置技术规范》（HJ1276—2022）标准等相关要求，设置危险废物贮存设施标志、危险废物标签、危险废物贮存分区标志等标识标牌。贮存设施运行期间，应按《危险废物管理计划和管理台账制定技术导则》（HJ1259—2022）等国家有关标准和规定建立危险废物管理台账并保存。</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综上所述，采取上述固废污染控制措施后，项目产生的固废对周边环境影响可接受。</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5、运营期地下水、土壤环境影响分析</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w:t>
            </w:r>
            <w:bookmarkStart w:id="35" w:name="OLE_LINK90"/>
            <w:r>
              <w:rPr>
                <w:rFonts w:hint="default" w:ascii="Times New Roman" w:hAnsi="Times New Roman" w:eastAsia="宋体" w:cs="Times New Roman"/>
                <w:color w:val="auto"/>
                <w:sz w:val="24"/>
              </w:rPr>
              <w:t>地下水、土壤污染源</w:t>
            </w:r>
            <w:bookmarkEnd w:id="35"/>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根据对项目生产过程及存储方式等进行分析，本项目对地下水及土壤环境影响的污染源有：</w:t>
            </w:r>
            <w:r>
              <w:rPr>
                <w:rFonts w:hint="eastAsia" w:cs="Times New Roman"/>
                <w:color w:val="auto"/>
                <w:sz w:val="24"/>
                <w:lang w:val="en-US" w:eastAsia="zh-CN"/>
              </w:rPr>
              <w:t>化粪池</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危废贮存库</w:t>
            </w:r>
            <w:r>
              <w:rPr>
                <w:rFonts w:hint="default" w:ascii="Times New Roman" w:hAnsi="Times New Roman" w:eastAsia="宋体" w:cs="Times New Roman"/>
                <w:color w:val="auto"/>
                <w:sz w:val="24"/>
              </w:rPr>
              <w:t>等，主要污染物为</w:t>
            </w:r>
            <w:r>
              <w:rPr>
                <w:rFonts w:hint="default" w:ascii="Times New Roman" w:hAnsi="Times New Roman" w:eastAsia="宋体" w:cs="Times New Roman"/>
                <w:color w:val="auto"/>
                <w:sz w:val="24"/>
                <w:lang w:val="en-US" w:eastAsia="zh-CN"/>
              </w:rPr>
              <w:t>机油、</w:t>
            </w:r>
            <w:r>
              <w:rPr>
                <w:rFonts w:hint="default" w:ascii="Times New Roman" w:hAnsi="Times New Roman" w:eastAsia="宋体" w:cs="Times New Roman"/>
                <w:color w:val="auto"/>
                <w:sz w:val="24"/>
              </w:rPr>
              <w:t>废水和固体废物（主要是危险废物）。</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地下水、土壤污染途径</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对地下水及土壤产生污染的途径主要是渗透污染。渗透污染是导致地下水污染的普遍和主要方式，主要产生可能性来自：</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1）项目产生的污水事故情况下排入地表水环境，再渗入补给地下水；或者直接渗入土壤，进而污染土壤及含水层。</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2）项目产生的危险废物，在未采取防治措施的情况下，固体废物在雨水淋滤作用下，淋滤液下渗将引起的地下水及土壤污染。</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3）厂区内污水处理设施在未采取防渗防漏措施的情况下，废水将从构筑物下渗入含水层而污染地下水及土壤。</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影响分析</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1）正常情况下地下水环境影响分析</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通过采取本评价提出的环保措施后，对污水处理设施、生产车间、</w:t>
            </w:r>
            <w:r>
              <w:rPr>
                <w:rFonts w:hint="default" w:ascii="Times New Roman" w:hAnsi="Times New Roman" w:eastAsia="宋体" w:cs="Times New Roman"/>
                <w:color w:val="auto"/>
                <w:sz w:val="24"/>
                <w:lang w:eastAsia="zh-CN"/>
              </w:rPr>
              <w:t>危废贮存库</w:t>
            </w:r>
            <w:r>
              <w:rPr>
                <w:rFonts w:hint="default" w:ascii="Times New Roman" w:hAnsi="Times New Roman" w:eastAsia="宋体" w:cs="Times New Roman"/>
                <w:color w:val="auto"/>
                <w:sz w:val="24"/>
              </w:rPr>
              <w:t>进行严格的</w:t>
            </w:r>
            <w:r>
              <w:rPr>
                <w:rFonts w:hint="default" w:ascii="Times New Roman" w:hAnsi="Times New Roman" w:eastAsia="宋体" w:cs="Times New Roman"/>
                <w:color w:val="auto"/>
                <w:sz w:val="24"/>
                <w:lang w:val="en-US" w:eastAsia="zh-CN"/>
              </w:rPr>
              <w:t>分区</w:t>
            </w:r>
            <w:r>
              <w:rPr>
                <w:rFonts w:hint="default" w:ascii="Times New Roman" w:hAnsi="Times New Roman" w:eastAsia="宋体" w:cs="Times New Roman"/>
                <w:color w:val="auto"/>
                <w:sz w:val="24"/>
              </w:rPr>
              <w:t>防渗处理后，废水下渗量很小，在正常情况下对地下水及土壤不会造成污染。</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2）非正常情况下地下水环境影响分析</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根据场地水文地质条件，污水处理设施、</w:t>
            </w:r>
            <w:r>
              <w:rPr>
                <w:rFonts w:hint="default" w:ascii="Times New Roman" w:hAnsi="Times New Roman" w:eastAsia="宋体" w:cs="Times New Roman"/>
                <w:color w:val="auto"/>
                <w:sz w:val="24"/>
                <w:lang w:eastAsia="zh-CN"/>
              </w:rPr>
              <w:t>危废贮存库</w:t>
            </w:r>
            <w:r>
              <w:rPr>
                <w:rFonts w:hint="default" w:ascii="Times New Roman" w:hAnsi="Times New Roman" w:eastAsia="宋体" w:cs="Times New Roman"/>
                <w:color w:val="auto"/>
                <w:sz w:val="24"/>
              </w:rPr>
              <w:t>、生产车间若发生渗漏废水将</w:t>
            </w:r>
            <w:bookmarkStart w:id="36" w:name="OLE_LINK91"/>
            <w:r>
              <w:rPr>
                <w:rFonts w:hint="default" w:ascii="Times New Roman" w:hAnsi="Times New Roman" w:eastAsia="宋体" w:cs="Times New Roman"/>
                <w:color w:val="auto"/>
                <w:sz w:val="24"/>
              </w:rPr>
              <w:t>通过地表水入渗进入地下污染地下水及土壤。</w:t>
            </w:r>
          </w:p>
          <w:bookmarkEnd w:id="36"/>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于污染物的存在，非正常状况下，将不可避免的会对项目所在区域周围，特别是下游部分区域的地下水及土壤产生一定程度的污染。因此，建设单位应积极采取有效的防渗措施，定期监控，一旦发现废液渗漏后，采取有效的应急措施，避免泄漏持续发生。</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预防措施</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针对上述情况，企业采取以下措施，以减轻对地下水及土壤的污染。</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1）源头控制措施</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根据清洁生产分析，项目具有较高的清洁生产水平；废水经分质收集、处理，达标后纳管排放，各类固态废物均能得以妥善处置，有效减少了污染物的排放量。</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2）分区防治措施</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活污水收集处理构筑物在工程设计时采用混凝土构造，并按照相应的标准设置了防渗层，防止污水下渗污染地下水及土壤。在正常生产情况下，企业做好防渗处理条件下，项目废水不会直接渗入土壤，也不会对地下水造成影响。</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color w:val="auto"/>
                <w:sz w:val="24"/>
              </w:rPr>
              <w:t>固体废物厂内均设置专门的贮存场所，厂区地面进行硬化处理，环评要求按照下表防渗标准分区设置防渗区，建立防渗设施的检漏系统，防止污染物的跑、冒、滴、漏，将污染物泄漏的环境风险事故降到最低限度。</w:t>
            </w:r>
          </w:p>
          <w:p>
            <w:pPr>
              <w:keepNext w:val="0"/>
              <w:keepLines w:val="0"/>
              <w:widowControl w:val="0"/>
              <w:suppressLineNumbers w:val="0"/>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表4.</w:t>
            </w:r>
            <w:r>
              <w:rPr>
                <w:rFonts w:hint="eastAsia" w:cs="Times New Roman"/>
                <w:b/>
                <w:bCs/>
                <w:color w:val="auto"/>
                <w:kern w:val="2"/>
                <w:sz w:val="24"/>
                <w:szCs w:val="24"/>
                <w:lang w:val="en-US" w:eastAsia="zh-CN" w:bidi="ar-SA"/>
              </w:rPr>
              <w:t>14</w:t>
            </w:r>
            <w:r>
              <w:rPr>
                <w:rFonts w:hint="default" w:ascii="Times New Roman" w:hAnsi="Times New Roman" w:eastAsia="宋体" w:cs="Times New Roman"/>
                <w:b/>
                <w:bCs/>
                <w:color w:val="auto"/>
                <w:kern w:val="2"/>
                <w:sz w:val="24"/>
                <w:szCs w:val="24"/>
                <w:lang w:val="en-US" w:eastAsia="zh-CN" w:bidi="ar-SA"/>
              </w:rPr>
              <w:t>项目污染区划分及防渗等级一览表</w:t>
            </w:r>
          </w:p>
          <w:tbl>
            <w:tblPr>
              <w:tblStyle w:val="33"/>
              <w:tblW w:w="4998"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219"/>
              <w:gridCol w:w="738"/>
              <w:gridCol w:w="1036"/>
              <w:gridCol w:w="485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tcBorders>
                    <w:tl2br w:val="nil"/>
                    <w:tr2bl w:val="nil"/>
                  </w:tcBorders>
                  <w:noWrap w:val="0"/>
                  <w:vAlign w:val="center"/>
                </w:tcPr>
                <w:p>
                  <w:pPr>
                    <w:keepNext w:val="0"/>
                    <w:keepLines w:val="0"/>
                    <w:widowControl w:val="0"/>
                    <w:suppressLineNumbers w:val="0"/>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4"/>
                      <w:lang w:val="en-US" w:eastAsia="zh-CN" w:bidi="ar-SA"/>
                    </w:rPr>
                  </w:pPr>
                  <w:r>
                    <w:rPr>
                      <w:rFonts w:hint="default" w:ascii="Times New Roman" w:hAnsi="Times New Roman" w:eastAsia="宋体" w:cs="Times New Roman"/>
                      <w:b/>
                      <w:bCs/>
                      <w:color w:val="auto"/>
                      <w:kern w:val="2"/>
                      <w:sz w:val="21"/>
                      <w:szCs w:val="24"/>
                      <w:lang w:val="en-US" w:eastAsia="zh-CN" w:bidi="ar-SA"/>
                    </w:rPr>
                    <w:t>序号</w:t>
                  </w:r>
                </w:p>
              </w:tc>
              <w:tc>
                <w:tcPr>
                  <w:tcW w:w="1151" w:type="pct"/>
                  <w:gridSpan w:val="2"/>
                  <w:tcBorders>
                    <w:tl2br w:val="nil"/>
                    <w:tr2bl w:val="nil"/>
                  </w:tcBorders>
                  <w:noWrap w:val="0"/>
                  <w:vAlign w:val="center"/>
                </w:tcPr>
                <w:p>
                  <w:pPr>
                    <w:keepNext w:val="0"/>
                    <w:keepLines w:val="0"/>
                    <w:widowControl w:val="0"/>
                    <w:suppressLineNumbers w:val="0"/>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4"/>
                      <w:lang w:val="en-US" w:eastAsia="zh-CN" w:bidi="ar-SA"/>
                    </w:rPr>
                  </w:pPr>
                  <w:r>
                    <w:rPr>
                      <w:rFonts w:hint="default" w:ascii="Times New Roman" w:hAnsi="Times New Roman" w:eastAsia="宋体" w:cs="Times New Roman"/>
                      <w:b/>
                      <w:bCs/>
                      <w:color w:val="auto"/>
                      <w:kern w:val="2"/>
                      <w:sz w:val="21"/>
                      <w:szCs w:val="24"/>
                      <w:lang w:val="en-US" w:eastAsia="zh-CN" w:bidi="ar-SA"/>
                    </w:rPr>
                    <w:t>防渗区域或部位</w:t>
                  </w:r>
                </w:p>
              </w:tc>
              <w:tc>
                <w:tcPr>
                  <w:tcW w:w="609" w:type="pct"/>
                  <w:tcBorders>
                    <w:tl2br w:val="nil"/>
                    <w:tr2bl w:val="nil"/>
                  </w:tcBorders>
                  <w:noWrap w:val="0"/>
                  <w:vAlign w:val="center"/>
                </w:tcPr>
                <w:p>
                  <w:pPr>
                    <w:keepNext w:val="0"/>
                    <w:keepLines w:val="0"/>
                    <w:widowControl w:val="0"/>
                    <w:suppressLineNumbers w:val="0"/>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4"/>
                      <w:lang w:val="en-US" w:eastAsia="zh-CN" w:bidi="ar-SA"/>
                    </w:rPr>
                  </w:pPr>
                  <w:r>
                    <w:rPr>
                      <w:rFonts w:hint="default" w:ascii="Times New Roman" w:hAnsi="Times New Roman" w:eastAsia="宋体" w:cs="Times New Roman"/>
                      <w:b/>
                      <w:bCs/>
                      <w:color w:val="auto"/>
                      <w:kern w:val="2"/>
                      <w:sz w:val="21"/>
                      <w:szCs w:val="24"/>
                      <w:lang w:val="en-US" w:eastAsia="zh-CN" w:bidi="ar-SA"/>
                    </w:rPr>
                    <w:t>防渗</w:t>
                  </w:r>
                </w:p>
                <w:p>
                  <w:pPr>
                    <w:keepNext w:val="0"/>
                    <w:keepLines w:val="0"/>
                    <w:widowControl w:val="0"/>
                    <w:suppressLineNumbers w:val="0"/>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4"/>
                      <w:lang w:val="en-US" w:eastAsia="zh-CN" w:bidi="ar-SA"/>
                    </w:rPr>
                  </w:pPr>
                  <w:r>
                    <w:rPr>
                      <w:rFonts w:hint="default" w:ascii="Times New Roman" w:hAnsi="Times New Roman" w:eastAsia="宋体" w:cs="Times New Roman"/>
                      <w:b/>
                      <w:bCs/>
                      <w:color w:val="auto"/>
                      <w:kern w:val="2"/>
                      <w:sz w:val="21"/>
                      <w:szCs w:val="24"/>
                      <w:lang w:val="en-US" w:eastAsia="zh-CN" w:bidi="ar-SA"/>
                    </w:rPr>
                    <w:t>等级</w:t>
                  </w:r>
                </w:p>
              </w:tc>
              <w:tc>
                <w:tcPr>
                  <w:tcW w:w="2855" w:type="pct"/>
                  <w:tcBorders>
                    <w:tl2br w:val="nil"/>
                    <w:tr2bl w:val="nil"/>
                  </w:tcBorders>
                  <w:noWrap w:val="0"/>
                  <w:vAlign w:val="center"/>
                </w:tcPr>
                <w:p>
                  <w:pPr>
                    <w:keepNext w:val="0"/>
                    <w:keepLines w:val="0"/>
                    <w:widowControl w:val="0"/>
                    <w:suppressLineNumbers w:val="0"/>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4"/>
                      <w:lang w:val="en-US" w:eastAsia="zh-CN" w:bidi="ar-SA"/>
                    </w:rPr>
                  </w:pPr>
                  <w:r>
                    <w:rPr>
                      <w:rFonts w:hint="default" w:ascii="Times New Roman" w:hAnsi="Times New Roman" w:eastAsia="宋体" w:cs="Times New Roman"/>
                      <w:b/>
                      <w:bCs/>
                      <w:color w:val="auto"/>
                      <w:kern w:val="2"/>
                      <w:sz w:val="21"/>
                      <w:szCs w:val="24"/>
                      <w:lang w:val="en-US" w:eastAsia="zh-CN" w:bidi="ar-SA"/>
                    </w:rPr>
                    <w:t>防渗要求</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tcBorders>
                    <w:tl2br w:val="nil"/>
                    <w:tr2bl w:val="nil"/>
                  </w:tcBorders>
                  <w:noWrap w:val="0"/>
                  <w:vAlign w:val="center"/>
                </w:tcPr>
                <w:p>
                  <w:pPr>
                    <w:keepNext w:val="0"/>
                    <w:keepLines w:val="0"/>
                    <w:widowControl w:val="0"/>
                    <w:suppressLineNumbers w:val="0"/>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c>
                <w:tcPr>
                  <w:tcW w:w="717" w:type="pct"/>
                  <w:tcBorders>
                    <w:tl2br w:val="nil"/>
                    <w:tr2bl w:val="nil"/>
                  </w:tcBorders>
                  <w:noWrap w:val="0"/>
                  <w:vAlign w:val="center"/>
                </w:tcPr>
                <w:p>
                  <w:pPr>
                    <w:keepNext w:val="0"/>
                    <w:keepLines w:val="0"/>
                    <w:widowControl w:val="0"/>
                    <w:suppressLineNumbers w:val="0"/>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一般生产区域</w:t>
                  </w:r>
                </w:p>
              </w:tc>
              <w:tc>
                <w:tcPr>
                  <w:tcW w:w="434" w:type="pct"/>
                  <w:tcBorders>
                    <w:tl2br w:val="nil"/>
                    <w:tr2bl w:val="nil"/>
                  </w:tcBorders>
                  <w:noWrap w:val="0"/>
                  <w:vAlign w:val="center"/>
                </w:tcPr>
                <w:p>
                  <w:pPr>
                    <w:keepNext w:val="0"/>
                    <w:keepLines w:val="0"/>
                    <w:widowControl w:val="0"/>
                    <w:suppressLineNumbers w:val="0"/>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地面</w:t>
                  </w:r>
                </w:p>
              </w:tc>
              <w:tc>
                <w:tcPr>
                  <w:tcW w:w="609" w:type="pct"/>
                  <w:tcBorders>
                    <w:tl2br w:val="nil"/>
                    <w:tr2bl w:val="nil"/>
                  </w:tcBorders>
                  <w:noWrap w:val="0"/>
                  <w:vAlign w:val="center"/>
                </w:tcPr>
                <w:p>
                  <w:pPr>
                    <w:keepNext w:val="0"/>
                    <w:keepLines w:val="0"/>
                    <w:widowControl w:val="0"/>
                    <w:suppressLineNumbers w:val="0"/>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一般防渗区</w:t>
                  </w:r>
                </w:p>
              </w:tc>
              <w:tc>
                <w:tcPr>
                  <w:tcW w:w="2855" w:type="pct"/>
                  <w:tcBorders>
                    <w:tl2br w:val="nil"/>
                    <w:tr2bl w:val="nil"/>
                  </w:tcBorders>
                  <w:noWrap w:val="0"/>
                  <w:vAlign w:val="center"/>
                </w:tcPr>
                <w:p>
                  <w:pPr>
                    <w:keepNext w:val="0"/>
                    <w:keepLines w:val="0"/>
                    <w:widowControl w:val="0"/>
                    <w:suppressLineNumbers w:val="0"/>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等效黏土防渗层Mb≥1.5m，K≤1.0×10</w:t>
                  </w:r>
                  <w:r>
                    <w:rPr>
                      <w:rFonts w:hint="default" w:ascii="Times New Roman" w:hAnsi="Times New Roman" w:eastAsia="宋体" w:cs="Times New Roman"/>
                      <w:color w:val="auto"/>
                      <w:kern w:val="2"/>
                      <w:sz w:val="21"/>
                      <w:szCs w:val="24"/>
                      <w:vertAlign w:val="superscript"/>
                      <w:lang w:val="en-US" w:eastAsia="zh-CN" w:bidi="ar-SA"/>
                    </w:rPr>
                    <w:t>-7</w:t>
                  </w:r>
                  <w:r>
                    <w:rPr>
                      <w:rFonts w:hint="default" w:ascii="Times New Roman" w:hAnsi="Times New Roman" w:eastAsia="宋体" w:cs="Times New Roman"/>
                      <w:color w:val="auto"/>
                      <w:kern w:val="2"/>
                      <w:sz w:val="21"/>
                      <w:szCs w:val="24"/>
                      <w:lang w:val="en-US" w:eastAsia="zh-CN" w:bidi="ar-SA"/>
                    </w:rPr>
                    <w:t>cm/s，或参照GB16889执行</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tcBorders>
                    <w:tl2br w:val="nil"/>
                    <w:tr2bl w:val="nil"/>
                  </w:tcBorders>
                  <w:noWrap w:val="0"/>
                  <w:vAlign w:val="center"/>
                </w:tcPr>
                <w:p>
                  <w:pPr>
                    <w:keepNext w:val="0"/>
                    <w:keepLines w:val="0"/>
                    <w:widowControl w:val="0"/>
                    <w:suppressLineNumbers w:val="0"/>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w:t>
                  </w:r>
                </w:p>
              </w:tc>
              <w:tc>
                <w:tcPr>
                  <w:tcW w:w="717" w:type="pct"/>
                  <w:tcBorders>
                    <w:tl2br w:val="nil"/>
                    <w:tr2bl w:val="nil"/>
                  </w:tcBorders>
                  <w:noWrap w:val="0"/>
                  <w:vAlign w:val="center"/>
                </w:tcPr>
                <w:p>
                  <w:pPr>
                    <w:keepNext w:val="0"/>
                    <w:keepLines w:val="0"/>
                    <w:widowControl w:val="0"/>
                    <w:suppressLineNumbers w:val="0"/>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办公区域</w:t>
                  </w:r>
                  <w:r>
                    <w:rPr>
                      <w:rFonts w:hint="eastAsia" w:cs="Times New Roman"/>
                      <w:color w:val="auto"/>
                      <w:kern w:val="2"/>
                      <w:sz w:val="21"/>
                      <w:szCs w:val="24"/>
                      <w:lang w:val="en-US" w:eastAsia="zh-CN" w:bidi="ar-SA"/>
                    </w:rPr>
                    <w:t>等</w:t>
                  </w:r>
                </w:p>
              </w:tc>
              <w:tc>
                <w:tcPr>
                  <w:tcW w:w="434" w:type="pct"/>
                  <w:tcBorders>
                    <w:tl2br w:val="nil"/>
                    <w:tr2bl w:val="nil"/>
                  </w:tcBorders>
                  <w:noWrap w:val="0"/>
                  <w:vAlign w:val="center"/>
                </w:tcPr>
                <w:p>
                  <w:pPr>
                    <w:keepNext w:val="0"/>
                    <w:keepLines w:val="0"/>
                    <w:widowControl w:val="0"/>
                    <w:suppressLineNumbers w:val="0"/>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地面</w:t>
                  </w:r>
                </w:p>
              </w:tc>
              <w:tc>
                <w:tcPr>
                  <w:tcW w:w="609" w:type="pct"/>
                  <w:tcBorders>
                    <w:tl2br w:val="nil"/>
                    <w:tr2bl w:val="nil"/>
                  </w:tcBorders>
                  <w:noWrap w:val="0"/>
                  <w:vAlign w:val="center"/>
                </w:tcPr>
                <w:p>
                  <w:pPr>
                    <w:keepNext w:val="0"/>
                    <w:keepLines w:val="0"/>
                    <w:widowControl w:val="0"/>
                    <w:suppressLineNumbers w:val="0"/>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简单防渗区</w:t>
                  </w:r>
                </w:p>
              </w:tc>
              <w:tc>
                <w:tcPr>
                  <w:tcW w:w="2855" w:type="pct"/>
                  <w:tcBorders>
                    <w:tl2br w:val="nil"/>
                    <w:tr2bl w:val="nil"/>
                  </w:tcBorders>
                  <w:noWrap w:val="0"/>
                  <w:vAlign w:val="center"/>
                </w:tcPr>
                <w:p>
                  <w:pPr>
                    <w:keepNext w:val="0"/>
                    <w:keepLines w:val="0"/>
                    <w:widowControl w:val="0"/>
                    <w:suppressLineNumbers w:val="0"/>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一般地面硬化</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tcBorders>
                    <w:tl2br w:val="nil"/>
                    <w:tr2bl w:val="nil"/>
                  </w:tcBorders>
                  <w:noWrap w:val="0"/>
                  <w:vAlign w:val="center"/>
                </w:tcPr>
                <w:p>
                  <w:pPr>
                    <w:keepNext w:val="0"/>
                    <w:keepLines w:val="0"/>
                    <w:widowControl w:val="0"/>
                    <w:suppressLineNumbers w:val="0"/>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bookmarkStart w:id="37" w:name="OLE_LINK160" w:colFirst="1" w:colLast="4"/>
                  <w:r>
                    <w:rPr>
                      <w:rFonts w:hint="default" w:ascii="Times New Roman" w:hAnsi="Times New Roman" w:eastAsia="宋体" w:cs="Times New Roman"/>
                      <w:color w:val="auto"/>
                      <w:kern w:val="2"/>
                      <w:sz w:val="21"/>
                      <w:szCs w:val="24"/>
                      <w:lang w:val="en-US" w:eastAsia="zh-CN" w:bidi="ar-SA"/>
                    </w:rPr>
                    <w:t>3</w:t>
                  </w:r>
                </w:p>
              </w:tc>
              <w:tc>
                <w:tcPr>
                  <w:tcW w:w="717" w:type="pct"/>
                  <w:tcBorders>
                    <w:tl2br w:val="nil"/>
                    <w:tr2bl w:val="nil"/>
                  </w:tcBorders>
                  <w:noWrap w:val="0"/>
                  <w:vAlign w:val="center"/>
                </w:tcPr>
                <w:p>
                  <w:pPr>
                    <w:keepNext w:val="0"/>
                    <w:keepLines w:val="0"/>
                    <w:widowControl w:val="0"/>
                    <w:suppressLineNumbers w:val="0"/>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危废贮存库</w:t>
                  </w:r>
                </w:p>
              </w:tc>
              <w:tc>
                <w:tcPr>
                  <w:tcW w:w="434" w:type="pct"/>
                  <w:tcBorders>
                    <w:tl2br w:val="nil"/>
                    <w:tr2bl w:val="nil"/>
                  </w:tcBorders>
                  <w:noWrap w:val="0"/>
                  <w:vAlign w:val="center"/>
                </w:tcPr>
                <w:p>
                  <w:pPr>
                    <w:keepNext w:val="0"/>
                    <w:keepLines w:val="0"/>
                    <w:widowControl w:val="0"/>
                    <w:suppressLineNumbers w:val="0"/>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地面</w:t>
                  </w:r>
                </w:p>
              </w:tc>
              <w:tc>
                <w:tcPr>
                  <w:tcW w:w="609" w:type="pct"/>
                  <w:tcBorders>
                    <w:tl2br w:val="nil"/>
                    <w:tr2bl w:val="nil"/>
                  </w:tcBorders>
                  <w:noWrap w:val="0"/>
                  <w:vAlign w:val="center"/>
                </w:tcPr>
                <w:p>
                  <w:pPr>
                    <w:keepNext w:val="0"/>
                    <w:keepLines w:val="0"/>
                    <w:widowControl w:val="0"/>
                    <w:suppressLineNumbers w:val="0"/>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重点防渗区</w:t>
                  </w:r>
                </w:p>
              </w:tc>
              <w:tc>
                <w:tcPr>
                  <w:tcW w:w="2855" w:type="pct"/>
                  <w:tcBorders>
                    <w:tl2br w:val="nil"/>
                    <w:tr2bl w:val="nil"/>
                  </w:tcBorders>
                  <w:noWrap w:val="0"/>
                  <w:vAlign w:val="center"/>
                </w:tcPr>
                <w:p>
                  <w:pPr>
                    <w:keepNext w:val="0"/>
                    <w:keepLines w:val="0"/>
                    <w:widowControl w:val="0"/>
                    <w:suppressLineNumbers w:val="0"/>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防渗层为至少1m厚粘土层（渗透系数≤10</w:t>
                  </w:r>
                  <w:r>
                    <w:rPr>
                      <w:rFonts w:hint="default" w:ascii="Times New Roman" w:hAnsi="Times New Roman" w:eastAsia="宋体" w:cs="Times New Roman"/>
                      <w:color w:val="auto"/>
                      <w:kern w:val="2"/>
                      <w:sz w:val="21"/>
                      <w:szCs w:val="24"/>
                      <w:vertAlign w:val="superscript"/>
                      <w:lang w:val="en-US" w:eastAsia="zh-CN" w:bidi="ar-SA"/>
                    </w:rPr>
                    <w:t>-7</w:t>
                  </w:r>
                  <w:r>
                    <w:rPr>
                      <w:rFonts w:hint="default" w:ascii="Times New Roman" w:hAnsi="Times New Roman" w:eastAsia="宋体" w:cs="Times New Roman"/>
                      <w:color w:val="auto"/>
                      <w:kern w:val="2"/>
                      <w:sz w:val="21"/>
                      <w:szCs w:val="24"/>
                      <w:lang w:val="en-US" w:eastAsia="zh-CN" w:bidi="ar-SA"/>
                    </w:rPr>
                    <w:t>cm/s），或2mm厚高密度聚乙烯，或至少2mm厚的其他人工材料，渗透系数≤10</w:t>
                  </w:r>
                  <w:r>
                    <w:rPr>
                      <w:rFonts w:hint="default" w:ascii="Times New Roman" w:hAnsi="Times New Roman" w:eastAsia="宋体" w:cs="Times New Roman"/>
                      <w:color w:val="auto"/>
                      <w:kern w:val="2"/>
                      <w:sz w:val="21"/>
                      <w:szCs w:val="24"/>
                      <w:vertAlign w:val="superscript"/>
                      <w:lang w:val="en-US" w:eastAsia="zh-CN" w:bidi="ar-SA"/>
                    </w:rPr>
                    <w:t>-10</w:t>
                  </w:r>
                  <w:r>
                    <w:rPr>
                      <w:rFonts w:hint="default" w:ascii="Times New Roman" w:hAnsi="Times New Roman" w:eastAsia="宋体" w:cs="Times New Roman"/>
                      <w:color w:val="auto"/>
                      <w:kern w:val="2"/>
                      <w:sz w:val="21"/>
                      <w:szCs w:val="24"/>
                      <w:lang w:val="en-US" w:eastAsia="zh-CN" w:bidi="ar-SA"/>
                    </w:rPr>
                    <w:t>cm/s</w:t>
                  </w:r>
                </w:p>
              </w:tc>
            </w:tr>
            <w:bookmarkEnd w:id="37"/>
          </w:tbl>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snapToGrid w:val="0"/>
                <w:color w:val="auto"/>
                <w:sz w:val="24"/>
                <w:szCs w:val="24"/>
                <w:vertAlign w:val="baseline"/>
                <w:lang w:val="en-US" w:eastAsia="zh-CN"/>
              </w:rPr>
            </w:pPr>
            <w:r>
              <w:rPr>
                <w:rFonts w:hint="default" w:ascii="Times New Roman" w:hAnsi="Times New Roman" w:eastAsia="宋体" w:cs="Times New Roman"/>
                <w:color w:val="auto"/>
                <w:sz w:val="24"/>
              </w:rPr>
              <w:t>鉴于项目不以地下水作为供水水源，</w:t>
            </w:r>
            <w:r>
              <w:rPr>
                <w:rFonts w:hint="default" w:ascii="Times New Roman" w:hAnsi="Times New Roman" w:eastAsia="宋体" w:cs="Times New Roman"/>
                <w:color w:val="auto"/>
                <w:sz w:val="24"/>
                <w:lang w:val="en-US" w:eastAsia="zh-CN"/>
              </w:rPr>
              <w:t>结合项目生产内容、原辅料及产品组成，</w:t>
            </w:r>
            <w:r>
              <w:rPr>
                <w:rFonts w:hint="default" w:ascii="Times New Roman" w:hAnsi="Times New Roman" w:eastAsia="宋体" w:cs="Times New Roman"/>
                <w:color w:val="auto"/>
                <w:sz w:val="24"/>
              </w:rPr>
              <w:t>采取上述措施后，项目的建设对周围</w:t>
            </w:r>
            <w:r>
              <w:rPr>
                <w:rFonts w:hint="default" w:ascii="Times New Roman" w:hAnsi="Times New Roman" w:eastAsia="宋体" w:cs="Times New Roman"/>
                <w:color w:val="auto"/>
                <w:sz w:val="24"/>
                <w:lang w:val="en-US" w:eastAsia="zh-CN"/>
              </w:rPr>
              <w:t>地下水、土壤环境影响是可接受的</w:t>
            </w:r>
            <w:r>
              <w:rPr>
                <w:rFonts w:hint="default" w:ascii="Times New Roman" w:hAnsi="Times New Roman" w:cs="Times New Roman"/>
                <w:b w:val="0"/>
                <w:bCs w:val="0"/>
                <w:snapToGrid w:val="0"/>
                <w:color w:val="auto"/>
                <w:sz w:val="24"/>
                <w:szCs w:val="24"/>
                <w:vertAlign w:val="baseline"/>
                <w:lang w:val="en-US" w:eastAsia="zh-CN"/>
              </w:rPr>
              <w:t>。</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rightChars="0"/>
              <w:jc w:val="both"/>
              <w:textAlignment w:val="auto"/>
              <w:rPr>
                <w:rFonts w:hint="default" w:ascii="Times New Roman" w:hAnsi="Times New Roman" w:cs="Times New Roman"/>
                <w:b/>
                <w:bCs/>
                <w:snapToGrid w:val="0"/>
                <w:color w:val="auto"/>
                <w:sz w:val="24"/>
                <w:szCs w:val="24"/>
                <w:vertAlign w:val="baseline"/>
                <w:lang w:val="en-US" w:eastAsia="zh-CN"/>
              </w:rPr>
            </w:pPr>
            <w:r>
              <w:rPr>
                <w:rFonts w:hint="default" w:ascii="Times New Roman" w:hAnsi="Times New Roman" w:eastAsia="宋体" w:cs="Times New Roman"/>
                <w:b/>
                <w:bCs/>
                <w:snapToGrid w:val="0"/>
                <w:color w:val="auto"/>
                <w:kern w:val="2"/>
                <w:sz w:val="24"/>
                <w:szCs w:val="24"/>
                <w:vertAlign w:val="baseline"/>
                <w:lang w:val="en-US" w:eastAsia="zh-CN" w:bidi="ar-SA"/>
              </w:rPr>
              <w:t>6、</w:t>
            </w:r>
            <w:r>
              <w:rPr>
                <w:rFonts w:hint="default" w:ascii="Times New Roman" w:hAnsi="Times New Roman" w:cs="Times New Roman"/>
                <w:b/>
                <w:bCs/>
                <w:snapToGrid w:val="0"/>
                <w:color w:val="auto"/>
                <w:sz w:val="24"/>
                <w:szCs w:val="24"/>
                <w:vertAlign w:val="baseline"/>
                <w:lang w:val="en-US" w:eastAsia="zh-CN"/>
              </w:rPr>
              <w:t>环境风险分析</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1" w:firstLineChars="200"/>
              <w:textAlignment w:val="auto"/>
              <w:rPr>
                <w:rFonts w:hint="default" w:ascii="Times New Roman" w:hAnsi="Times New Roman" w:cs="Times New Roman"/>
                <w:b/>
                <w:bCs/>
                <w:snapToGrid w:val="0"/>
                <w:color w:val="auto"/>
                <w:sz w:val="24"/>
                <w:szCs w:val="24"/>
                <w:vertAlign w:val="baseline"/>
                <w:lang w:val="en-US" w:eastAsia="zh-CN"/>
              </w:rPr>
            </w:pPr>
            <w:r>
              <w:rPr>
                <w:rFonts w:hint="default" w:ascii="Times New Roman" w:hAnsi="Times New Roman" w:cs="Times New Roman"/>
                <w:b/>
                <w:bCs/>
                <w:snapToGrid w:val="0"/>
                <w:color w:val="auto"/>
                <w:sz w:val="24"/>
                <w:szCs w:val="24"/>
                <w:vertAlign w:val="baseline"/>
                <w:lang w:val="en-US" w:eastAsia="zh-CN"/>
              </w:rPr>
              <w:t>（1）风险调查</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snapToGrid w:val="0"/>
                <w:color w:val="auto"/>
                <w:sz w:val="24"/>
                <w:szCs w:val="24"/>
                <w:vertAlign w:val="baseline"/>
                <w:lang w:val="en-US" w:eastAsia="zh-CN"/>
              </w:rPr>
            </w:pPr>
            <w:r>
              <w:rPr>
                <w:rFonts w:hint="default" w:ascii="Times New Roman" w:hAnsi="Times New Roman" w:cs="Times New Roman"/>
                <w:b w:val="0"/>
                <w:bCs w:val="0"/>
                <w:snapToGrid w:val="0"/>
                <w:color w:val="auto"/>
                <w:sz w:val="24"/>
                <w:szCs w:val="24"/>
                <w:vertAlign w:val="baseline"/>
                <w:lang w:val="en-US" w:eastAsia="zh-CN"/>
              </w:rPr>
              <w:t>根据《建设项目环境风险评价技术导则》（HJ169－2018）附录C，Q按下式进行计算：</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snapToGrid w:val="0"/>
                <w:color w:val="auto"/>
                <w:sz w:val="24"/>
                <w:szCs w:val="24"/>
                <w:vertAlign w:val="baseline"/>
                <w:lang w:val="en-US" w:eastAsia="zh-CN"/>
              </w:rPr>
            </w:pPr>
            <m:oMathPara>
              <m:oMath>
                <m:r>
                  <m:rPr>
                    <m:sty m:val="p"/>
                  </m:rPr>
                  <w:rPr>
                    <w:rFonts w:hint="default" w:ascii="Cambria Math" w:hAnsi="Cambria Math" w:cs="Times New Roman"/>
                    <w:snapToGrid w:val="0"/>
                    <w:color w:val="auto"/>
                    <w:kern w:val="2"/>
                    <w:sz w:val="24"/>
                    <w:szCs w:val="24"/>
                    <w:vertAlign w:val="baseline"/>
                    <w:lang w:val="en-US" w:eastAsia="zh-CN" w:bidi="ar-SA"/>
                  </w:rPr>
                  <m:t>Q=</m:t>
                </m:r>
                <m:f>
                  <m:fPr>
                    <m:ctrlPr>
                      <w:rPr>
                        <w:rFonts w:hint="default" w:ascii="Cambria Math" w:hAnsi="Cambria Math" w:cs="Times New Roman"/>
                        <w:b w:val="0"/>
                        <w:bCs w:val="0"/>
                        <w:snapToGrid w:val="0"/>
                        <w:color w:val="auto"/>
                        <w:kern w:val="2"/>
                        <w:sz w:val="24"/>
                        <w:szCs w:val="24"/>
                        <w:vertAlign w:val="baseline"/>
                        <w:lang w:val="en-US" w:eastAsia="zh-CN" w:bidi="ar-SA"/>
                      </w:rPr>
                    </m:ctrlPr>
                  </m:fPr>
                  <m:num>
                    <m:sSub>
                      <m:sSubPr>
                        <m:ctrlPr>
                          <w:rPr>
                            <w:rFonts w:hint="default" w:ascii="Cambria Math" w:hAnsi="Cambria Math" w:cs="Times New Roman"/>
                            <w:b w:val="0"/>
                            <w:bCs w:val="0"/>
                            <w:snapToGrid w:val="0"/>
                            <w:color w:val="auto"/>
                            <w:kern w:val="2"/>
                            <w:sz w:val="24"/>
                            <w:szCs w:val="24"/>
                            <w:vertAlign w:val="baseline"/>
                            <w:lang w:val="en-US" w:eastAsia="zh-CN" w:bidi="ar-SA"/>
                          </w:rPr>
                        </m:ctrlPr>
                      </m:sSubPr>
                      <m:e>
                        <m:r>
                          <m:rPr>
                            <m:sty m:val="p"/>
                          </m:rPr>
                          <w:rPr>
                            <w:rFonts w:hint="default" w:ascii="Cambria Math" w:hAnsi="Cambria Math" w:cs="Times New Roman"/>
                            <w:snapToGrid w:val="0"/>
                            <w:color w:val="auto"/>
                            <w:kern w:val="2"/>
                            <w:sz w:val="24"/>
                            <w:szCs w:val="24"/>
                            <w:vertAlign w:val="baseline"/>
                            <w:lang w:val="en-US" w:eastAsia="zh-CN" w:bidi="ar-SA"/>
                          </w:rPr>
                          <m:t>q</m:t>
                        </m:r>
                        <m:ctrlPr>
                          <w:rPr>
                            <w:rFonts w:hint="default" w:ascii="Cambria Math" w:hAnsi="Cambria Math" w:cs="Times New Roman"/>
                            <w:b w:val="0"/>
                            <w:bCs w:val="0"/>
                            <w:snapToGrid w:val="0"/>
                            <w:color w:val="auto"/>
                            <w:kern w:val="2"/>
                            <w:sz w:val="24"/>
                            <w:szCs w:val="24"/>
                            <w:vertAlign w:val="baseline"/>
                            <w:lang w:val="en-US" w:eastAsia="zh-CN" w:bidi="ar-SA"/>
                          </w:rPr>
                        </m:ctrlPr>
                      </m:e>
                      <m:sub>
                        <m:r>
                          <m:rPr>
                            <m:sty m:val="p"/>
                          </m:rPr>
                          <w:rPr>
                            <w:rFonts w:hint="default" w:ascii="Cambria Math" w:hAnsi="Cambria Math" w:cs="Times New Roman"/>
                            <w:snapToGrid w:val="0"/>
                            <w:color w:val="auto"/>
                            <w:kern w:val="2"/>
                            <w:sz w:val="24"/>
                            <w:szCs w:val="24"/>
                            <w:vertAlign w:val="baseline"/>
                            <w:lang w:val="en-US" w:eastAsia="zh-CN" w:bidi="ar-SA"/>
                          </w:rPr>
                          <m:t>1</m:t>
                        </m:r>
                        <m:ctrlPr>
                          <w:rPr>
                            <w:rFonts w:hint="default" w:ascii="Cambria Math" w:hAnsi="Cambria Math" w:cs="Times New Roman"/>
                            <w:b w:val="0"/>
                            <w:bCs w:val="0"/>
                            <w:snapToGrid w:val="0"/>
                            <w:color w:val="auto"/>
                            <w:kern w:val="2"/>
                            <w:sz w:val="24"/>
                            <w:szCs w:val="24"/>
                            <w:vertAlign w:val="baseline"/>
                            <w:lang w:val="en-US" w:eastAsia="zh-CN" w:bidi="ar-SA"/>
                          </w:rPr>
                        </m:ctrlPr>
                      </m:sub>
                    </m:sSub>
                    <m:ctrlPr>
                      <w:rPr>
                        <w:rFonts w:hint="default" w:ascii="Cambria Math" w:hAnsi="Cambria Math" w:cs="Times New Roman"/>
                        <w:b w:val="0"/>
                        <w:bCs w:val="0"/>
                        <w:snapToGrid w:val="0"/>
                        <w:color w:val="auto"/>
                        <w:kern w:val="2"/>
                        <w:sz w:val="24"/>
                        <w:szCs w:val="24"/>
                        <w:vertAlign w:val="baseline"/>
                        <w:lang w:val="en-US" w:eastAsia="zh-CN" w:bidi="ar-SA"/>
                      </w:rPr>
                    </m:ctrlPr>
                  </m:num>
                  <m:den>
                    <m:sSub>
                      <m:sSubPr>
                        <m:ctrlPr>
                          <w:rPr>
                            <w:rFonts w:hint="default" w:ascii="Cambria Math" w:hAnsi="Cambria Math" w:cs="Times New Roman"/>
                            <w:b w:val="0"/>
                            <w:bCs w:val="0"/>
                            <w:snapToGrid w:val="0"/>
                            <w:color w:val="auto"/>
                            <w:kern w:val="2"/>
                            <w:sz w:val="24"/>
                            <w:szCs w:val="24"/>
                            <w:vertAlign w:val="baseline"/>
                            <w:lang w:val="en-US" w:eastAsia="zh-CN" w:bidi="ar-SA"/>
                          </w:rPr>
                        </m:ctrlPr>
                      </m:sSubPr>
                      <m:e>
                        <m:r>
                          <m:rPr>
                            <m:sty m:val="p"/>
                          </m:rPr>
                          <w:rPr>
                            <w:rFonts w:hint="default" w:ascii="Cambria Math" w:hAnsi="Cambria Math" w:cs="Times New Roman"/>
                            <w:snapToGrid w:val="0"/>
                            <w:color w:val="auto"/>
                            <w:kern w:val="2"/>
                            <w:sz w:val="24"/>
                            <w:szCs w:val="24"/>
                            <w:vertAlign w:val="baseline"/>
                            <w:lang w:val="en-US" w:eastAsia="zh-CN" w:bidi="ar-SA"/>
                          </w:rPr>
                          <m:t>Q</m:t>
                        </m:r>
                        <m:ctrlPr>
                          <w:rPr>
                            <w:rFonts w:hint="default" w:ascii="Cambria Math" w:hAnsi="Cambria Math" w:cs="Times New Roman"/>
                            <w:b w:val="0"/>
                            <w:bCs w:val="0"/>
                            <w:snapToGrid w:val="0"/>
                            <w:color w:val="auto"/>
                            <w:kern w:val="2"/>
                            <w:sz w:val="24"/>
                            <w:szCs w:val="24"/>
                            <w:vertAlign w:val="baseline"/>
                            <w:lang w:val="en-US" w:eastAsia="zh-CN" w:bidi="ar-SA"/>
                          </w:rPr>
                        </m:ctrlPr>
                      </m:e>
                      <m:sub>
                        <m:r>
                          <m:rPr>
                            <m:sty m:val="p"/>
                          </m:rPr>
                          <w:rPr>
                            <w:rFonts w:hint="default" w:ascii="Cambria Math" w:hAnsi="Cambria Math" w:cs="Times New Roman"/>
                            <w:snapToGrid w:val="0"/>
                            <w:color w:val="auto"/>
                            <w:kern w:val="2"/>
                            <w:sz w:val="24"/>
                            <w:szCs w:val="24"/>
                            <w:vertAlign w:val="baseline"/>
                            <w:lang w:val="en-US" w:eastAsia="zh-CN" w:bidi="ar-SA"/>
                          </w:rPr>
                          <m:t>1</m:t>
                        </m:r>
                        <m:ctrlPr>
                          <w:rPr>
                            <w:rFonts w:hint="default" w:ascii="Cambria Math" w:hAnsi="Cambria Math" w:cs="Times New Roman"/>
                            <w:b w:val="0"/>
                            <w:bCs w:val="0"/>
                            <w:snapToGrid w:val="0"/>
                            <w:color w:val="auto"/>
                            <w:kern w:val="2"/>
                            <w:sz w:val="24"/>
                            <w:szCs w:val="24"/>
                            <w:vertAlign w:val="baseline"/>
                            <w:lang w:val="en-US" w:eastAsia="zh-CN" w:bidi="ar-SA"/>
                          </w:rPr>
                        </m:ctrlPr>
                      </m:sub>
                    </m:sSub>
                    <m:ctrlPr>
                      <w:rPr>
                        <w:rFonts w:hint="default" w:ascii="Cambria Math" w:hAnsi="Cambria Math" w:cs="Times New Roman"/>
                        <w:b w:val="0"/>
                        <w:bCs w:val="0"/>
                        <w:snapToGrid w:val="0"/>
                        <w:color w:val="auto"/>
                        <w:kern w:val="2"/>
                        <w:sz w:val="24"/>
                        <w:szCs w:val="24"/>
                        <w:vertAlign w:val="baseline"/>
                        <w:lang w:val="en-US" w:eastAsia="zh-CN" w:bidi="ar-SA"/>
                      </w:rPr>
                    </m:ctrlPr>
                  </m:den>
                </m:f>
                <m:r>
                  <m:rPr>
                    <m:sty m:val="p"/>
                  </m:rPr>
                  <w:rPr>
                    <w:rFonts w:hint="default" w:ascii="Cambria Math" w:hAnsi="Cambria Math" w:cs="Times New Roman"/>
                    <w:snapToGrid w:val="0"/>
                    <w:color w:val="auto"/>
                    <w:kern w:val="2"/>
                    <w:sz w:val="24"/>
                    <w:szCs w:val="24"/>
                    <w:vertAlign w:val="baseline"/>
                    <w:lang w:val="en-US" w:eastAsia="zh-CN" w:bidi="ar-SA"/>
                  </w:rPr>
                  <m:t>+</m:t>
                </m:r>
                <m:f>
                  <m:fPr>
                    <m:ctrlPr>
                      <w:rPr>
                        <w:rFonts w:hint="default" w:ascii="Cambria Math" w:hAnsi="Cambria Math" w:cs="Times New Roman"/>
                        <w:b w:val="0"/>
                        <w:bCs w:val="0"/>
                        <w:snapToGrid w:val="0"/>
                        <w:color w:val="auto"/>
                        <w:kern w:val="2"/>
                        <w:sz w:val="24"/>
                        <w:szCs w:val="24"/>
                        <w:vertAlign w:val="baseline"/>
                        <w:lang w:val="en-US" w:eastAsia="zh-CN" w:bidi="ar-SA"/>
                      </w:rPr>
                    </m:ctrlPr>
                  </m:fPr>
                  <m:num>
                    <m:sSub>
                      <m:sSubPr>
                        <m:ctrlPr>
                          <w:rPr>
                            <w:rFonts w:hint="default" w:ascii="Cambria Math" w:hAnsi="Cambria Math" w:cs="Times New Roman"/>
                            <w:b w:val="0"/>
                            <w:bCs w:val="0"/>
                            <w:snapToGrid w:val="0"/>
                            <w:color w:val="auto"/>
                            <w:kern w:val="2"/>
                            <w:sz w:val="24"/>
                            <w:szCs w:val="24"/>
                            <w:vertAlign w:val="baseline"/>
                            <w:lang w:val="en-US" w:eastAsia="zh-CN" w:bidi="ar-SA"/>
                          </w:rPr>
                        </m:ctrlPr>
                      </m:sSubPr>
                      <m:e>
                        <m:r>
                          <m:rPr>
                            <m:sty m:val="p"/>
                          </m:rPr>
                          <w:rPr>
                            <w:rFonts w:hint="default" w:ascii="Cambria Math" w:hAnsi="Cambria Math" w:cs="Times New Roman"/>
                            <w:snapToGrid w:val="0"/>
                            <w:color w:val="auto"/>
                            <w:kern w:val="2"/>
                            <w:sz w:val="24"/>
                            <w:szCs w:val="24"/>
                            <w:vertAlign w:val="baseline"/>
                            <w:lang w:val="en-US" w:eastAsia="zh-CN" w:bidi="ar-SA"/>
                          </w:rPr>
                          <m:t>q</m:t>
                        </m:r>
                        <m:ctrlPr>
                          <w:rPr>
                            <w:rFonts w:hint="default" w:ascii="Cambria Math" w:hAnsi="Cambria Math" w:cs="Times New Roman"/>
                            <w:b w:val="0"/>
                            <w:bCs w:val="0"/>
                            <w:snapToGrid w:val="0"/>
                            <w:color w:val="auto"/>
                            <w:kern w:val="2"/>
                            <w:sz w:val="24"/>
                            <w:szCs w:val="24"/>
                            <w:vertAlign w:val="baseline"/>
                            <w:lang w:val="en-US" w:eastAsia="zh-CN" w:bidi="ar-SA"/>
                          </w:rPr>
                        </m:ctrlPr>
                      </m:e>
                      <m:sub>
                        <m:r>
                          <m:rPr>
                            <m:sty m:val="p"/>
                          </m:rPr>
                          <w:rPr>
                            <w:rFonts w:hint="default" w:ascii="Cambria Math" w:hAnsi="Cambria Math" w:cs="Times New Roman"/>
                            <w:snapToGrid w:val="0"/>
                            <w:color w:val="auto"/>
                            <w:kern w:val="2"/>
                            <w:sz w:val="24"/>
                            <w:szCs w:val="24"/>
                            <w:vertAlign w:val="baseline"/>
                            <w:lang w:val="en-US" w:eastAsia="zh-CN" w:bidi="ar-SA"/>
                          </w:rPr>
                          <m:t>2</m:t>
                        </m:r>
                        <m:ctrlPr>
                          <w:rPr>
                            <w:rFonts w:hint="default" w:ascii="Cambria Math" w:hAnsi="Cambria Math" w:cs="Times New Roman"/>
                            <w:b w:val="0"/>
                            <w:bCs w:val="0"/>
                            <w:snapToGrid w:val="0"/>
                            <w:color w:val="auto"/>
                            <w:kern w:val="2"/>
                            <w:sz w:val="24"/>
                            <w:szCs w:val="24"/>
                            <w:vertAlign w:val="baseline"/>
                            <w:lang w:val="en-US" w:eastAsia="zh-CN" w:bidi="ar-SA"/>
                          </w:rPr>
                        </m:ctrlPr>
                      </m:sub>
                    </m:sSub>
                    <m:ctrlPr>
                      <w:rPr>
                        <w:rFonts w:hint="default" w:ascii="Cambria Math" w:hAnsi="Cambria Math" w:cs="Times New Roman"/>
                        <w:b w:val="0"/>
                        <w:bCs w:val="0"/>
                        <w:snapToGrid w:val="0"/>
                        <w:color w:val="auto"/>
                        <w:kern w:val="2"/>
                        <w:sz w:val="24"/>
                        <w:szCs w:val="24"/>
                        <w:vertAlign w:val="baseline"/>
                        <w:lang w:val="en-US" w:eastAsia="zh-CN" w:bidi="ar-SA"/>
                      </w:rPr>
                    </m:ctrlPr>
                  </m:num>
                  <m:den>
                    <m:sSub>
                      <m:sSubPr>
                        <m:ctrlPr>
                          <w:rPr>
                            <w:rFonts w:hint="default" w:ascii="Cambria Math" w:hAnsi="Cambria Math" w:cs="Times New Roman"/>
                            <w:b w:val="0"/>
                            <w:bCs w:val="0"/>
                            <w:snapToGrid w:val="0"/>
                            <w:color w:val="auto"/>
                            <w:kern w:val="2"/>
                            <w:sz w:val="24"/>
                            <w:szCs w:val="24"/>
                            <w:vertAlign w:val="baseline"/>
                            <w:lang w:val="en-US" w:eastAsia="zh-CN" w:bidi="ar-SA"/>
                          </w:rPr>
                        </m:ctrlPr>
                      </m:sSubPr>
                      <m:e>
                        <m:r>
                          <m:rPr>
                            <m:sty m:val="p"/>
                          </m:rPr>
                          <w:rPr>
                            <w:rFonts w:hint="default" w:ascii="Cambria Math" w:hAnsi="Cambria Math" w:cs="Times New Roman"/>
                            <w:snapToGrid w:val="0"/>
                            <w:color w:val="auto"/>
                            <w:kern w:val="2"/>
                            <w:sz w:val="24"/>
                            <w:szCs w:val="24"/>
                            <w:vertAlign w:val="baseline"/>
                            <w:lang w:val="en-US" w:eastAsia="zh-CN" w:bidi="ar-SA"/>
                          </w:rPr>
                          <m:t>Q</m:t>
                        </m:r>
                        <m:ctrlPr>
                          <w:rPr>
                            <w:rFonts w:hint="default" w:ascii="Cambria Math" w:hAnsi="Cambria Math" w:cs="Times New Roman"/>
                            <w:b w:val="0"/>
                            <w:bCs w:val="0"/>
                            <w:snapToGrid w:val="0"/>
                            <w:color w:val="auto"/>
                            <w:kern w:val="2"/>
                            <w:sz w:val="24"/>
                            <w:szCs w:val="24"/>
                            <w:vertAlign w:val="baseline"/>
                            <w:lang w:val="en-US" w:eastAsia="zh-CN" w:bidi="ar-SA"/>
                          </w:rPr>
                        </m:ctrlPr>
                      </m:e>
                      <m:sub>
                        <m:r>
                          <m:rPr>
                            <m:sty m:val="p"/>
                          </m:rPr>
                          <w:rPr>
                            <w:rFonts w:hint="default" w:ascii="Cambria Math" w:hAnsi="Cambria Math" w:cs="Times New Roman"/>
                            <w:snapToGrid w:val="0"/>
                            <w:color w:val="auto"/>
                            <w:kern w:val="2"/>
                            <w:sz w:val="24"/>
                            <w:szCs w:val="24"/>
                            <w:vertAlign w:val="baseline"/>
                            <w:lang w:val="en-US" w:eastAsia="zh-CN" w:bidi="ar-SA"/>
                          </w:rPr>
                          <m:t>2</m:t>
                        </m:r>
                        <m:ctrlPr>
                          <w:rPr>
                            <w:rFonts w:hint="default" w:ascii="Cambria Math" w:hAnsi="Cambria Math" w:cs="Times New Roman"/>
                            <w:b w:val="0"/>
                            <w:bCs w:val="0"/>
                            <w:snapToGrid w:val="0"/>
                            <w:color w:val="auto"/>
                            <w:kern w:val="2"/>
                            <w:sz w:val="24"/>
                            <w:szCs w:val="24"/>
                            <w:vertAlign w:val="baseline"/>
                            <w:lang w:val="en-US" w:eastAsia="zh-CN" w:bidi="ar-SA"/>
                          </w:rPr>
                        </m:ctrlPr>
                      </m:sub>
                    </m:sSub>
                    <m:ctrlPr>
                      <w:rPr>
                        <w:rFonts w:hint="default" w:ascii="Cambria Math" w:hAnsi="Cambria Math" w:cs="Times New Roman"/>
                        <w:b w:val="0"/>
                        <w:bCs w:val="0"/>
                        <w:snapToGrid w:val="0"/>
                        <w:color w:val="auto"/>
                        <w:kern w:val="2"/>
                        <w:sz w:val="24"/>
                        <w:szCs w:val="24"/>
                        <w:vertAlign w:val="baseline"/>
                        <w:lang w:val="en-US" w:eastAsia="zh-CN" w:bidi="ar-SA"/>
                      </w:rPr>
                    </m:ctrlPr>
                  </m:den>
                </m:f>
                <m:r>
                  <m:rPr>
                    <m:sty m:val="p"/>
                  </m:rPr>
                  <w:rPr>
                    <w:rFonts w:hint="default" w:ascii="Cambria Math" w:hAnsi="Cambria Math" w:cs="Times New Roman"/>
                    <w:snapToGrid w:val="0"/>
                    <w:color w:val="auto"/>
                    <w:kern w:val="2"/>
                    <w:sz w:val="24"/>
                    <w:szCs w:val="24"/>
                    <w:vertAlign w:val="baseline"/>
                    <w:lang w:val="en-US" w:eastAsia="zh-CN" w:bidi="ar-SA"/>
                  </w:rPr>
                  <m:t>+⋯+</m:t>
                </m:r>
                <m:f>
                  <m:fPr>
                    <m:ctrlPr>
                      <w:rPr>
                        <w:rFonts w:hint="default" w:ascii="Cambria Math" w:hAnsi="Cambria Math" w:cs="Times New Roman"/>
                        <w:b w:val="0"/>
                        <w:bCs w:val="0"/>
                        <w:snapToGrid w:val="0"/>
                        <w:color w:val="auto"/>
                        <w:kern w:val="2"/>
                        <w:sz w:val="24"/>
                        <w:szCs w:val="24"/>
                        <w:vertAlign w:val="baseline"/>
                        <w:lang w:val="en-US" w:eastAsia="zh-CN" w:bidi="ar-SA"/>
                      </w:rPr>
                    </m:ctrlPr>
                  </m:fPr>
                  <m:num>
                    <m:sSub>
                      <m:sSubPr>
                        <m:ctrlPr>
                          <w:rPr>
                            <w:rFonts w:hint="default" w:ascii="Cambria Math" w:hAnsi="Cambria Math" w:cs="Times New Roman"/>
                            <w:b w:val="0"/>
                            <w:bCs w:val="0"/>
                            <w:snapToGrid w:val="0"/>
                            <w:color w:val="auto"/>
                            <w:kern w:val="2"/>
                            <w:sz w:val="24"/>
                            <w:szCs w:val="24"/>
                            <w:vertAlign w:val="baseline"/>
                            <w:lang w:val="en-US" w:eastAsia="zh-CN" w:bidi="ar-SA"/>
                          </w:rPr>
                        </m:ctrlPr>
                      </m:sSubPr>
                      <m:e>
                        <m:r>
                          <m:rPr>
                            <m:sty m:val="p"/>
                          </m:rPr>
                          <w:rPr>
                            <w:rFonts w:hint="default" w:ascii="Cambria Math" w:hAnsi="Cambria Math" w:cs="Times New Roman"/>
                            <w:snapToGrid w:val="0"/>
                            <w:color w:val="auto"/>
                            <w:kern w:val="2"/>
                            <w:sz w:val="24"/>
                            <w:szCs w:val="24"/>
                            <w:vertAlign w:val="baseline"/>
                            <w:lang w:val="en-US" w:eastAsia="zh-CN" w:bidi="ar-SA"/>
                          </w:rPr>
                          <m:t>q</m:t>
                        </m:r>
                        <m:ctrlPr>
                          <w:rPr>
                            <w:rFonts w:hint="default" w:ascii="Cambria Math" w:hAnsi="Cambria Math" w:cs="Times New Roman"/>
                            <w:b w:val="0"/>
                            <w:bCs w:val="0"/>
                            <w:snapToGrid w:val="0"/>
                            <w:color w:val="auto"/>
                            <w:kern w:val="2"/>
                            <w:sz w:val="24"/>
                            <w:szCs w:val="24"/>
                            <w:vertAlign w:val="baseline"/>
                            <w:lang w:val="en-US" w:eastAsia="zh-CN" w:bidi="ar-SA"/>
                          </w:rPr>
                        </m:ctrlPr>
                      </m:e>
                      <m:sub>
                        <m:r>
                          <m:rPr>
                            <m:sty m:val="p"/>
                          </m:rPr>
                          <w:rPr>
                            <w:rFonts w:hint="default" w:ascii="Cambria Math" w:hAnsi="Cambria Math" w:cs="Times New Roman"/>
                            <w:snapToGrid w:val="0"/>
                            <w:color w:val="auto"/>
                            <w:kern w:val="2"/>
                            <w:sz w:val="24"/>
                            <w:szCs w:val="24"/>
                            <w:vertAlign w:val="baseline"/>
                            <w:lang w:val="en-US" w:eastAsia="zh-CN" w:bidi="ar-SA"/>
                          </w:rPr>
                          <m:t>n</m:t>
                        </m:r>
                        <m:ctrlPr>
                          <w:rPr>
                            <w:rFonts w:hint="default" w:ascii="Cambria Math" w:hAnsi="Cambria Math" w:cs="Times New Roman"/>
                            <w:b w:val="0"/>
                            <w:bCs w:val="0"/>
                            <w:snapToGrid w:val="0"/>
                            <w:color w:val="auto"/>
                            <w:kern w:val="2"/>
                            <w:sz w:val="24"/>
                            <w:szCs w:val="24"/>
                            <w:vertAlign w:val="baseline"/>
                            <w:lang w:val="en-US" w:eastAsia="zh-CN" w:bidi="ar-SA"/>
                          </w:rPr>
                        </m:ctrlPr>
                      </m:sub>
                    </m:sSub>
                    <m:ctrlPr>
                      <w:rPr>
                        <w:rFonts w:hint="default" w:ascii="Cambria Math" w:hAnsi="Cambria Math" w:cs="Times New Roman"/>
                        <w:b w:val="0"/>
                        <w:bCs w:val="0"/>
                        <w:snapToGrid w:val="0"/>
                        <w:color w:val="auto"/>
                        <w:kern w:val="2"/>
                        <w:sz w:val="24"/>
                        <w:szCs w:val="24"/>
                        <w:vertAlign w:val="baseline"/>
                        <w:lang w:val="en-US" w:eastAsia="zh-CN" w:bidi="ar-SA"/>
                      </w:rPr>
                    </m:ctrlPr>
                  </m:num>
                  <m:den>
                    <m:sSub>
                      <m:sSubPr>
                        <m:ctrlPr>
                          <w:rPr>
                            <w:rFonts w:hint="default" w:ascii="Cambria Math" w:hAnsi="Cambria Math" w:cs="Times New Roman"/>
                            <w:b w:val="0"/>
                            <w:bCs w:val="0"/>
                            <w:snapToGrid w:val="0"/>
                            <w:color w:val="auto"/>
                            <w:kern w:val="2"/>
                            <w:sz w:val="24"/>
                            <w:szCs w:val="24"/>
                            <w:vertAlign w:val="baseline"/>
                            <w:lang w:val="en-US" w:eastAsia="zh-CN" w:bidi="ar-SA"/>
                          </w:rPr>
                        </m:ctrlPr>
                      </m:sSubPr>
                      <m:e>
                        <m:r>
                          <m:rPr>
                            <m:sty m:val="p"/>
                          </m:rPr>
                          <w:rPr>
                            <w:rFonts w:hint="default" w:ascii="Cambria Math" w:hAnsi="Cambria Math" w:cs="Times New Roman"/>
                            <w:snapToGrid w:val="0"/>
                            <w:color w:val="auto"/>
                            <w:kern w:val="2"/>
                            <w:sz w:val="24"/>
                            <w:szCs w:val="24"/>
                            <w:vertAlign w:val="baseline"/>
                            <w:lang w:val="en-US" w:eastAsia="zh-CN" w:bidi="ar-SA"/>
                          </w:rPr>
                          <m:t>Q</m:t>
                        </m:r>
                        <m:ctrlPr>
                          <w:rPr>
                            <w:rFonts w:hint="default" w:ascii="Cambria Math" w:hAnsi="Cambria Math" w:cs="Times New Roman"/>
                            <w:b w:val="0"/>
                            <w:bCs w:val="0"/>
                            <w:snapToGrid w:val="0"/>
                            <w:color w:val="auto"/>
                            <w:kern w:val="2"/>
                            <w:sz w:val="24"/>
                            <w:szCs w:val="24"/>
                            <w:vertAlign w:val="baseline"/>
                            <w:lang w:val="en-US" w:eastAsia="zh-CN" w:bidi="ar-SA"/>
                          </w:rPr>
                        </m:ctrlPr>
                      </m:e>
                      <m:sub>
                        <m:r>
                          <m:rPr>
                            <m:sty m:val="p"/>
                          </m:rPr>
                          <w:rPr>
                            <w:rFonts w:hint="default" w:ascii="Cambria Math" w:hAnsi="Cambria Math" w:cs="Times New Roman"/>
                            <w:snapToGrid w:val="0"/>
                            <w:color w:val="auto"/>
                            <w:kern w:val="2"/>
                            <w:sz w:val="24"/>
                            <w:szCs w:val="24"/>
                            <w:vertAlign w:val="baseline"/>
                            <w:lang w:val="en-US" w:eastAsia="zh-CN" w:bidi="ar-SA"/>
                          </w:rPr>
                          <m:t>n</m:t>
                        </m:r>
                        <m:ctrlPr>
                          <w:rPr>
                            <w:rFonts w:hint="default" w:ascii="Cambria Math" w:hAnsi="Cambria Math" w:cs="Times New Roman"/>
                            <w:b w:val="0"/>
                            <w:bCs w:val="0"/>
                            <w:snapToGrid w:val="0"/>
                            <w:color w:val="auto"/>
                            <w:kern w:val="2"/>
                            <w:sz w:val="24"/>
                            <w:szCs w:val="24"/>
                            <w:vertAlign w:val="baseline"/>
                            <w:lang w:val="en-US" w:eastAsia="zh-CN" w:bidi="ar-SA"/>
                          </w:rPr>
                        </m:ctrlPr>
                      </m:sub>
                    </m:sSub>
                    <m:ctrlPr>
                      <w:rPr>
                        <w:rFonts w:hint="default" w:ascii="Cambria Math" w:hAnsi="Cambria Math" w:cs="Times New Roman"/>
                        <w:b w:val="0"/>
                        <w:bCs w:val="0"/>
                        <w:snapToGrid w:val="0"/>
                        <w:color w:val="auto"/>
                        <w:kern w:val="2"/>
                        <w:sz w:val="24"/>
                        <w:szCs w:val="24"/>
                        <w:vertAlign w:val="baseline"/>
                        <w:lang w:val="en-US" w:eastAsia="zh-CN" w:bidi="ar-SA"/>
                      </w:rPr>
                    </m:ctrlPr>
                  </m:den>
                </m:f>
              </m:oMath>
            </m:oMathPara>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snapToGrid w:val="0"/>
                <w:color w:val="auto"/>
                <w:sz w:val="24"/>
                <w:szCs w:val="24"/>
                <w:vertAlign w:val="baseline"/>
                <w:lang w:val="en-US" w:eastAsia="zh-CN"/>
              </w:rPr>
            </w:pPr>
            <w:r>
              <w:rPr>
                <w:rFonts w:hint="default" w:ascii="Times New Roman" w:hAnsi="Times New Roman" w:cs="Times New Roman"/>
                <w:b w:val="0"/>
                <w:bCs w:val="0"/>
                <w:snapToGrid w:val="0"/>
                <w:color w:val="auto"/>
                <w:sz w:val="24"/>
                <w:szCs w:val="24"/>
                <w:vertAlign w:val="baseline"/>
                <w:lang w:val="en-US" w:eastAsia="zh-CN"/>
              </w:rPr>
              <w:t>式中：q</w:t>
            </w:r>
            <w:r>
              <w:rPr>
                <w:rFonts w:hint="default" w:ascii="Times New Roman" w:hAnsi="Times New Roman" w:cs="Times New Roman"/>
                <w:b w:val="0"/>
                <w:bCs w:val="0"/>
                <w:snapToGrid w:val="0"/>
                <w:color w:val="auto"/>
                <w:sz w:val="24"/>
                <w:szCs w:val="24"/>
                <w:vertAlign w:val="subscript"/>
                <w:lang w:val="en-US" w:eastAsia="zh-CN"/>
              </w:rPr>
              <w:t>1</w:t>
            </w:r>
            <w:r>
              <w:rPr>
                <w:rFonts w:hint="default" w:ascii="Times New Roman" w:hAnsi="Times New Roman" w:cs="Times New Roman"/>
                <w:b w:val="0"/>
                <w:bCs w:val="0"/>
                <w:snapToGrid w:val="0"/>
                <w:color w:val="auto"/>
                <w:sz w:val="24"/>
                <w:szCs w:val="24"/>
                <w:vertAlign w:val="baseline"/>
                <w:lang w:val="en-US" w:eastAsia="zh-CN"/>
              </w:rPr>
              <w:t>，q</w:t>
            </w:r>
            <w:r>
              <w:rPr>
                <w:rFonts w:hint="default" w:ascii="Times New Roman" w:hAnsi="Times New Roman" w:cs="Times New Roman"/>
                <w:b w:val="0"/>
                <w:bCs w:val="0"/>
                <w:snapToGrid w:val="0"/>
                <w:color w:val="auto"/>
                <w:sz w:val="24"/>
                <w:szCs w:val="24"/>
                <w:vertAlign w:val="subscript"/>
                <w:lang w:val="en-US" w:eastAsia="zh-CN"/>
              </w:rPr>
              <w:t>2</w:t>
            </w:r>
            <w:r>
              <w:rPr>
                <w:rFonts w:hint="default" w:ascii="Times New Roman" w:hAnsi="Times New Roman" w:cs="Times New Roman"/>
                <w:b w:val="0"/>
                <w:bCs w:val="0"/>
                <w:snapToGrid w:val="0"/>
                <w:color w:val="auto"/>
                <w:sz w:val="24"/>
                <w:szCs w:val="24"/>
                <w:vertAlign w:val="baseline"/>
                <w:lang w:val="en-US" w:eastAsia="zh-CN"/>
              </w:rPr>
              <w:t>，</w:t>
            </w:r>
            <m:oMath>
              <m:r>
                <m:rPr>
                  <m:sty m:val="p"/>
                </m:rPr>
                <w:rPr>
                  <w:rFonts w:hint="default" w:ascii="Cambria Math" w:hAnsi="Cambria Math" w:cs="Times New Roman"/>
                  <w:snapToGrid w:val="0"/>
                  <w:color w:val="auto"/>
                  <w:sz w:val="24"/>
                  <w:szCs w:val="24"/>
                  <w:vertAlign w:val="baseline"/>
                  <w:lang w:val="en-US" w:eastAsia="zh-CN"/>
                </w:rPr>
                <m:t>⋯</m:t>
              </m:r>
            </m:oMath>
            <w:r>
              <w:rPr>
                <w:rFonts w:hint="default" w:ascii="Times New Roman" w:hAnsi="Times New Roman" w:cs="Times New Roman"/>
                <w:b w:val="0"/>
                <w:bCs w:val="0"/>
                <w:snapToGrid w:val="0"/>
                <w:color w:val="auto"/>
                <w:sz w:val="24"/>
                <w:szCs w:val="24"/>
                <w:vertAlign w:val="baseline"/>
                <w:lang w:val="en-US" w:eastAsia="zh-CN"/>
              </w:rPr>
              <w:t>，q</w:t>
            </w:r>
            <w:r>
              <w:rPr>
                <w:rFonts w:hint="default" w:ascii="Times New Roman" w:hAnsi="Times New Roman" w:cs="Times New Roman"/>
                <w:b w:val="0"/>
                <w:bCs w:val="0"/>
                <w:snapToGrid w:val="0"/>
                <w:color w:val="auto"/>
                <w:sz w:val="24"/>
                <w:szCs w:val="24"/>
                <w:vertAlign w:val="subscript"/>
                <w:lang w:val="en-US" w:eastAsia="zh-CN"/>
              </w:rPr>
              <w:t>n</w:t>
            </w:r>
            <w:r>
              <w:rPr>
                <w:rFonts w:hint="default" w:ascii="Times New Roman" w:hAnsi="Times New Roman" w:cs="Times New Roman"/>
                <w:b w:val="0"/>
                <w:bCs w:val="0"/>
                <w:snapToGrid w:val="0"/>
                <w:color w:val="auto"/>
                <w:sz w:val="24"/>
                <w:szCs w:val="24"/>
                <w:vertAlign w:val="baseline"/>
                <w:lang w:val="en-US" w:eastAsia="zh-CN"/>
              </w:rPr>
              <w:t>——每种危险物质的最大存在量，t；</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1200" w:firstLineChars="500"/>
              <w:textAlignment w:val="auto"/>
              <w:rPr>
                <w:rFonts w:hint="default" w:ascii="Times New Roman" w:hAnsi="Times New Roman" w:cs="Times New Roman"/>
                <w:b w:val="0"/>
                <w:bCs w:val="0"/>
                <w:snapToGrid w:val="0"/>
                <w:color w:val="auto"/>
                <w:sz w:val="24"/>
                <w:szCs w:val="24"/>
                <w:vertAlign w:val="baseline"/>
                <w:lang w:val="en-US" w:eastAsia="zh-CN"/>
              </w:rPr>
            </w:pPr>
            <w:r>
              <w:rPr>
                <w:rFonts w:hint="default" w:ascii="Times New Roman" w:hAnsi="Times New Roman" w:cs="Times New Roman"/>
                <w:b w:val="0"/>
                <w:bCs w:val="0"/>
                <w:snapToGrid w:val="0"/>
                <w:color w:val="auto"/>
                <w:sz w:val="24"/>
                <w:szCs w:val="24"/>
                <w:vertAlign w:val="baseline"/>
                <w:lang w:val="en-US" w:eastAsia="zh-CN"/>
              </w:rPr>
              <w:t>Q</w:t>
            </w:r>
            <w:r>
              <w:rPr>
                <w:rFonts w:hint="default" w:ascii="Times New Roman" w:hAnsi="Times New Roman" w:cs="Times New Roman"/>
                <w:b w:val="0"/>
                <w:bCs w:val="0"/>
                <w:snapToGrid w:val="0"/>
                <w:color w:val="auto"/>
                <w:sz w:val="24"/>
                <w:szCs w:val="24"/>
                <w:vertAlign w:val="subscript"/>
                <w:lang w:val="en-US" w:eastAsia="zh-CN"/>
              </w:rPr>
              <w:t>1</w:t>
            </w:r>
            <w:r>
              <w:rPr>
                <w:rFonts w:hint="default" w:ascii="Times New Roman" w:hAnsi="Times New Roman" w:cs="Times New Roman"/>
                <w:b w:val="0"/>
                <w:bCs w:val="0"/>
                <w:snapToGrid w:val="0"/>
                <w:color w:val="auto"/>
                <w:sz w:val="24"/>
                <w:szCs w:val="24"/>
                <w:vertAlign w:val="baseline"/>
                <w:lang w:val="en-US" w:eastAsia="zh-CN"/>
              </w:rPr>
              <w:t>，Q</w:t>
            </w:r>
            <w:r>
              <w:rPr>
                <w:rFonts w:hint="default" w:ascii="Times New Roman" w:hAnsi="Times New Roman" w:cs="Times New Roman"/>
                <w:b w:val="0"/>
                <w:bCs w:val="0"/>
                <w:snapToGrid w:val="0"/>
                <w:color w:val="auto"/>
                <w:sz w:val="24"/>
                <w:szCs w:val="24"/>
                <w:vertAlign w:val="subscript"/>
                <w:lang w:val="en-US" w:eastAsia="zh-CN"/>
              </w:rPr>
              <w:t>2</w:t>
            </w:r>
            <w:r>
              <w:rPr>
                <w:rFonts w:hint="default" w:ascii="Times New Roman" w:hAnsi="Times New Roman" w:cs="Times New Roman"/>
                <w:b w:val="0"/>
                <w:bCs w:val="0"/>
                <w:snapToGrid w:val="0"/>
                <w:color w:val="auto"/>
                <w:sz w:val="24"/>
                <w:szCs w:val="24"/>
                <w:vertAlign w:val="baseline"/>
                <w:lang w:val="en-US" w:eastAsia="zh-CN"/>
              </w:rPr>
              <w:t>，</w:t>
            </w:r>
            <m:oMath>
              <m:r>
                <m:rPr>
                  <m:sty m:val="p"/>
                </m:rPr>
                <w:rPr>
                  <w:rFonts w:hint="default" w:ascii="Cambria Math" w:hAnsi="Cambria Math" w:cs="Times New Roman"/>
                  <w:snapToGrid w:val="0"/>
                  <w:color w:val="auto"/>
                  <w:sz w:val="24"/>
                  <w:szCs w:val="24"/>
                  <w:vertAlign w:val="baseline"/>
                  <w:lang w:val="en-US" w:eastAsia="zh-CN"/>
                </w:rPr>
                <m:t>⋯</m:t>
              </m:r>
            </m:oMath>
            <w:r>
              <w:rPr>
                <w:rFonts w:hint="default" w:ascii="Times New Roman" w:hAnsi="Times New Roman" w:cs="Times New Roman"/>
                <w:b w:val="0"/>
                <w:bCs w:val="0"/>
                <w:snapToGrid w:val="0"/>
                <w:color w:val="auto"/>
                <w:sz w:val="24"/>
                <w:szCs w:val="24"/>
                <w:vertAlign w:val="baseline"/>
                <w:lang w:val="en-US" w:eastAsia="zh-CN"/>
              </w:rPr>
              <w:t>，Q</w:t>
            </w:r>
            <w:r>
              <w:rPr>
                <w:rFonts w:hint="default" w:ascii="Times New Roman" w:hAnsi="Times New Roman" w:cs="Times New Roman"/>
                <w:b w:val="0"/>
                <w:bCs w:val="0"/>
                <w:snapToGrid w:val="0"/>
                <w:color w:val="auto"/>
                <w:sz w:val="24"/>
                <w:szCs w:val="24"/>
                <w:vertAlign w:val="subscript"/>
                <w:lang w:val="en-US" w:eastAsia="zh-CN"/>
              </w:rPr>
              <w:t>n</w:t>
            </w:r>
            <w:r>
              <w:rPr>
                <w:rFonts w:hint="default" w:ascii="Times New Roman" w:hAnsi="Times New Roman" w:cs="Times New Roman"/>
                <w:b w:val="0"/>
                <w:bCs w:val="0"/>
                <w:snapToGrid w:val="0"/>
                <w:color w:val="auto"/>
                <w:sz w:val="24"/>
                <w:szCs w:val="24"/>
                <w:vertAlign w:val="baseline"/>
                <w:lang w:val="en-US" w:eastAsia="zh-CN"/>
              </w:rPr>
              <w:t>——每种危险物质的临界量，t。</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snapToGrid w:val="0"/>
                <w:color w:val="auto"/>
                <w:sz w:val="24"/>
                <w:szCs w:val="24"/>
                <w:vertAlign w:val="baseline"/>
                <w:lang w:val="en-US" w:eastAsia="zh-CN"/>
              </w:rPr>
            </w:pPr>
            <w:r>
              <w:rPr>
                <w:rFonts w:hint="default" w:ascii="Times New Roman" w:hAnsi="Times New Roman" w:cs="Times New Roman"/>
                <w:b w:val="0"/>
                <w:bCs w:val="0"/>
                <w:snapToGrid w:val="0"/>
                <w:color w:val="auto"/>
                <w:sz w:val="24"/>
                <w:szCs w:val="24"/>
                <w:vertAlign w:val="baseline"/>
                <w:lang w:val="en-US" w:eastAsia="zh-CN"/>
              </w:rPr>
              <w:t>当Q</w:t>
            </w:r>
            <m:oMath>
              <m:r>
                <m:rPr>
                  <m:sty m:val="p"/>
                </m:rPr>
                <w:rPr>
                  <w:rFonts w:hint="default" w:ascii="Cambria Math" w:hAnsi="Cambria Math" w:cs="Times New Roman"/>
                  <w:snapToGrid w:val="0"/>
                  <w:color w:val="auto"/>
                  <w:sz w:val="24"/>
                  <w:szCs w:val="24"/>
                  <w:vertAlign w:val="baseline"/>
                  <w:lang w:val="en-US"/>
                </w:rPr>
                <m:t>&lt;</m:t>
              </m:r>
            </m:oMath>
            <w:r>
              <w:rPr>
                <w:rFonts w:hint="default" w:ascii="Times New Roman" w:hAnsi="Times New Roman" w:cs="Times New Roman"/>
                <w:b w:val="0"/>
                <w:bCs w:val="0"/>
                <w:snapToGrid w:val="0"/>
                <w:color w:val="auto"/>
                <w:sz w:val="24"/>
                <w:szCs w:val="24"/>
                <w:vertAlign w:val="baseline"/>
                <w:lang w:val="en-US" w:eastAsia="zh-CN"/>
              </w:rPr>
              <w:t>1时，该项目环境风险潜势为I。</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snapToGrid w:val="0"/>
                <w:color w:val="auto"/>
                <w:sz w:val="24"/>
                <w:szCs w:val="24"/>
                <w:vertAlign w:val="baseline"/>
                <w:lang w:val="en-US" w:eastAsia="zh-CN"/>
              </w:rPr>
            </w:pPr>
            <w:r>
              <w:rPr>
                <w:rFonts w:hint="default" w:ascii="Times New Roman" w:hAnsi="Times New Roman" w:cs="Times New Roman"/>
                <w:b w:val="0"/>
                <w:bCs w:val="0"/>
                <w:snapToGrid w:val="0"/>
                <w:color w:val="auto"/>
                <w:sz w:val="24"/>
                <w:szCs w:val="24"/>
                <w:vertAlign w:val="baseline"/>
                <w:lang w:val="en-US" w:eastAsia="zh-CN"/>
              </w:rPr>
              <w:t>当Q</w:t>
            </w:r>
            <m:oMath>
              <m:r>
                <m:rPr>
                  <m:sty m:val="p"/>
                </m:rPr>
                <w:rPr>
                  <w:rFonts w:hint="default" w:ascii="Cambria Math" w:hAnsi="Cambria Math" w:cs="Times New Roman"/>
                  <w:snapToGrid w:val="0"/>
                  <w:color w:val="auto"/>
                  <w:sz w:val="24"/>
                  <w:szCs w:val="24"/>
                  <w:vertAlign w:val="baseline"/>
                  <w:lang w:val="en-US"/>
                </w:rPr>
                <m:t>≥</m:t>
              </m:r>
            </m:oMath>
            <w:r>
              <w:rPr>
                <w:rFonts w:hint="default" w:ascii="Times New Roman" w:hAnsi="Times New Roman" w:cs="Times New Roman"/>
                <w:b w:val="0"/>
                <w:bCs w:val="0"/>
                <w:snapToGrid w:val="0"/>
                <w:color w:val="auto"/>
                <w:sz w:val="24"/>
                <w:szCs w:val="24"/>
                <w:vertAlign w:val="baseline"/>
                <w:lang w:val="en-US" w:eastAsia="zh-CN"/>
              </w:rPr>
              <w:t>1时，将Q值划分为：1</w:t>
            </w:r>
            <m:oMath>
              <m:r>
                <m:rPr>
                  <m:sty m:val="p"/>
                </m:rPr>
                <w:rPr>
                  <w:rFonts w:hint="default" w:ascii="Cambria Math" w:hAnsi="Cambria Math" w:cs="Times New Roman"/>
                  <w:snapToGrid w:val="0"/>
                  <w:color w:val="auto"/>
                  <w:sz w:val="24"/>
                  <w:szCs w:val="24"/>
                  <w:vertAlign w:val="baseline"/>
                  <w:lang w:val="en-US"/>
                </w:rPr>
                <m:t>≤</m:t>
              </m:r>
            </m:oMath>
            <w:r>
              <w:rPr>
                <w:rFonts w:hint="default" w:ascii="Times New Roman" w:hAnsi="Times New Roman" w:cs="Times New Roman"/>
                <w:b w:val="0"/>
                <w:bCs w:val="0"/>
                <w:snapToGrid w:val="0"/>
                <w:color w:val="auto"/>
                <w:sz w:val="24"/>
                <w:szCs w:val="24"/>
                <w:vertAlign w:val="baseline"/>
                <w:lang w:val="en-US" w:eastAsia="zh-CN"/>
              </w:rPr>
              <w:t>Q</w:t>
            </w:r>
            <m:oMath>
              <m:r>
                <m:rPr>
                  <m:sty m:val="p"/>
                </m:rPr>
                <w:rPr>
                  <w:rFonts w:hint="default" w:ascii="Cambria Math" w:hAnsi="Cambria Math" w:cs="Times New Roman"/>
                  <w:snapToGrid w:val="0"/>
                  <w:color w:val="auto"/>
                  <w:sz w:val="24"/>
                  <w:szCs w:val="24"/>
                  <w:vertAlign w:val="baseline"/>
                  <w:lang w:val="en-US"/>
                </w:rPr>
                <m:t>&lt;</m:t>
              </m:r>
            </m:oMath>
            <w:r>
              <w:rPr>
                <w:rFonts w:hint="default" w:ascii="Times New Roman" w:hAnsi="Times New Roman" w:cs="Times New Roman"/>
                <w:b w:val="0"/>
                <w:bCs w:val="0"/>
                <w:snapToGrid w:val="0"/>
                <w:color w:val="auto"/>
                <w:sz w:val="24"/>
                <w:szCs w:val="24"/>
                <w:vertAlign w:val="baseline"/>
                <w:lang w:val="en-US" w:eastAsia="zh-CN"/>
              </w:rPr>
              <w:t>10；10</w:t>
            </w:r>
            <m:oMath>
              <m:r>
                <m:rPr>
                  <m:sty m:val="p"/>
                </m:rPr>
                <w:rPr>
                  <w:rFonts w:hint="default" w:ascii="Cambria Math" w:hAnsi="Cambria Math" w:cs="Times New Roman"/>
                  <w:snapToGrid w:val="0"/>
                  <w:color w:val="auto"/>
                  <w:sz w:val="24"/>
                  <w:szCs w:val="24"/>
                  <w:vertAlign w:val="baseline"/>
                  <w:lang w:val="en-US"/>
                </w:rPr>
                <m:t>≤</m:t>
              </m:r>
            </m:oMath>
            <w:r>
              <w:rPr>
                <w:rFonts w:hint="default" w:ascii="Times New Roman" w:hAnsi="Times New Roman" w:cs="Times New Roman"/>
                <w:b w:val="0"/>
                <w:bCs w:val="0"/>
                <w:snapToGrid w:val="0"/>
                <w:color w:val="auto"/>
                <w:sz w:val="24"/>
                <w:szCs w:val="24"/>
                <w:vertAlign w:val="baseline"/>
                <w:lang w:val="en-US" w:eastAsia="zh-CN"/>
              </w:rPr>
              <w:t>Q</w:t>
            </w:r>
            <m:oMath>
              <m:r>
                <m:rPr>
                  <m:sty m:val="p"/>
                </m:rPr>
                <w:rPr>
                  <w:rFonts w:hint="default" w:ascii="Cambria Math" w:hAnsi="Cambria Math" w:cs="Times New Roman"/>
                  <w:snapToGrid w:val="0"/>
                  <w:color w:val="auto"/>
                  <w:sz w:val="24"/>
                  <w:szCs w:val="24"/>
                  <w:vertAlign w:val="baseline"/>
                  <w:lang w:val="en-US"/>
                </w:rPr>
                <m:t>&lt;</m:t>
              </m:r>
            </m:oMath>
            <w:r>
              <w:rPr>
                <w:rFonts w:hint="default" w:ascii="Times New Roman" w:hAnsi="Times New Roman" w:cs="Times New Roman"/>
                <w:b w:val="0"/>
                <w:bCs w:val="0"/>
                <w:snapToGrid w:val="0"/>
                <w:color w:val="auto"/>
                <w:sz w:val="24"/>
                <w:szCs w:val="24"/>
                <w:vertAlign w:val="baseline"/>
                <w:lang w:val="en-US" w:eastAsia="zh-CN"/>
              </w:rPr>
              <w:t>100；Q</w:t>
            </w:r>
            <m:oMath>
              <m:r>
                <m:rPr>
                  <m:sty m:val="p"/>
                </m:rPr>
                <w:rPr>
                  <w:rFonts w:hint="default" w:ascii="Cambria Math" w:hAnsi="Cambria Math" w:cs="Times New Roman"/>
                  <w:snapToGrid w:val="0"/>
                  <w:color w:val="auto"/>
                  <w:sz w:val="24"/>
                  <w:szCs w:val="24"/>
                  <w:vertAlign w:val="baseline"/>
                  <w:lang w:val="en-US"/>
                </w:rPr>
                <m:t>≥</m:t>
              </m:r>
            </m:oMath>
            <w:r>
              <w:rPr>
                <w:rFonts w:hint="default" w:ascii="Times New Roman" w:hAnsi="Times New Roman" w:cs="Times New Roman"/>
                <w:b w:val="0"/>
                <w:bCs w:val="0"/>
                <w:snapToGrid w:val="0"/>
                <w:color w:val="auto"/>
                <w:sz w:val="24"/>
                <w:szCs w:val="24"/>
                <w:vertAlign w:val="baseline"/>
                <w:lang w:val="en-US" w:eastAsia="zh-CN"/>
              </w:rPr>
              <w:t>100。</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snapToGrid w:val="0"/>
                <w:color w:val="auto"/>
                <w:sz w:val="24"/>
                <w:szCs w:val="24"/>
                <w:vertAlign w:val="baseline"/>
                <w:lang w:val="en-US" w:eastAsia="zh-CN"/>
              </w:rPr>
            </w:pPr>
            <w:r>
              <w:rPr>
                <w:rFonts w:hint="default" w:ascii="Times New Roman" w:hAnsi="Times New Roman" w:cs="Times New Roman"/>
                <w:b w:val="0"/>
                <w:bCs w:val="0"/>
                <w:snapToGrid w:val="0"/>
                <w:color w:val="auto"/>
                <w:sz w:val="24"/>
                <w:szCs w:val="24"/>
                <w:vertAlign w:val="baseline"/>
                <w:lang w:val="en-US" w:eastAsia="zh-CN"/>
              </w:rPr>
              <w:t>注：当Q</w:t>
            </w:r>
            <m:oMath>
              <m:r>
                <m:rPr>
                  <m:sty m:val="p"/>
                </m:rPr>
                <w:rPr>
                  <w:rFonts w:hint="default" w:ascii="Cambria Math" w:hAnsi="Cambria Math" w:cs="Times New Roman"/>
                  <w:snapToGrid w:val="0"/>
                  <w:color w:val="auto"/>
                  <w:sz w:val="24"/>
                  <w:szCs w:val="24"/>
                  <w:vertAlign w:val="baseline"/>
                  <w:lang w:val="en-US"/>
                </w:rPr>
                <m:t>&lt;</m:t>
              </m:r>
            </m:oMath>
            <w:r>
              <w:rPr>
                <w:rFonts w:hint="default" w:ascii="Times New Roman" w:hAnsi="Times New Roman" w:cs="Times New Roman"/>
                <w:b w:val="0"/>
                <w:bCs w:val="0"/>
                <w:snapToGrid w:val="0"/>
                <w:color w:val="auto"/>
                <w:sz w:val="24"/>
                <w:szCs w:val="24"/>
                <w:vertAlign w:val="baseline"/>
                <w:lang w:val="en-US" w:eastAsia="zh-CN"/>
              </w:rPr>
              <w:t>1，该项目环境风险潜势为Ⅰ。</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snapToGrid w:val="0"/>
                <w:color w:val="auto"/>
                <w:sz w:val="24"/>
                <w:szCs w:val="24"/>
                <w:vertAlign w:val="baseline"/>
                <w:lang w:val="en-US" w:eastAsia="zh-CN"/>
              </w:rPr>
            </w:pPr>
            <w:r>
              <w:rPr>
                <w:rFonts w:hint="default" w:ascii="Times New Roman" w:hAnsi="Times New Roman" w:cs="Times New Roman"/>
                <w:b w:val="0"/>
                <w:bCs w:val="0"/>
                <w:snapToGrid w:val="0"/>
                <w:color w:val="auto"/>
                <w:sz w:val="24"/>
                <w:szCs w:val="24"/>
                <w:vertAlign w:val="baseline"/>
                <w:lang w:val="en-US" w:eastAsia="zh-CN"/>
              </w:rPr>
              <w:t>项目区主要危险物质为机油，其相关参数入下表：</w:t>
            </w:r>
          </w:p>
          <w:p>
            <w:pPr>
              <w:pStyle w:val="9"/>
              <w:keepNext w:val="0"/>
              <w:keepLines w:val="0"/>
              <w:suppressLineNumbers w:val="0"/>
              <w:spacing w:before="0" w:beforeAutospacing="0" w:after="0" w:afterAutospacing="0"/>
              <w:ind w:right="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w:t>
            </w:r>
            <w:r>
              <w:rPr>
                <w:rFonts w:hint="eastAsia" w:cs="Times New Roman"/>
                <w:b/>
                <w:bCs/>
                <w:color w:val="auto"/>
                <w:sz w:val="24"/>
                <w:szCs w:val="24"/>
                <w:lang w:val="en-US" w:eastAsia="zh-CN"/>
              </w:rPr>
              <w:t>15</w:t>
            </w:r>
            <w:r>
              <w:rPr>
                <w:rFonts w:hint="default" w:ascii="Times New Roman" w:hAnsi="Times New Roman" w:cs="Times New Roman"/>
                <w:b/>
                <w:bCs/>
                <w:color w:val="auto"/>
                <w:sz w:val="24"/>
                <w:szCs w:val="24"/>
                <w:lang w:val="en-US" w:eastAsia="zh-CN"/>
              </w:rPr>
              <w:t>项目Q值确定表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365"/>
              <w:gridCol w:w="843"/>
              <w:gridCol w:w="788"/>
              <w:gridCol w:w="1258"/>
              <w:gridCol w:w="1570"/>
              <w:gridCol w:w="1056"/>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sz w:val="21"/>
                      <w:szCs w:val="24"/>
                      <w:vertAlign w:val="baseline"/>
                      <w:lang w:val="en-US" w:eastAsia="zh-CN"/>
                    </w:rPr>
                  </w:pPr>
                  <w:r>
                    <w:rPr>
                      <w:rFonts w:hint="default" w:ascii="Times New Roman" w:hAnsi="Times New Roman" w:eastAsia="宋体" w:cs="Times New Roman"/>
                      <w:b/>
                      <w:bCs/>
                      <w:snapToGrid w:val="0"/>
                      <w:color w:val="auto"/>
                      <w:sz w:val="21"/>
                      <w:szCs w:val="24"/>
                      <w:vertAlign w:val="baseline"/>
                      <w:lang w:val="en-US" w:eastAsia="zh-CN"/>
                    </w:rPr>
                    <w:t>序号</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sz w:val="21"/>
                      <w:szCs w:val="24"/>
                      <w:vertAlign w:val="baseline"/>
                      <w:lang w:val="en-US" w:eastAsia="zh-CN"/>
                    </w:rPr>
                  </w:pPr>
                  <w:r>
                    <w:rPr>
                      <w:rFonts w:hint="default" w:ascii="Times New Roman" w:hAnsi="Times New Roman" w:eastAsia="宋体" w:cs="Times New Roman"/>
                      <w:b/>
                      <w:bCs/>
                      <w:snapToGrid w:val="0"/>
                      <w:color w:val="auto"/>
                      <w:sz w:val="21"/>
                      <w:szCs w:val="24"/>
                      <w:vertAlign w:val="baseline"/>
                      <w:lang w:val="en-US" w:eastAsia="zh-CN"/>
                    </w:rPr>
                    <w:t>危险、有害物质名称</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sz w:val="21"/>
                      <w:szCs w:val="24"/>
                      <w:vertAlign w:val="baseline"/>
                      <w:lang w:val="en-US" w:eastAsia="zh-CN"/>
                    </w:rPr>
                  </w:pPr>
                  <w:r>
                    <w:rPr>
                      <w:rFonts w:hint="default" w:ascii="Times New Roman" w:hAnsi="Times New Roman" w:cs="Times New Roman"/>
                      <w:b/>
                      <w:bCs/>
                      <w:snapToGrid w:val="0"/>
                      <w:color w:val="auto"/>
                      <w:sz w:val="21"/>
                      <w:szCs w:val="24"/>
                      <w:vertAlign w:val="baseline"/>
                      <w:lang w:val="en-US" w:eastAsia="zh-CN"/>
                    </w:rPr>
                    <w:t>危险性类别</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sz w:val="21"/>
                      <w:szCs w:val="24"/>
                      <w:vertAlign w:val="baseline"/>
                      <w:lang w:val="en-US" w:eastAsia="zh-CN"/>
                    </w:rPr>
                  </w:pPr>
                  <w:r>
                    <w:rPr>
                      <w:rFonts w:hint="default" w:ascii="Times New Roman" w:hAnsi="Times New Roman" w:eastAsia="宋体" w:cs="Times New Roman"/>
                      <w:b/>
                      <w:bCs/>
                      <w:snapToGrid w:val="0"/>
                      <w:color w:val="auto"/>
                      <w:sz w:val="21"/>
                      <w:szCs w:val="24"/>
                      <w:vertAlign w:val="baseline"/>
                      <w:lang w:val="en-US" w:eastAsia="zh-CN"/>
                    </w:rPr>
                    <w:t>CAS号</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sz w:val="21"/>
                      <w:szCs w:val="24"/>
                      <w:vertAlign w:val="baseline"/>
                      <w:lang w:val="en-US" w:eastAsia="zh-CN"/>
                    </w:rPr>
                  </w:pPr>
                  <w:r>
                    <w:rPr>
                      <w:rFonts w:hint="default" w:ascii="Times New Roman" w:hAnsi="Times New Roman" w:eastAsia="宋体" w:cs="Times New Roman"/>
                      <w:b/>
                      <w:bCs/>
                      <w:snapToGrid w:val="0"/>
                      <w:color w:val="auto"/>
                      <w:sz w:val="21"/>
                      <w:szCs w:val="24"/>
                      <w:vertAlign w:val="baseline"/>
                      <w:lang w:val="en-US" w:eastAsia="zh-CN"/>
                    </w:rPr>
                    <w:t>是否为环境风险物质</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sz w:val="21"/>
                      <w:szCs w:val="24"/>
                      <w:vertAlign w:val="baseline"/>
                      <w:lang w:val="en-US" w:eastAsia="zh-CN"/>
                    </w:rPr>
                  </w:pPr>
                  <w:r>
                    <w:rPr>
                      <w:rFonts w:hint="default" w:ascii="Times New Roman" w:hAnsi="Times New Roman" w:eastAsia="宋体" w:cs="Times New Roman"/>
                      <w:b/>
                      <w:bCs/>
                      <w:snapToGrid w:val="0"/>
                      <w:color w:val="auto"/>
                      <w:sz w:val="21"/>
                      <w:szCs w:val="24"/>
                      <w:vertAlign w:val="baseline"/>
                      <w:lang w:val="en-US" w:eastAsia="zh-CN"/>
                    </w:rPr>
                    <w:t>本公司最大储存量（t）</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sz w:val="21"/>
                      <w:szCs w:val="24"/>
                      <w:vertAlign w:val="baseline"/>
                      <w:lang w:val="en-US" w:eastAsia="zh-CN"/>
                    </w:rPr>
                  </w:pPr>
                  <w:r>
                    <w:rPr>
                      <w:rFonts w:hint="default" w:ascii="Times New Roman" w:hAnsi="Times New Roman" w:eastAsia="宋体" w:cs="Times New Roman"/>
                      <w:b/>
                      <w:bCs/>
                      <w:snapToGrid w:val="0"/>
                      <w:color w:val="auto"/>
                      <w:sz w:val="21"/>
                      <w:szCs w:val="24"/>
                      <w:vertAlign w:val="baseline"/>
                      <w:lang w:val="en-US" w:eastAsia="zh-CN"/>
                    </w:rPr>
                    <w:t>临界量（t）</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sz w:val="21"/>
                      <w:szCs w:val="24"/>
                      <w:vertAlign w:val="baseline"/>
                      <w:lang w:val="en-US" w:eastAsia="zh-CN"/>
                    </w:rPr>
                  </w:pPr>
                  <w:r>
                    <w:rPr>
                      <w:rFonts w:hint="default" w:ascii="Times New Roman" w:hAnsi="Times New Roman" w:eastAsia="宋体" w:cs="Times New Roman"/>
                      <w:b/>
                      <w:bCs/>
                      <w:snapToGrid w:val="0"/>
                      <w:color w:val="auto"/>
                      <w:sz w:val="21"/>
                      <w:szCs w:val="24"/>
                      <w:vertAlign w:val="baseline"/>
                      <w:lang w:val="en-US" w:eastAsia="zh-CN"/>
                    </w:rPr>
                    <w:t>Q</w:t>
                  </w:r>
                  <w:r>
                    <w:rPr>
                      <w:rFonts w:hint="default" w:ascii="Times New Roman" w:hAnsi="Times New Roman" w:eastAsia="宋体" w:cs="Times New Roman"/>
                      <w:b/>
                      <w:bCs/>
                      <w:snapToGrid w:val="0"/>
                      <w:color w:val="auto"/>
                      <w:sz w:val="21"/>
                      <w:szCs w:val="24"/>
                      <w:vertAlign w:val="subscript"/>
                      <w:lang w:val="en-US" w:eastAsia="zh-CN"/>
                    </w:rPr>
                    <w:t>i</w:t>
                  </w:r>
                  <w:r>
                    <w:rPr>
                      <w:rFonts w:hint="default" w:ascii="Times New Roman" w:hAnsi="Times New Roman" w:eastAsia="宋体" w:cs="Times New Roman"/>
                      <w:b/>
                      <w:bCs/>
                      <w:snapToGrid w:val="0"/>
                      <w:color w:val="auto"/>
                      <w:sz w:val="21"/>
                      <w:szCs w:val="24"/>
                      <w:vertAlign w:val="baseline"/>
                      <w:lang w:val="en-US" w:eastAsia="zh-CN"/>
                    </w:rPr>
                    <w:t>/Q</w:t>
                  </w:r>
                  <w:r>
                    <w:rPr>
                      <w:rFonts w:hint="default" w:ascii="Times New Roman" w:hAnsi="Times New Roman" w:eastAsia="宋体" w:cs="Times New Roman"/>
                      <w:b/>
                      <w:bCs/>
                      <w:snapToGrid w:val="0"/>
                      <w:color w:val="auto"/>
                      <w:sz w:val="21"/>
                      <w:szCs w:val="24"/>
                      <w:vertAlign w:val="subscript"/>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default" w:ascii="Times New Roman" w:hAnsi="Times New Roman" w:eastAsia="宋体" w:cs="Times New Roman"/>
                      <w:b w:val="0"/>
                      <w:bCs w:val="0"/>
                      <w:snapToGrid w:val="0"/>
                      <w:color w:val="auto"/>
                      <w:sz w:val="21"/>
                      <w:szCs w:val="24"/>
                      <w:vertAlign w:val="baseline"/>
                      <w:lang w:val="en-US" w:eastAsia="zh-CN"/>
                    </w:rPr>
                    <w:t>1</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default" w:ascii="Times New Roman" w:hAnsi="Times New Roman" w:eastAsia="宋体" w:cs="Times New Roman"/>
                      <w:b w:val="0"/>
                      <w:bCs w:val="0"/>
                      <w:snapToGrid w:val="0"/>
                      <w:color w:val="auto"/>
                      <w:sz w:val="21"/>
                      <w:szCs w:val="24"/>
                      <w:vertAlign w:val="baseline"/>
                      <w:lang w:val="en-US" w:eastAsia="zh-CN"/>
                    </w:rPr>
                    <w:t>机油</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default" w:ascii="Times New Roman" w:hAnsi="Times New Roman" w:cs="Times New Roman"/>
                      <w:b w:val="0"/>
                      <w:bCs w:val="0"/>
                      <w:snapToGrid w:val="0"/>
                      <w:color w:val="auto"/>
                      <w:sz w:val="21"/>
                      <w:szCs w:val="24"/>
                      <w:vertAlign w:val="baseline"/>
                      <w:lang w:val="en-US" w:eastAsia="zh-CN"/>
                    </w:rPr>
                    <w:t>可燃物质</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default" w:ascii="Times New Roman" w:hAnsi="Times New Roman" w:eastAsia="宋体" w:cs="Times New Roman"/>
                      <w:b w:val="0"/>
                      <w:bCs w:val="0"/>
                      <w:snapToGrid w:val="0"/>
                      <w:color w:val="auto"/>
                      <w:sz w:val="21"/>
                      <w:szCs w:val="24"/>
                      <w:vertAlign w:val="baseline"/>
                      <w:lang w:val="en-US" w:eastAsia="zh-CN"/>
                    </w:rPr>
                    <w:t>/</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default" w:ascii="Times New Roman" w:hAnsi="Times New Roman" w:eastAsia="宋体" w:cs="Times New Roman"/>
                      <w:b w:val="0"/>
                      <w:bCs w:val="0"/>
                      <w:snapToGrid w:val="0"/>
                      <w:color w:val="auto"/>
                      <w:sz w:val="21"/>
                      <w:szCs w:val="24"/>
                      <w:vertAlign w:val="baseline"/>
                      <w:lang w:val="en-US" w:eastAsia="zh-CN"/>
                    </w:rPr>
                    <w:t>是</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default" w:ascii="Times New Roman" w:hAnsi="Times New Roman" w:eastAsia="宋体" w:cs="Times New Roman"/>
                      <w:b w:val="0"/>
                      <w:bCs w:val="0"/>
                      <w:snapToGrid w:val="0"/>
                      <w:color w:val="auto"/>
                      <w:sz w:val="21"/>
                      <w:szCs w:val="24"/>
                      <w:vertAlign w:val="baseline"/>
                      <w:lang w:val="en-US" w:eastAsia="zh-CN"/>
                    </w:rPr>
                    <w:t>0.</w:t>
                  </w:r>
                  <w:r>
                    <w:rPr>
                      <w:rFonts w:hint="default" w:ascii="Times New Roman" w:hAnsi="Times New Roman" w:cs="Times New Roman"/>
                      <w:b w:val="0"/>
                      <w:bCs w:val="0"/>
                      <w:snapToGrid w:val="0"/>
                      <w:color w:val="auto"/>
                      <w:sz w:val="21"/>
                      <w:szCs w:val="24"/>
                      <w:vertAlign w:val="baseline"/>
                      <w:lang w:val="en-US" w:eastAsia="zh-CN"/>
                    </w:rPr>
                    <w:t>5</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default" w:ascii="Times New Roman" w:hAnsi="Times New Roman" w:eastAsia="宋体" w:cs="Times New Roman"/>
                      <w:b w:val="0"/>
                      <w:bCs w:val="0"/>
                      <w:snapToGrid w:val="0"/>
                      <w:color w:val="auto"/>
                      <w:sz w:val="21"/>
                      <w:szCs w:val="24"/>
                      <w:vertAlign w:val="baseline"/>
                      <w:lang w:val="en-US" w:eastAsia="zh-CN"/>
                    </w:rPr>
                    <w:t>2500</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default" w:ascii="Times New Roman" w:hAnsi="Times New Roman" w:eastAsia="宋体" w:cs="Times New Roman"/>
                      <w:b w:val="0"/>
                      <w:bCs w:val="0"/>
                      <w:snapToGrid w:val="0"/>
                      <w:color w:val="auto"/>
                      <w:sz w:val="21"/>
                      <w:szCs w:val="24"/>
                      <w:vertAlign w:val="baseline"/>
                      <w:lang w:val="en-US" w:eastAsia="zh-CN"/>
                    </w:rPr>
                    <w:t>0.00</w:t>
                  </w:r>
                  <w:r>
                    <w:rPr>
                      <w:rFonts w:hint="eastAsia" w:cs="Times New Roman"/>
                      <w:b w:val="0"/>
                      <w:bCs w:val="0"/>
                      <w:snapToGrid w:val="0"/>
                      <w:color w:val="auto"/>
                      <w:sz w:val="21"/>
                      <w:szCs w:val="24"/>
                      <w:vertAlign w:val="baseline"/>
                      <w:lang w:val="en-US" w:eastAsia="zh-CN"/>
                    </w:rPr>
                    <w:t>0</w:t>
                  </w:r>
                  <w:r>
                    <w:rPr>
                      <w:rFonts w:hint="default" w:ascii="Times New Roman" w:hAnsi="Times New Roman" w:cs="Times New Roman"/>
                      <w:b w:val="0"/>
                      <w:bCs w:val="0"/>
                      <w:snapToGrid w:val="0"/>
                      <w:color w:val="auto"/>
                      <w:sz w:val="21"/>
                      <w:szCs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eastAsia" w:cs="Times New Roman"/>
                      <w:b w:val="0"/>
                      <w:bCs w:val="0"/>
                      <w:snapToGrid w:val="0"/>
                      <w:color w:val="auto"/>
                      <w:sz w:val="21"/>
                      <w:szCs w:val="24"/>
                      <w:vertAlign w:val="baseline"/>
                      <w:lang w:val="en-US" w:eastAsia="zh-CN"/>
                    </w:rPr>
                    <w:t>2</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eastAsia" w:cs="Times New Roman"/>
                      <w:b w:val="0"/>
                      <w:bCs w:val="0"/>
                      <w:snapToGrid w:val="0"/>
                      <w:color w:val="auto"/>
                      <w:sz w:val="21"/>
                      <w:szCs w:val="24"/>
                      <w:vertAlign w:val="baseline"/>
                      <w:lang w:val="en-US" w:eastAsia="zh-CN"/>
                    </w:rPr>
                    <w:t>废机油</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4"/>
                      <w:vertAlign w:val="baseline"/>
                      <w:lang w:val="en-US" w:eastAsia="zh-CN"/>
                    </w:rPr>
                  </w:pPr>
                  <w:r>
                    <w:rPr>
                      <w:rFonts w:hint="eastAsia" w:cs="Times New Roman"/>
                      <w:b w:val="0"/>
                      <w:bCs w:val="0"/>
                      <w:snapToGrid w:val="0"/>
                      <w:color w:val="auto"/>
                      <w:sz w:val="21"/>
                      <w:szCs w:val="24"/>
                      <w:vertAlign w:val="baseline"/>
                      <w:lang w:val="en-US" w:eastAsia="zh-CN"/>
                    </w:rPr>
                    <w:t>可燃物质</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eastAsia" w:cs="Times New Roman"/>
                      <w:b w:val="0"/>
                      <w:bCs w:val="0"/>
                      <w:snapToGrid w:val="0"/>
                      <w:color w:val="auto"/>
                      <w:sz w:val="21"/>
                      <w:szCs w:val="24"/>
                      <w:vertAlign w:val="baseline"/>
                      <w:lang w:val="en-US" w:eastAsia="zh-CN"/>
                    </w:rPr>
                    <w:t>./</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eastAsia" w:cs="Times New Roman"/>
                      <w:b w:val="0"/>
                      <w:bCs w:val="0"/>
                      <w:snapToGrid w:val="0"/>
                      <w:color w:val="auto"/>
                      <w:sz w:val="21"/>
                      <w:szCs w:val="24"/>
                      <w:vertAlign w:val="baseline"/>
                      <w:lang w:val="en-US" w:eastAsia="zh-CN"/>
                    </w:rPr>
                    <w:t>是</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eastAsia" w:cs="Times New Roman"/>
                      <w:b w:val="0"/>
                      <w:bCs w:val="0"/>
                      <w:snapToGrid w:val="0"/>
                      <w:color w:val="auto"/>
                      <w:sz w:val="21"/>
                      <w:szCs w:val="24"/>
                      <w:vertAlign w:val="baseline"/>
                      <w:lang w:val="en-US" w:eastAsia="zh-CN"/>
                    </w:rPr>
                    <w:t>0.05</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eastAsia" w:cs="Times New Roman"/>
                      <w:b w:val="0"/>
                      <w:bCs w:val="0"/>
                      <w:snapToGrid w:val="0"/>
                      <w:color w:val="auto"/>
                      <w:sz w:val="21"/>
                      <w:szCs w:val="24"/>
                      <w:vertAlign w:val="baseline"/>
                      <w:lang w:val="en-US" w:eastAsia="zh-CN"/>
                    </w:rPr>
                    <w:t>2500</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eastAsia" w:cs="Times New Roman"/>
                      <w:b w:val="0"/>
                      <w:bCs w:val="0"/>
                      <w:snapToGrid w:val="0"/>
                      <w:color w:val="auto"/>
                      <w:sz w:val="21"/>
                      <w:szCs w:val="24"/>
                      <w:vertAlign w:val="baseline"/>
                      <w:lang w:val="en-US" w:eastAsia="zh-CN"/>
                    </w:rPr>
                    <w:t>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5"/>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default" w:ascii="Times New Roman" w:hAnsi="Times New Roman" w:eastAsia="宋体" w:cs="Times New Roman"/>
                      <w:b w:val="0"/>
                      <w:bCs w:val="0"/>
                      <w:snapToGrid w:val="0"/>
                      <w:color w:val="auto"/>
                      <w:sz w:val="21"/>
                      <w:szCs w:val="24"/>
                      <w:vertAlign w:val="baseline"/>
                      <w:lang w:val="en-US" w:eastAsia="zh-CN"/>
                    </w:rPr>
                    <w:t>ΣQ</w:t>
                  </w:r>
                  <w:r>
                    <w:rPr>
                      <w:rFonts w:hint="default" w:ascii="Times New Roman" w:hAnsi="Times New Roman" w:eastAsia="宋体" w:cs="Times New Roman"/>
                      <w:b w:val="0"/>
                      <w:bCs w:val="0"/>
                      <w:snapToGrid w:val="0"/>
                      <w:color w:val="auto"/>
                      <w:sz w:val="21"/>
                      <w:szCs w:val="24"/>
                      <w:vertAlign w:val="subscript"/>
                      <w:lang w:val="en-US" w:eastAsia="zh-CN"/>
                    </w:rPr>
                    <w:t>i</w:t>
                  </w:r>
                  <w:r>
                    <w:rPr>
                      <w:rFonts w:hint="default" w:ascii="Times New Roman" w:hAnsi="Times New Roman" w:eastAsia="宋体" w:cs="Times New Roman"/>
                      <w:b w:val="0"/>
                      <w:bCs w:val="0"/>
                      <w:snapToGrid w:val="0"/>
                      <w:color w:val="auto"/>
                      <w:sz w:val="21"/>
                      <w:szCs w:val="24"/>
                      <w:vertAlign w:val="baseline"/>
                      <w:lang w:val="en-US" w:eastAsia="zh-CN"/>
                    </w:rPr>
                    <w:t>/Q</w:t>
                  </w:r>
                  <w:r>
                    <w:rPr>
                      <w:rFonts w:hint="default" w:ascii="Times New Roman" w:hAnsi="Times New Roman" w:eastAsia="宋体" w:cs="Times New Roman"/>
                      <w:b w:val="0"/>
                      <w:bCs w:val="0"/>
                      <w:snapToGrid w:val="0"/>
                      <w:color w:val="auto"/>
                      <w:sz w:val="21"/>
                      <w:szCs w:val="24"/>
                      <w:vertAlign w:val="subscript"/>
                      <w:lang w:val="en-US" w:eastAsia="zh-CN"/>
                    </w:rPr>
                    <w:t>0</w:t>
                  </w:r>
                </w:p>
              </w:tc>
              <w:tc>
                <w:tcPr>
                  <w:tcW w:w="0" w:type="auto"/>
                  <w:gridSpan w:val="2"/>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default" w:ascii="Times New Roman" w:hAnsi="Times New Roman" w:eastAsia="宋体" w:cs="Times New Roman"/>
                      <w:b w:val="0"/>
                      <w:bCs w:val="0"/>
                      <w:snapToGrid w:val="0"/>
                      <w:color w:val="auto"/>
                      <w:sz w:val="21"/>
                      <w:szCs w:val="24"/>
                      <w:vertAlign w:val="baseline"/>
                      <w:lang w:val="en-US" w:eastAsia="zh-CN"/>
                    </w:rPr>
                    <w:t>/</w:t>
                  </w:r>
                </w:p>
              </w:tc>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sz w:val="21"/>
                      <w:szCs w:val="24"/>
                      <w:vertAlign w:val="baseline"/>
                      <w:lang w:val="en-US" w:eastAsia="zh-CN"/>
                    </w:rPr>
                  </w:pPr>
                  <w:r>
                    <w:rPr>
                      <w:rFonts w:hint="default" w:ascii="Times New Roman" w:hAnsi="Times New Roman" w:cs="Times New Roman"/>
                      <w:b w:val="0"/>
                      <w:bCs w:val="0"/>
                      <w:snapToGrid w:val="0"/>
                      <w:color w:val="auto"/>
                      <w:sz w:val="21"/>
                      <w:szCs w:val="24"/>
                      <w:vertAlign w:val="baseline"/>
                      <w:lang w:val="en-US" w:eastAsia="zh-CN"/>
                    </w:rPr>
                    <w:t>0.000</w:t>
                  </w:r>
                  <w:r>
                    <w:rPr>
                      <w:rFonts w:hint="eastAsia" w:cs="Times New Roman"/>
                      <w:b w:val="0"/>
                      <w:bCs w:val="0"/>
                      <w:snapToGrid w:val="0"/>
                      <w:color w:val="auto"/>
                      <w:sz w:val="21"/>
                      <w:szCs w:val="24"/>
                      <w:vertAlign w:val="baseline"/>
                      <w:lang w:val="en-US" w:eastAsia="zh-CN"/>
                    </w:rPr>
                    <w:t>22</w:t>
                  </w:r>
                </w:p>
              </w:tc>
            </w:tr>
          </w:tbl>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snapToGrid w:val="0"/>
                <w:color w:val="auto"/>
                <w:sz w:val="24"/>
                <w:szCs w:val="24"/>
                <w:vertAlign w:val="baseline"/>
                <w:lang w:val="en-US" w:eastAsia="zh-CN"/>
              </w:rPr>
            </w:pPr>
            <w:bookmarkStart w:id="38" w:name="OLE_LINK136"/>
            <w:r>
              <w:rPr>
                <w:rFonts w:hint="default" w:ascii="Times New Roman" w:hAnsi="Times New Roman" w:cs="Times New Roman"/>
                <w:b w:val="0"/>
                <w:bCs w:val="0"/>
                <w:snapToGrid w:val="0"/>
                <w:color w:val="auto"/>
                <w:sz w:val="24"/>
                <w:szCs w:val="24"/>
                <w:vertAlign w:val="baseline"/>
                <w:lang w:val="en-US" w:eastAsia="zh-CN"/>
              </w:rPr>
              <w:t>综上，本项目风险物质Q=0.000</w:t>
            </w:r>
            <w:r>
              <w:rPr>
                <w:rFonts w:hint="eastAsia" w:cs="Times New Roman"/>
                <w:b w:val="0"/>
                <w:bCs w:val="0"/>
                <w:snapToGrid w:val="0"/>
                <w:color w:val="auto"/>
                <w:sz w:val="24"/>
                <w:szCs w:val="24"/>
                <w:vertAlign w:val="baseline"/>
                <w:lang w:val="en-US" w:eastAsia="zh-CN"/>
              </w:rPr>
              <w:t>22</w:t>
            </w:r>
            <m:oMath>
              <m:r>
                <m:rPr>
                  <m:sty m:val="p"/>
                </m:rPr>
                <w:rPr>
                  <w:rFonts w:hint="default" w:ascii="Cambria Math" w:hAnsi="Cambria Math" w:cs="Times New Roman"/>
                  <w:snapToGrid w:val="0"/>
                  <w:color w:val="auto"/>
                  <w:sz w:val="24"/>
                  <w:szCs w:val="24"/>
                  <w:vertAlign w:val="baseline"/>
                  <w:lang w:val="en-US"/>
                </w:rPr>
                <m:t>&lt;</m:t>
              </m:r>
            </m:oMath>
            <w:r>
              <w:rPr>
                <w:rFonts w:hint="default" w:ascii="Times New Roman" w:hAnsi="Times New Roman" w:cs="Times New Roman"/>
                <w:b w:val="0"/>
                <w:bCs w:val="0"/>
                <w:snapToGrid w:val="0"/>
                <w:color w:val="auto"/>
                <w:sz w:val="24"/>
                <w:szCs w:val="24"/>
                <w:vertAlign w:val="baseline"/>
                <w:lang w:val="en-US" w:eastAsia="zh-CN"/>
              </w:rPr>
              <w:t>1，环境风险潜势为Ⅰ。</w:t>
            </w:r>
            <w:bookmarkEnd w:id="38"/>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1" w:firstLineChars="200"/>
              <w:textAlignment w:val="auto"/>
              <w:rPr>
                <w:rFonts w:hint="default" w:ascii="Times New Roman" w:hAnsi="Times New Roman" w:cs="Times New Roman"/>
                <w:b/>
                <w:bCs/>
                <w:snapToGrid w:val="0"/>
                <w:color w:val="auto"/>
                <w:sz w:val="24"/>
                <w:szCs w:val="24"/>
                <w:vertAlign w:val="baseline"/>
                <w:lang w:val="en-US" w:eastAsia="zh-CN"/>
              </w:rPr>
            </w:pPr>
            <w:r>
              <w:rPr>
                <w:rFonts w:hint="default" w:ascii="Times New Roman" w:hAnsi="Times New Roman" w:cs="Times New Roman"/>
                <w:b/>
                <w:bCs/>
                <w:snapToGrid w:val="0"/>
                <w:color w:val="auto"/>
                <w:sz w:val="24"/>
                <w:szCs w:val="24"/>
                <w:vertAlign w:val="baseline"/>
                <w:lang w:val="en-US" w:eastAsia="zh-CN"/>
              </w:rPr>
              <w:t>（2）环境风险识别</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snapToGrid w:val="0"/>
                <w:color w:val="auto"/>
                <w:sz w:val="24"/>
                <w:szCs w:val="24"/>
                <w:vertAlign w:val="baseline"/>
                <w:lang w:val="en-US" w:eastAsia="zh-CN"/>
              </w:rPr>
            </w:pPr>
            <w:r>
              <w:rPr>
                <w:rFonts w:hint="default" w:ascii="Times New Roman" w:hAnsi="Times New Roman" w:cs="Times New Roman"/>
                <w:b w:val="0"/>
                <w:bCs w:val="0"/>
                <w:snapToGrid w:val="0"/>
                <w:color w:val="auto"/>
                <w:sz w:val="24"/>
                <w:szCs w:val="24"/>
                <w:vertAlign w:val="baseline"/>
                <w:lang w:val="en-US" w:eastAsia="zh-CN"/>
              </w:rPr>
              <w:t>分析危险物质特性及可能的环境风险类型，识别危险物质影响环境的途径，分析可能影响的环境敏感目标，具体见下表。</w:t>
            </w:r>
          </w:p>
          <w:p>
            <w:pPr>
              <w:pStyle w:val="9"/>
              <w:keepNext w:val="0"/>
              <w:keepLines w:val="0"/>
              <w:suppressLineNumbers w:val="0"/>
              <w:spacing w:before="0" w:beforeAutospacing="0" w:after="0" w:afterAutospacing="0"/>
              <w:ind w:right="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w:t>
            </w:r>
            <w:r>
              <w:rPr>
                <w:rFonts w:hint="eastAsia" w:cs="Times New Roman"/>
                <w:b/>
                <w:bCs/>
                <w:color w:val="auto"/>
                <w:sz w:val="24"/>
                <w:szCs w:val="24"/>
                <w:lang w:val="en-US" w:eastAsia="zh-CN"/>
              </w:rPr>
              <w:t>16</w:t>
            </w:r>
            <w:r>
              <w:rPr>
                <w:rFonts w:hint="default" w:ascii="Times New Roman" w:hAnsi="Times New Roman" w:cs="Times New Roman"/>
                <w:b/>
                <w:bCs/>
                <w:color w:val="auto"/>
                <w:sz w:val="24"/>
                <w:szCs w:val="24"/>
                <w:lang w:val="en-US" w:eastAsia="zh-CN"/>
              </w:rPr>
              <w:t>建设项目环境风险识别表</w:t>
            </w:r>
          </w:p>
          <w:tbl>
            <w:tblPr>
              <w:tblStyle w:val="34"/>
              <w:tblW w:w="84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852"/>
              <w:gridCol w:w="945"/>
              <w:gridCol w:w="870"/>
              <w:gridCol w:w="900"/>
              <w:gridCol w:w="1725"/>
              <w:gridCol w:w="900"/>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序号</w:t>
                  </w:r>
                </w:p>
              </w:tc>
              <w:tc>
                <w:tcPr>
                  <w:tcW w:w="852"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危险单元</w:t>
                  </w:r>
                </w:p>
              </w:tc>
              <w:tc>
                <w:tcPr>
                  <w:tcW w:w="945"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风险源</w:t>
                  </w:r>
                </w:p>
              </w:tc>
              <w:tc>
                <w:tcPr>
                  <w:tcW w:w="87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主要风险物质</w:t>
                  </w:r>
                </w:p>
              </w:tc>
              <w:tc>
                <w:tcPr>
                  <w:tcW w:w="90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环境风险类型</w:t>
                  </w:r>
                </w:p>
              </w:tc>
              <w:tc>
                <w:tcPr>
                  <w:tcW w:w="1725"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环境风险途径</w:t>
                  </w:r>
                </w:p>
              </w:tc>
              <w:tc>
                <w:tcPr>
                  <w:tcW w:w="90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次生/伴生污染物</w:t>
                  </w:r>
                </w:p>
              </w:tc>
              <w:tc>
                <w:tcPr>
                  <w:tcW w:w="1814"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可能影响的环境敏感目标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1</w:t>
                  </w:r>
                </w:p>
              </w:tc>
              <w:tc>
                <w:tcPr>
                  <w:tcW w:w="852"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辅料库</w:t>
                  </w:r>
                </w:p>
              </w:tc>
              <w:tc>
                <w:tcPr>
                  <w:tcW w:w="945"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油类物质</w:t>
                  </w:r>
                </w:p>
              </w:tc>
              <w:tc>
                <w:tcPr>
                  <w:tcW w:w="87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机油</w:t>
                  </w:r>
                </w:p>
              </w:tc>
              <w:tc>
                <w:tcPr>
                  <w:tcW w:w="90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泄露、火灾</w:t>
                  </w:r>
                </w:p>
              </w:tc>
              <w:tc>
                <w:tcPr>
                  <w:tcW w:w="1725"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发生泄露遇明火或其他易燃物质会发生火灾</w:t>
                  </w:r>
                </w:p>
              </w:tc>
              <w:tc>
                <w:tcPr>
                  <w:tcW w:w="90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CO</w:t>
                  </w:r>
                </w:p>
              </w:tc>
              <w:tc>
                <w:tcPr>
                  <w:tcW w:w="1814"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主要可能影响泄漏点附近员工，对环境基本无影响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2</w:t>
                  </w:r>
                </w:p>
              </w:tc>
              <w:tc>
                <w:tcPr>
                  <w:tcW w:w="852"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危废贮存库</w:t>
                  </w:r>
                </w:p>
              </w:tc>
              <w:tc>
                <w:tcPr>
                  <w:tcW w:w="945"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油类物质</w:t>
                  </w:r>
                </w:p>
              </w:tc>
              <w:tc>
                <w:tcPr>
                  <w:tcW w:w="87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废机油</w:t>
                  </w:r>
                </w:p>
              </w:tc>
              <w:tc>
                <w:tcPr>
                  <w:tcW w:w="90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泄露、火灾</w:t>
                  </w:r>
                </w:p>
              </w:tc>
              <w:tc>
                <w:tcPr>
                  <w:tcW w:w="1725"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发生泄露遇明火或其他易燃物质会发生火灾</w:t>
                  </w:r>
                </w:p>
              </w:tc>
              <w:tc>
                <w:tcPr>
                  <w:tcW w:w="900"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CO</w:t>
                  </w:r>
                </w:p>
              </w:tc>
              <w:tc>
                <w:tcPr>
                  <w:tcW w:w="1814"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主要可能影响泄漏点附近员工，对环境基本无影响</w:t>
                  </w:r>
                </w:p>
              </w:tc>
            </w:tr>
          </w:tbl>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1"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w:t>
            </w:r>
            <w:r>
              <w:rPr>
                <w:rFonts w:hint="default" w:ascii="Times New Roman" w:hAnsi="Times New Roman" w:cs="Times New Roman"/>
                <w:b/>
                <w:bCs/>
                <w:color w:val="auto"/>
                <w:sz w:val="24"/>
                <w:lang w:val="en-US" w:eastAsia="zh-CN"/>
              </w:rPr>
              <w:t>3</w:t>
            </w:r>
            <w:r>
              <w:rPr>
                <w:rFonts w:hint="default" w:ascii="Times New Roman" w:hAnsi="Times New Roman" w:eastAsia="宋体" w:cs="Times New Roman"/>
                <w:b/>
                <w:bCs/>
                <w:color w:val="auto"/>
                <w:sz w:val="24"/>
                <w:lang w:val="en-US" w:eastAsia="zh-CN"/>
              </w:rPr>
              <w:t>）可能影响途径</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项目运营过程突发环境事件可能影响的途径为：</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①贮存或生产过程风险物质包装破裂或操作不当发生破裂导致泄漏，泄漏的风险物质挥发造成大气环境污染；泄漏的风险物质漫流接触地表土壤会造成土壤及地下水污染；流入雨水管网流到周边地表水域会造成地表水环境污染。</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②泄漏易燃风险物质遇见明火、火花等情况下引起火灾</w:t>
            </w:r>
            <w:r>
              <w:rPr>
                <w:rFonts w:hint="default" w:ascii="Times New Roman" w:hAnsi="Times New Roman"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爆炸伴生次生污染物排放事件，事件中未完全燃烧的危险物质在高温下迅速挥发以及燃烧过程产生的有毒有害气体会造成大气环境污染；消防灭火过程产生的消防废水四处漫流会造成厂区及周边地表水、地下水、土壤环境污染。</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③污染防治设施失效，</w:t>
            </w:r>
            <w:r>
              <w:rPr>
                <w:rFonts w:hint="eastAsia" w:cs="Times New Roman"/>
                <w:b w:val="0"/>
                <w:bCs w:val="0"/>
                <w:color w:val="auto"/>
                <w:sz w:val="24"/>
                <w:lang w:val="en-US" w:eastAsia="zh-CN"/>
              </w:rPr>
              <w:t>废水</w:t>
            </w:r>
            <w:r>
              <w:rPr>
                <w:rFonts w:hint="default" w:ascii="Times New Roman" w:hAnsi="Times New Roman" w:eastAsia="宋体" w:cs="Times New Roman"/>
                <w:b w:val="0"/>
                <w:bCs w:val="0"/>
                <w:color w:val="auto"/>
                <w:sz w:val="24"/>
                <w:lang w:val="en-US" w:eastAsia="zh-CN"/>
              </w:rPr>
              <w:t>非正常排放，造成大气环境污染。</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val="0"/>
                <w:bCs w:val="0"/>
                <w:color w:val="auto"/>
                <w:sz w:val="24"/>
                <w:lang w:val="en-US" w:eastAsia="zh-CN"/>
              </w:rPr>
              <w:t>④项目运营产生的危废流失可能造成大气、地表水、地下水及土壤污染。</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1"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w:t>
            </w:r>
            <w:r>
              <w:rPr>
                <w:rFonts w:hint="default" w:ascii="Times New Roman" w:hAnsi="Times New Roman" w:cs="Times New Roman"/>
                <w:b/>
                <w:bCs/>
                <w:color w:val="auto"/>
                <w:sz w:val="24"/>
                <w:lang w:val="en-US" w:eastAsia="zh-CN"/>
              </w:rPr>
              <w:t>4</w:t>
            </w:r>
            <w:r>
              <w:rPr>
                <w:rFonts w:hint="default" w:ascii="Times New Roman" w:hAnsi="Times New Roman" w:eastAsia="宋体" w:cs="Times New Roman"/>
                <w:b/>
                <w:bCs/>
                <w:color w:val="auto"/>
                <w:sz w:val="24"/>
                <w:lang w:val="en-US" w:eastAsia="zh-CN"/>
              </w:rPr>
              <w:t>）环境风险防范措施</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①危险物质泄漏环境风险防范措施</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项目危废贮存库进行重点防渗，车间专人管理，定期巡检、建立物料台账；制定风险物质泄漏物等处理程序；具有风险物质存放、使用场所，都在醒目位置张贴《安全须知卡》；尽可能减少危险品储存量和储存周期等。</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综上，在确保项目风险物质在厂内多运少存，在有效落实防范措施下物料泄漏风险可控，物料泄漏环境风险较小。</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②火灾/爆炸伴生次生污染物排放事件环境风险防范措施</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厂区总平面布置、防火间距应符合《建筑设计防火规范》和《工业企业总平面设计规范》等相关规定；厂区设有应急救援设施及救援通道；按照《建筑物防雷设计规范》的要求对建、构筑物采取防直击雷、防雷电感应、防雷电波侵入的措施。线路的材料和安装件等必须采用具有防腐蚀性能的材质，保证作业人员的安全。车间内禁止吸烟，车间易发生燃爆事件区域附近配备必要的消防应急器材。</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综上，项目火灾/爆炸伴生次生污染物排放事件环境风险较小。</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③危废流失环境风险防范措施</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项目危废产生后立即收集送入危废贮存库集中暂存，定期委托有资质单位处置。危废贮存库严格按照《危险废物贮存污染控制标准》（GB18597-2023）中相关要求建设，设有防渗、防雨、防风、防晒等措施。危废从产生、收集，到库内暂存，最后到委托处置设专人全程管理。不得随意委托不具有相应资质的单位处置。建立危废台账，加强全程监管，杜绝危废被混入一般固废，被人员有意或无意抛洒倾倒</w:t>
            </w:r>
            <w:r>
              <w:rPr>
                <w:rFonts w:hint="eastAsia" w:cs="Times New Roman"/>
                <w:b w:val="0"/>
                <w:bCs w:val="0"/>
                <w:color w:val="auto"/>
                <w:sz w:val="24"/>
                <w:lang w:val="en-US" w:eastAsia="zh-CN"/>
              </w:rPr>
              <w:t>。</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综上，项目危废流失风险较小。</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④</w:t>
            </w:r>
            <w:r>
              <w:rPr>
                <w:rFonts w:hint="default" w:ascii="Times New Roman" w:hAnsi="Times New Roman" w:eastAsia="宋体" w:cs="Times New Roman"/>
                <w:b w:val="0"/>
                <w:bCs w:val="0"/>
                <w:color w:val="auto"/>
                <w:sz w:val="24"/>
                <w:lang w:val="en-US" w:eastAsia="zh-CN"/>
              </w:rPr>
              <w:t>其他环境风险防范措施</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厂内配备专业技术人员负责管理，同时配备必要的个人防护用具。凡是有危险物质贮存的或操作使用过程中可能扩散到的区域都划分为危险区域，均应悬挂或张贴“危险区”的警示标识。采购风险物质时，应到已获得风险物质经营许可证的企业进行采购，并要求供应商提供技术说明书及相关技术资料；采购人员需进行专业培训并取证。</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⑤</w:t>
            </w:r>
            <w:r>
              <w:rPr>
                <w:rFonts w:hint="default" w:ascii="Times New Roman" w:hAnsi="Times New Roman" w:eastAsia="宋体" w:cs="Times New Roman"/>
                <w:b w:val="0"/>
                <w:bCs w:val="0"/>
                <w:color w:val="auto"/>
                <w:sz w:val="24"/>
                <w:lang w:val="en-US" w:eastAsia="zh-CN"/>
              </w:rPr>
              <w:t>应急处置措施</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为了有效地处理风险事故，企业应履行备案手续，建立完善的应急体系和管理组织机构，制定切实可行的处置措施。</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1" w:firstLineChars="200"/>
              <w:textAlignment w:val="auto"/>
              <w:rPr>
                <w:rFonts w:hint="default" w:ascii="Times New Roman" w:hAnsi="Times New Roman" w:cs="Times New Roman"/>
                <w:b/>
                <w:bCs/>
                <w:snapToGrid w:val="0"/>
                <w:color w:val="auto"/>
                <w:sz w:val="24"/>
                <w:szCs w:val="24"/>
                <w:vertAlign w:val="baseline"/>
                <w:lang w:val="en-US" w:eastAsia="zh-CN"/>
              </w:rPr>
            </w:pPr>
            <w:r>
              <w:rPr>
                <w:rFonts w:hint="default" w:ascii="Times New Roman" w:hAnsi="Times New Roman" w:cs="Times New Roman"/>
                <w:b/>
                <w:bCs/>
                <w:snapToGrid w:val="0"/>
                <w:color w:val="auto"/>
                <w:sz w:val="24"/>
                <w:szCs w:val="24"/>
                <w:vertAlign w:val="baseline"/>
                <w:lang w:val="en-US" w:eastAsia="zh-CN"/>
              </w:rPr>
              <w:t>（5）结论</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lang w:val="en-US" w:eastAsia="zh-CN"/>
              </w:rPr>
            </w:pPr>
            <w:r>
              <w:rPr>
                <w:rFonts w:hint="default" w:ascii="Times New Roman" w:hAnsi="Times New Roman" w:cs="Times New Roman"/>
                <w:b w:val="0"/>
                <w:bCs w:val="0"/>
                <w:snapToGrid w:val="0"/>
                <w:color w:val="auto"/>
                <w:sz w:val="24"/>
                <w:szCs w:val="24"/>
                <w:vertAlign w:val="baseline"/>
                <w:lang w:val="en-US" w:eastAsia="zh-CN"/>
              </w:rPr>
              <w:t>本项目主要潜在风险事故为液态物料泄漏、火灾伴生/次生污染物排放、危废流失等事故，但其最大风险值属于可接受水平。经本次风险分析，项目存在一定潜在风险，通过采取以上的防范措施和制定相应的应急方案，可将该项目风险值降到最低，环境风险达到可控水平。因此从风险角度而言，本项目建设是可行的。</w:t>
            </w:r>
          </w:p>
          <w:p>
            <w:pPr>
              <w:pStyle w:val="9"/>
              <w:keepNext w:val="0"/>
              <w:keepLines w:val="0"/>
              <w:suppressLineNumbers w:val="0"/>
              <w:spacing w:before="0" w:beforeAutospacing="0" w:after="0" w:afterAutospacing="0"/>
              <w:ind w:right="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w:t>
            </w:r>
            <w:r>
              <w:rPr>
                <w:rFonts w:hint="eastAsia" w:cs="Times New Roman"/>
                <w:b/>
                <w:bCs/>
                <w:color w:val="auto"/>
                <w:sz w:val="24"/>
                <w:szCs w:val="24"/>
                <w:lang w:val="en-US" w:eastAsia="zh-CN"/>
              </w:rPr>
              <w:t>17</w:t>
            </w:r>
            <w:r>
              <w:rPr>
                <w:rFonts w:hint="default" w:ascii="Times New Roman" w:hAnsi="Times New Roman" w:cs="Times New Roman"/>
                <w:b/>
                <w:bCs/>
                <w:color w:val="auto"/>
                <w:sz w:val="24"/>
                <w:szCs w:val="24"/>
                <w:lang w:val="en-US" w:eastAsia="zh-CN"/>
              </w:rPr>
              <w:t>环境风险简单分析一览表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1669"/>
              <w:gridCol w:w="1669"/>
              <w:gridCol w:w="1669"/>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669" w:type="dxa"/>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建设项目名称</w:t>
                  </w:r>
                </w:p>
              </w:tc>
              <w:tc>
                <w:tcPr>
                  <w:tcW w:w="6676" w:type="dxa"/>
                  <w:gridSpan w:val="4"/>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5000吨废塑料综合利用项目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建设地点</w:t>
                  </w:r>
                </w:p>
              </w:tc>
              <w:tc>
                <w:tcPr>
                  <w:tcW w:w="1669" w:type="dxa"/>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安徽省</w:t>
                  </w:r>
                </w:p>
              </w:tc>
              <w:tc>
                <w:tcPr>
                  <w:tcW w:w="1669" w:type="dxa"/>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六安市</w:t>
                  </w:r>
                </w:p>
              </w:tc>
              <w:tc>
                <w:tcPr>
                  <w:tcW w:w="3338" w:type="dxa"/>
                  <w:gridSpan w:val="2"/>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sz w:val="21"/>
                      <w:szCs w:val="21"/>
                      <w:lang w:eastAsia="zh-CN"/>
                    </w:rPr>
                    <w:t>安徽金寨经济开发区</w:t>
                  </w:r>
                  <w:r>
                    <w:rPr>
                      <w:rFonts w:hint="default" w:ascii="Times New Roman" w:hAnsi="Times New Roman" w:eastAsia="宋体" w:cs="Times New Roman"/>
                      <w:sz w:val="21"/>
                      <w:szCs w:val="21"/>
                    </w:rPr>
                    <w:t>清水路与新四路交叉口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bookmarkStart w:id="39" w:name="OLE_LINK94" w:colFirst="2" w:colLast="3"/>
                  <w:r>
                    <w:rPr>
                      <w:rFonts w:hint="default" w:ascii="Times New Roman" w:hAnsi="Times New Roman" w:eastAsia="宋体" w:cs="Times New Roman"/>
                      <w:b/>
                      <w:bCs/>
                      <w:color w:val="auto"/>
                      <w:sz w:val="21"/>
                      <w:szCs w:val="21"/>
                      <w:vertAlign w:val="baseline"/>
                      <w:lang w:val="en-US" w:eastAsia="zh-CN"/>
                    </w:rPr>
                    <w:t>地理坐标</w:t>
                  </w:r>
                </w:p>
              </w:tc>
              <w:tc>
                <w:tcPr>
                  <w:tcW w:w="1669" w:type="dxa"/>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经度</w:t>
                  </w:r>
                </w:p>
              </w:tc>
              <w:tc>
                <w:tcPr>
                  <w:tcW w:w="1669" w:type="dxa"/>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Helvetica" w:cs="Times New Roman"/>
                      <w:i w:val="0"/>
                      <w:iCs w:val="0"/>
                      <w:caps w:val="0"/>
                      <w:color w:val="000000"/>
                      <w:spacing w:val="0"/>
                      <w:sz w:val="21"/>
                      <w:szCs w:val="21"/>
                      <w:shd w:val="clear" w:fill="FFFFFF"/>
                    </w:rPr>
                    <w:t>115</w:t>
                  </w:r>
                  <w:r>
                    <w:rPr>
                      <w:rFonts w:hint="default" w:ascii="Times New Roman" w:hAnsi="Times New Roman" w:eastAsia="宋体" w:cs="Times New Roman"/>
                      <w:i w:val="0"/>
                      <w:iCs w:val="0"/>
                      <w:caps w:val="0"/>
                      <w:color w:val="000000"/>
                      <w:spacing w:val="0"/>
                      <w:sz w:val="21"/>
                      <w:szCs w:val="21"/>
                      <w:shd w:val="clear" w:fill="FFFFFF"/>
                      <w:lang w:val="en-US" w:eastAsia="zh-CN"/>
                    </w:rPr>
                    <w:t>度</w:t>
                  </w:r>
                  <w:r>
                    <w:rPr>
                      <w:rFonts w:hint="default" w:ascii="Times New Roman" w:hAnsi="Times New Roman" w:eastAsia="Helvetica" w:cs="Times New Roman"/>
                      <w:i w:val="0"/>
                      <w:iCs w:val="0"/>
                      <w:caps w:val="0"/>
                      <w:color w:val="000000"/>
                      <w:spacing w:val="0"/>
                      <w:sz w:val="21"/>
                      <w:szCs w:val="21"/>
                      <w:shd w:val="clear" w:fill="FFFFFF"/>
                    </w:rPr>
                    <w:t>59</w:t>
                  </w:r>
                  <w:r>
                    <w:rPr>
                      <w:rFonts w:hint="default" w:ascii="Times New Roman" w:hAnsi="Times New Roman" w:eastAsia="宋体" w:cs="Times New Roman"/>
                      <w:i w:val="0"/>
                      <w:iCs w:val="0"/>
                      <w:caps w:val="0"/>
                      <w:color w:val="000000"/>
                      <w:spacing w:val="0"/>
                      <w:sz w:val="21"/>
                      <w:szCs w:val="21"/>
                      <w:shd w:val="clear" w:fill="FFFFFF"/>
                      <w:lang w:val="en-US" w:eastAsia="zh-CN"/>
                    </w:rPr>
                    <w:t>分</w:t>
                  </w:r>
                  <w:r>
                    <w:rPr>
                      <w:rFonts w:hint="default" w:ascii="Times New Roman" w:hAnsi="Times New Roman" w:eastAsia="Helvetica" w:cs="Times New Roman"/>
                      <w:i w:val="0"/>
                      <w:iCs w:val="0"/>
                      <w:caps w:val="0"/>
                      <w:color w:val="000000"/>
                      <w:spacing w:val="0"/>
                      <w:sz w:val="21"/>
                      <w:szCs w:val="21"/>
                      <w:shd w:val="clear" w:fill="FFFFFF"/>
                    </w:rPr>
                    <w:t>47.995</w:t>
                  </w:r>
                  <w:r>
                    <w:rPr>
                      <w:rFonts w:hint="default" w:ascii="Times New Roman" w:hAnsi="Times New Roman" w:eastAsia="宋体" w:cs="Times New Roman"/>
                      <w:i w:val="0"/>
                      <w:iCs w:val="0"/>
                      <w:caps w:val="0"/>
                      <w:color w:val="000000"/>
                      <w:spacing w:val="0"/>
                      <w:sz w:val="21"/>
                      <w:szCs w:val="21"/>
                      <w:shd w:val="clear" w:fill="FFFFFF"/>
                      <w:lang w:val="en-US" w:eastAsia="zh-CN"/>
                    </w:rPr>
                    <w:t>秒</w:t>
                  </w:r>
                </w:p>
              </w:tc>
              <w:tc>
                <w:tcPr>
                  <w:tcW w:w="1669" w:type="dxa"/>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纬度</w:t>
                  </w:r>
                </w:p>
              </w:tc>
              <w:tc>
                <w:tcPr>
                  <w:tcW w:w="1669" w:type="dxa"/>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Helvetica" w:cs="Times New Roman"/>
                      <w:i w:val="0"/>
                      <w:iCs w:val="0"/>
                      <w:caps w:val="0"/>
                      <w:color w:val="000000"/>
                      <w:spacing w:val="0"/>
                      <w:sz w:val="21"/>
                      <w:szCs w:val="21"/>
                      <w:shd w:val="clear" w:fill="FFFFFF"/>
                    </w:rPr>
                    <w:t>31</w:t>
                  </w:r>
                  <w:r>
                    <w:rPr>
                      <w:rFonts w:hint="default" w:ascii="Times New Roman" w:hAnsi="Times New Roman" w:eastAsia="宋体" w:cs="Times New Roman"/>
                      <w:i w:val="0"/>
                      <w:iCs w:val="0"/>
                      <w:caps w:val="0"/>
                      <w:color w:val="000000"/>
                      <w:spacing w:val="0"/>
                      <w:sz w:val="21"/>
                      <w:szCs w:val="21"/>
                      <w:shd w:val="clear" w:fill="FFFFFF"/>
                      <w:lang w:val="en-US" w:eastAsia="zh-CN"/>
                    </w:rPr>
                    <w:t>度</w:t>
                  </w:r>
                  <w:r>
                    <w:rPr>
                      <w:rFonts w:hint="default" w:ascii="Times New Roman" w:hAnsi="Times New Roman" w:eastAsia="Helvetica" w:cs="Times New Roman"/>
                      <w:i w:val="0"/>
                      <w:iCs w:val="0"/>
                      <w:caps w:val="0"/>
                      <w:color w:val="000000"/>
                      <w:spacing w:val="0"/>
                      <w:sz w:val="21"/>
                      <w:szCs w:val="21"/>
                      <w:shd w:val="clear" w:fill="FFFFFF"/>
                    </w:rPr>
                    <w:t>45</w:t>
                  </w:r>
                  <w:r>
                    <w:rPr>
                      <w:rFonts w:hint="default" w:ascii="Times New Roman" w:hAnsi="Times New Roman" w:eastAsia="宋体" w:cs="Times New Roman"/>
                      <w:i w:val="0"/>
                      <w:iCs w:val="0"/>
                      <w:caps w:val="0"/>
                      <w:color w:val="000000"/>
                      <w:spacing w:val="0"/>
                      <w:sz w:val="21"/>
                      <w:szCs w:val="21"/>
                      <w:shd w:val="clear" w:fill="FFFFFF"/>
                      <w:lang w:val="en-US" w:eastAsia="zh-CN"/>
                    </w:rPr>
                    <w:t>分</w:t>
                  </w:r>
                  <w:r>
                    <w:rPr>
                      <w:rFonts w:hint="default" w:ascii="Times New Roman" w:hAnsi="Times New Roman" w:eastAsia="Helvetica" w:cs="Times New Roman"/>
                      <w:i w:val="0"/>
                      <w:iCs w:val="0"/>
                      <w:caps w:val="0"/>
                      <w:color w:val="000000"/>
                      <w:spacing w:val="0"/>
                      <w:sz w:val="21"/>
                      <w:szCs w:val="21"/>
                      <w:shd w:val="clear" w:fill="FFFFFF"/>
                    </w:rPr>
                    <w:t>57</w:t>
                  </w:r>
                  <w:r>
                    <w:rPr>
                      <w:rFonts w:hint="default" w:ascii="Times New Roman" w:hAnsi="Times New Roman" w:eastAsia="宋体" w:cs="Times New Roman"/>
                      <w:i w:val="0"/>
                      <w:iCs w:val="0"/>
                      <w:caps w:val="0"/>
                      <w:color w:val="000000"/>
                      <w:spacing w:val="0"/>
                      <w:sz w:val="21"/>
                      <w:szCs w:val="21"/>
                      <w:shd w:val="clear" w:fill="FFFFFF"/>
                      <w:lang w:val="en-US" w:eastAsia="zh-CN"/>
                    </w:rPr>
                    <w:t>.</w:t>
                  </w:r>
                  <w:r>
                    <w:rPr>
                      <w:rFonts w:hint="default" w:ascii="Times New Roman" w:hAnsi="Times New Roman" w:eastAsia="Helvetica" w:cs="Times New Roman"/>
                      <w:i w:val="0"/>
                      <w:iCs w:val="0"/>
                      <w:caps w:val="0"/>
                      <w:color w:val="000000"/>
                      <w:spacing w:val="0"/>
                      <w:sz w:val="21"/>
                      <w:szCs w:val="21"/>
                      <w:shd w:val="clear" w:fill="FFFFFF"/>
                    </w:rPr>
                    <w:t>58</w:t>
                  </w:r>
                  <w:r>
                    <w:rPr>
                      <w:rFonts w:hint="default" w:ascii="Times New Roman" w:hAnsi="Times New Roman" w:eastAsia="宋体" w:cs="Times New Roman"/>
                      <w:i w:val="0"/>
                      <w:iCs w:val="0"/>
                      <w:caps w:val="0"/>
                      <w:color w:val="000000"/>
                      <w:spacing w:val="0"/>
                      <w:sz w:val="21"/>
                      <w:szCs w:val="21"/>
                      <w:shd w:val="clear" w:fill="FFFFFF"/>
                      <w:lang w:val="en-US" w:eastAsia="zh-CN"/>
                    </w:rPr>
                    <w:t>2</w:t>
                  </w:r>
                  <w:r>
                    <w:rPr>
                      <w:rFonts w:hint="default" w:ascii="Times New Roman" w:hAnsi="Times New Roman" w:cs="Times New Roman"/>
                      <w:i w:val="0"/>
                      <w:iCs w:val="0"/>
                      <w:caps w:val="0"/>
                      <w:color w:val="000000"/>
                      <w:spacing w:val="0"/>
                      <w:sz w:val="21"/>
                      <w:szCs w:val="21"/>
                      <w:shd w:val="clear" w:fill="FFFFFF"/>
                      <w:lang w:val="en-US" w:eastAsia="zh-CN"/>
                    </w:rPr>
                    <w:t>秒</w:t>
                  </w:r>
                </w:p>
              </w:tc>
            </w:tr>
            <w:bookmarkEnd w:id="3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主要危险物质及分布</w:t>
                  </w:r>
                </w:p>
              </w:tc>
              <w:tc>
                <w:tcPr>
                  <w:tcW w:w="6676" w:type="dxa"/>
                  <w:gridSpan w:val="4"/>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辅料库的机油</w:t>
                  </w:r>
                  <w:r>
                    <w:rPr>
                      <w:rFonts w:hint="eastAsia" w:cs="Times New Roman"/>
                      <w:color w:val="auto"/>
                      <w:sz w:val="21"/>
                      <w:szCs w:val="21"/>
                      <w:vertAlign w:val="baseline"/>
                      <w:lang w:val="en-US" w:eastAsia="zh-CN"/>
                    </w:rPr>
                    <w:t>、危废贮存库的废机油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环境影响途径及危害后果（大气、地表水、地下水等）</w:t>
                  </w:r>
                </w:p>
              </w:tc>
              <w:tc>
                <w:tcPr>
                  <w:tcW w:w="6676" w:type="dxa"/>
                  <w:gridSpan w:val="4"/>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机油等液态物料泄露到土壤，对土壤、地下水造成影响；可燃物料燃烧发生火灾或爆炸事故，产生的热辐射、烟雾对周边大气、水环境和人身健康安全存在一定影响；高浓度废气排放对周边大气和人身健康安全存在一定影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风险防范措施等</w:t>
                  </w:r>
                </w:p>
              </w:tc>
              <w:tc>
                <w:tcPr>
                  <w:tcW w:w="6676" w:type="dxa"/>
                  <w:gridSpan w:val="4"/>
                  <w:tcBorders>
                    <w:tl2br w:val="nil"/>
                    <w:tr2bl w:val="nil"/>
                  </w:tcBorders>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生产车间部分区域地面防腐防渗；</w:t>
                  </w:r>
                  <w:r>
                    <w:rPr>
                      <w:rFonts w:hint="default" w:ascii="Times New Roman" w:hAnsi="Times New Roman" w:eastAsia="宋体" w:cs="Times New Roman"/>
                      <w:color w:val="auto"/>
                      <w:sz w:val="21"/>
                      <w:szCs w:val="21"/>
                      <w:vertAlign w:val="baseline"/>
                      <w:lang w:val="en-US" w:eastAsia="zh-CN"/>
                    </w:rPr>
                    <w:t>液态物料设置托盘等防泄漏设施；生产车间、仓库危废贮存库严禁明火；危废贮存库地面防腐防渗，危废规范收集贮存、处置，建立健全危废台账制度，严格管理，责任到人；厂区雨水总排口设置截流阀，配备应急桶、应急泵等应急物资</w:t>
                  </w:r>
                </w:p>
              </w:tc>
            </w:tr>
          </w:tbl>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right="0"/>
              <w:textAlignment w:val="auto"/>
              <w:rPr>
                <w:rFonts w:hint="default" w:ascii="Times New Roman" w:hAnsi="Times New Roman" w:cs="Times New Roman"/>
                <w:b/>
                <w:bCs/>
                <w:snapToGrid w:val="0"/>
                <w:color w:val="auto"/>
                <w:sz w:val="24"/>
                <w:szCs w:val="24"/>
                <w:vertAlign w:val="baseline"/>
                <w:lang w:val="en-US" w:eastAsia="zh-CN"/>
              </w:rPr>
            </w:pPr>
            <w:r>
              <w:rPr>
                <w:rFonts w:hint="default" w:ascii="Times New Roman" w:hAnsi="Times New Roman" w:cs="Times New Roman"/>
                <w:b/>
                <w:bCs/>
                <w:snapToGrid w:val="0"/>
                <w:color w:val="auto"/>
                <w:sz w:val="24"/>
                <w:szCs w:val="24"/>
                <w:vertAlign w:val="baseline"/>
                <w:lang w:val="en-US" w:eastAsia="zh-CN"/>
              </w:rPr>
              <w:t>7、环保估算投资</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val="0"/>
                <w:bCs w:val="0"/>
                <w:snapToGrid w:val="0"/>
                <w:color w:val="auto"/>
                <w:sz w:val="24"/>
                <w:szCs w:val="24"/>
                <w:vertAlign w:val="baseline"/>
                <w:lang w:val="en-US" w:eastAsia="zh-CN"/>
              </w:rPr>
              <w:t>本项目总投资</w:t>
            </w:r>
            <w:r>
              <w:rPr>
                <w:rFonts w:hint="eastAsia" w:cs="Times New Roman"/>
                <w:b w:val="0"/>
                <w:bCs w:val="0"/>
                <w:snapToGrid w:val="0"/>
                <w:color w:val="auto"/>
                <w:sz w:val="24"/>
                <w:szCs w:val="24"/>
                <w:vertAlign w:val="baseline"/>
                <w:lang w:val="en-US" w:eastAsia="zh-CN"/>
              </w:rPr>
              <w:t>500</w:t>
            </w:r>
            <w:r>
              <w:rPr>
                <w:rFonts w:hint="default" w:ascii="Times New Roman" w:hAnsi="Times New Roman" w:cs="Times New Roman"/>
                <w:b w:val="0"/>
                <w:bCs w:val="0"/>
                <w:snapToGrid w:val="0"/>
                <w:color w:val="auto"/>
                <w:sz w:val="24"/>
                <w:szCs w:val="24"/>
                <w:vertAlign w:val="baseline"/>
                <w:lang w:val="en-US" w:eastAsia="zh-CN"/>
              </w:rPr>
              <w:t>万</w:t>
            </w:r>
            <w:r>
              <w:rPr>
                <w:rFonts w:hint="default" w:ascii="Times New Roman" w:hAnsi="Times New Roman" w:cs="Times New Roman"/>
                <w:b w:val="0"/>
                <w:bCs w:val="0"/>
                <w:snapToGrid w:val="0"/>
                <w:color w:val="000000" w:themeColor="text1"/>
                <w:sz w:val="24"/>
                <w:szCs w:val="24"/>
                <w:vertAlign w:val="baseline"/>
                <w:lang w:val="en-US" w:eastAsia="zh-CN"/>
                <w14:textFill>
                  <w14:solidFill>
                    <w14:schemeClr w14:val="tx1"/>
                  </w14:solidFill>
                </w14:textFill>
              </w:rPr>
              <w:t>元，其中环保投资</w:t>
            </w:r>
            <w:r>
              <w:rPr>
                <w:rFonts w:hint="eastAsia" w:cs="Times New Roman"/>
                <w:b w:val="0"/>
                <w:bCs w:val="0"/>
                <w:snapToGrid w:val="0"/>
                <w:color w:val="000000" w:themeColor="text1"/>
                <w:sz w:val="24"/>
                <w:szCs w:val="24"/>
                <w:vertAlign w:val="baseline"/>
                <w:lang w:val="en-US" w:eastAsia="zh-CN"/>
                <w14:textFill>
                  <w14:solidFill>
                    <w14:schemeClr w14:val="tx1"/>
                  </w14:solidFill>
                </w14:textFill>
              </w:rPr>
              <w:t>20</w:t>
            </w:r>
            <w:r>
              <w:rPr>
                <w:rFonts w:hint="default" w:ascii="Times New Roman" w:hAnsi="Times New Roman" w:cs="Times New Roman"/>
                <w:b w:val="0"/>
                <w:bCs w:val="0"/>
                <w:snapToGrid w:val="0"/>
                <w:color w:val="000000" w:themeColor="text1"/>
                <w:sz w:val="24"/>
                <w:szCs w:val="24"/>
                <w:vertAlign w:val="baseline"/>
                <w:lang w:val="en-US" w:eastAsia="zh-CN"/>
                <w14:textFill>
                  <w14:solidFill>
                    <w14:schemeClr w14:val="tx1"/>
                  </w14:solidFill>
                </w14:textFill>
              </w:rPr>
              <w:t>万元，占总投资</w:t>
            </w:r>
            <w:r>
              <w:rPr>
                <w:rFonts w:hint="eastAsia" w:cs="Times New Roman"/>
                <w:b w:val="0"/>
                <w:bCs w:val="0"/>
                <w:snapToGrid w:val="0"/>
                <w:color w:val="000000" w:themeColor="text1"/>
                <w:sz w:val="24"/>
                <w:szCs w:val="24"/>
                <w:vertAlign w:val="baseline"/>
                <w:lang w:val="en-US" w:eastAsia="zh-CN"/>
                <w14:textFill>
                  <w14:solidFill>
                    <w14:schemeClr w14:val="tx1"/>
                  </w14:solidFill>
                </w14:textFill>
              </w:rPr>
              <w:t>4</w:t>
            </w:r>
            <w:r>
              <w:rPr>
                <w:rFonts w:hint="default" w:ascii="Times New Roman" w:hAnsi="Times New Roman" w:cs="Times New Roman"/>
                <w:b w:val="0"/>
                <w:bCs w:val="0"/>
                <w:snapToGrid w:val="0"/>
                <w:color w:val="000000" w:themeColor="text1"/>
                <w:sz w:val="24"/>
                <w:szCs w:val="24"/>
                <w:vertAlign w:val="baseline"/>
                <w:lang w:val="en-US" w:eastAsia="zh-CN"/>
                <w14:textFill>
                  <w14:solidFill>
                    <w14:schemeClr w14:val="tx1"/>
                  </w14:solidFill>
                </w14:textFill>
              </w:rPr>
              <w:t>%</w:t>
            </w:r>
            <w:r>
              <w:rPr>
                <w:rFonts w:hint="default" w:ascii="Times New Roman" w:hAnsi="Times New Roman" w:cs="Times New Roman"/>
                <w:b w:val="0"/>
                <w:bCs w:val="0"/>
                <w:snapToGrid w:val="0"/>
                <w:color w:val="auto"/>
                <w:sz w:val="24"/>
                <w:szCs w:val="24"/>
                <w:vertAlign w:val="baseline"/>
                <w:lang w:val="en-US" w:eastAsia="zh-CN"/>
              </w:rPr>
              <w:t>。主要用于废气、固体废物和噪声污染的治理等。环保投资估算详见下表。</w:t>
            </w:r>
          </w:p>
          <w:p>
            <w:pPr>
              <w:pStyle w:val="9"/>
              <w:keepNext w:val="0"/>
              <w:keepLines w:val="0"/>
              <w:suppressLineNumbers w:val="0"/>
              <w:spacing w:before="0" w:beforeAutospacing="0" w:after="0" w:afterAutospacing="0"/>
              <w:ind w:right="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w:t>
            </w:r>
            <w:r>
              <w:rPr>
                <w:rFonts w:hint="eastAsia" w:cs="Times New Roman"/>
                <w:b/>
                <w:bCs/>
                <w:color w:val="auto"/>
                <w:sz w:val="24"/>
                <w:szCs w:val="24"/>
                <w:lang w:val="en-US" w:eastAsia="zh-CN"/>
              </w:rPr>
              <w:t>18</w:t>
            </w:r>
            <w:r>
              <w:rPr>
                <w:rFonts w:hint="default" w:ascii="Times New Roman" w:hAnsi="Times New Roman" w:cs="Times New Roman"/>
                <w:b/>
                <w:bCs/>
                <w:color w:val="auto"/>
                <w:sz w:val="24"/>
                <w:szCs w:val="24"/>
                <w:lang w:val="en-US" w:eastAsia="zh-CN"/>
              </w:rPr>
              <w:t>环保投资估算表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1117"/>
              <w:gridCol w:w="5874"/>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序号</w:t>
                  </w:r>
                </w:p>
              </w:tc>
              <w:tc>
                <w:tcPr>
                  <w:tcW w:w="657"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环保项目</w:t>
                  </w:r>
                </w:p>
              </w:tc>
              <w:tc>
                <w:tcPr>
                  <w:tcW w:w="3454"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内容</w:t>
                  </w:r>
                </w:p>
              </w:tc>
              <w:tc>
                <w:tcPr>
                  <w:tcW w:w="599"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cs="Times New Roman"/>
                      <w:b/>
                      <w:bCs/>
                      <w:snapToGrid w:val="0"/>
                      <w:color w:val="auto"/>
                      <w:sz w:val="21"/>
                      <w:szCs w:val="21"/>
                      <w:vertAlign w:val="baseline"/>
                      <w:lang w:val="en-US" w:eastAsia="zh-CN"/>
                    </w:rPr>
                    <w:t>环保投资（万元）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1</w:t>
                  </w:r>
                </w:p>
              </w:tc>
              <w:tc>
                <w:tcPr>
                  <w:tcW w:w="657"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废气治理</w:t>
                  </w:r>
                </w:p>
              </w:tc>
              <w:tc>
                <w:tcPr>
                  <w:tcW w:w="3454"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经集气罩收集，</w:t>
                  </w:r>
                  <w:r>
                    <w:rPr>
                      <w:rFonts w:hint="eastAsia" w:cs="Times New Roman"/>
                      <w:color w:val="000000"/>
                      <w:kern w:val="0"/>
                      <w:sz w:val="21"/>
                      <w:szCs w:val="21"/>
                      <w:lang w:val="en-US" w:eastAsia="zh-CN" w:bidi="ar"/>
                    </w:rPr>
                    <w:t>通过喷淋塔降温后由二级活性炭吸附装置处理达标</w:t>
                  </w:r>
                  <w:r>
                    <w:rPr>
                      <w:rFonts w:hint="default" w:ascii="Times New Roman" w:hAnsi="Times New Roman" w:eastAsia="宋体" w:cs="Times New Roman"/>
                      <w:color w:val="000000"/>
                      <w:kern w:val="0"/>
                      <w:sz w:val="21"/>
                      <w:szCs w:val="21"/>
                      <w:lang w:val="en-US" w:eastAsia="zh-CN" w:bidi="ar"/>
                    </w:rPr>
                    <w:t>后通过15m高排气筒</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DA001</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排放</w:t>
                  </w:r>
                </w:p>
              </w:tc>
              <w:tc>
                <w:tcPr>
                  <w:tcW w:w="599"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2</w:t>
                  </w:r>
                </w:p>
              </w:tc>
              <w:tc>
                <w:tcPr>
                  <w:tcW w:w="657"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废水治理</w:t>
                  </w:r>
                </w:p>
              </w:tc>
              <w:tc>
                <w:tcPr>
                  <w:tcW w:w="3454"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化粪池</w:t>
                  </w:r>
                </w:p>
              </w:tc>
              <w:tc>
                <w:tcPr>
                  <w:tcW w:w="599"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Merge w:val="restar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2</w:t>
                  </w:r>
                </w:p>
              </w:tc>
              <w:tc>
                <w:tcPr>
                  <w:tcW w:w="657" w:type="pct"/>
                  <w:vMerge w:val="restar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固废治理</w:t>
                  </w:r>
                </w:p>
              </w:tc>
              <w:tc>
                <w:tcPr>
                  <w:tcW w:w="3454" w:type="pct"/>
                  <w:tcBorders>
                    <w:tl2br w:val="nil"/>
                    <w:tr2bl w:val="nil"/>
                  </w:tcBorders>
                  <w:vAlign w:val="center"/>
                </w:tcPr>
                <w:p>
                  <w:pPr>
                    <w:keepNext w:val="0"/>
                    <w:keepLines w:val="0"/>
                    <w:pageBreakBefore w:val="0"/>
                    <w:widowControl w:val="0"/>
                    <w:kinsoku/>
                    <w:wordWrap/>
                    <w:overflowPunct/>
                    <w:topLinePunct w:val="0"/>
                    <w:autoSpaceDN/>
                    <w:bidi w:val="0"/>
                    <w:adjustRightInd w:val="0"/>
                    <w:snapToGrid/>
                    <w:spacing w:line="240" w:lineRule="auto"/>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eastAsia="宋体" w:cs="Times New Roman"/>
                      <w:color w:val="auto"/>
                      <w:sz w:val="21"/>
                      <w:szCs w:val="21"/>
                    </w:rPr>
                    <w:t>垃圾桶</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4个</w:t>
                  </w:r>
                  <w:r>
                    <w:rPr>
                      <w:rFonts w:hint="default" w:ascii="Times New Roman" w:hAnsi="Times New Roman" w:eastAsia="宋体" w:cs="Times New Roman"/>
                      <w:color w:val="auto"/>
                      <w:sz w:val="21"/>
                      <w:szCs w:val="21"/>
                      <w:lang w:eastAsia="zh-CN"/>
                    </w:rPr>
                    <w:t>）</w:t>
                  </w:r>
                </w:p>
              </w:tc>
              <w:tc>
                <w:tcPr>
                  <w:tcW w:w="599" w:type="pct"/>
                  <w:vMerge w:val="restar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657"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454" w:type="pct"/>
                  <w:tcBorders>
                    <w:tl2br w:val="nil"/>
                    <w:tr2bl w:val="nil"/>
                  </w:tcBorders>
                  <w:vAlign w:val="center"/>
                </w:tcPr>
                <w:p>
                  <w:pPr>
                    <w:keepNext w:val="0"/>
                    <w:keepLines w:val="0"/>
                    <w:pageBreakBefore w:val="0"/>
                    <w:widowControl w:val="0"/>
                    <w:kinsoku/>
                    <w:wordWrap/>
                    <w:overflowPunct/>
                    <w:topLinePunct w:val="0"/>
                    <w:autoSpaceDN/>
                    <w:bidi w:val="0"/>
                    <w:adjustRightInd w:val="0"/>
                    <w:snapToGrid/>
                    <w:spacing w:line="240" w:lineRule="auto"/>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eastAsia="宋体" w:cs="Times New Roman"/>
                      <w:color w:val="auto"/>
                      <w:sz w:val="21"/>
                      <w:szCs w:val="21"/>
                    </w:rPr>
                    <w:t>一般工业固废</w:t>
                  </w:r>
                  <w:r>
                    <w:rPr>
                      <w:rFonts w:hint="default" w:ascii="Times New Roman" w:hAnsi="Times New Roman" w:eastAsia="宋体" w:cs="Times New Roman"/>
                      <w:color w:val="auto"/>
                      <w:sz w:val="21"/>
                      <w:szCs w:val="21"/>
                      <w:lang w:val="en-US" w:eastAsia="zh-CN"/>
                    </w:rPr>
                    <w:t>暂存场所（</w:t>
                  </w:r>
                  <w:r>
                    <w:rPr>
                      <w:rFonts w:hint="default" w:ascii="Times New Roman" w:hAnsi="Times New Roman"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p>
              </w:tc>
              <w:tc>
                <w:tcPr>
                  <w:tcW w:w="599" w:type="pct"/>
                  <w:vMerge w:val="continue"/>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p>
              </w:tc>
              <w:tc>
                <w:tcPr>
                  <w:tcW w:w="657"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p>
              </w:tc>
              <w:tc>
                <w:tcPr>
                  <w:tcW w:w="3454" w:type="pct"/>
                  <w:tcBorders>
                    <w:tl2br w:val="nil"/>
                    <w:tr2bl w:val="nil"/>
                  </w:tcBorders>
                  <w:vAlign w:val="center"/>
                </w:tcPr>
                <w:p>
                  <w:pPr>
                    <w:keepNext w:val="0"/>
                    <w:keepLines w:val="0"/>
                    <w:pageBreakBefore w:val="0"/>
                    <w:widowControl w:val="0"/>
                    <w:kinsoku/>
                    <w:wordWrap/>
                    <w:overflowPunct/>
                    <w:topLinePunct w:val="0"/>
                    <w:autoSpaceDN/>
                    <w:bidi w:val="0"/>
                    <w:adjustRightInd w:val="0"/>
                    <w:snapToGrid/>
                    <w:spacing w:line="240" w:lineRule="auto"/>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规范化危废贮存库（10m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p>
              </w:tc>
              <w:tc>
                <w:tcPr>
                  <w:tcW w:w="599" w:type="pct"/>
                  <w:vMerge w:val="continue"/>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3</w:t>
                  </w:r>
                </w:p>
              </w:tc>
              <w:tc>
                <w:tcPr>
                  <w:tcW w:w="657"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噪声治理</w:t>
                  </w:r>
                </w:p>
              </w:tc>
              <w:tc>
                <w:tcPr>
                  <w:tcW w:w="3454"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噪声设备配套减震、减噪措施、厂房隔音、设备维护</w:t>
                  </w:r>
                </w:p>
              </w:tc>
              <w:tc>
                <w:tcPr>
                  <w:tcW w:w="599"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4</w:t>
                  </w:r>
                </w:p>
              </w:tc>
              <w:tc>
                <w:tcPr>
                  <w:tcW w:w="657"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土壤及地下水污染防治措施</w:t>
                  </w:r>
                </w:p>
              </w:tc>
              <w:tc>
                <w:tcPr>
                  <w:tcW w:w="3454"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分区防渗</w:t>
                  </w:r>
                </w:p>
              </w:tc>
              <w:tc>
                <w:tcPr>
                  <w:tcW w:w="599"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5</w:t>
                  </w:r>
                </w:p>
              </w:tc>
              <w:tc>
                <w:tcPr>
                  <w:tcW w:w="657"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环境风险防范措施</w:t>
                  </w:r>
                </w:p>
              </w:tc>
              <w:tc>
                <w:tcPr>
                  <w:tcW w:w="3454"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分区防渗、加强管理，建立完善的应急体系和管理组织机构，制定切实可行的处置措施，建立应急联动，与园区衔接，配备应急设施和物资</w:t>
                  </w:r>
                </w:p>
              </w:tc>
              <w:tc>
                <w:tcPr>
                  <w:tcW w:w="599"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0" w:type="pct"/>
                  <w:gridSpan w:val="3"/>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default" w:ascii="Times New Roman" w:hAnsi="Times New Roman" w:cs="Times New Roman"/>
                      <w:b w:val="0"/>
                      <w:bCs w:val="0"/>
                      <w:snapToGrid w:val="0"/>
                      <w:color w:val="auto"/>
                      <w:sz w:val="21"/>
                      <w:szCs w:val="21"/>
                      <w:vertAlign w:val="baseline"/>
                      <w:lang w:val="en-US" w:eastAsia="zh-CN"/>
                    </w:rPr>
                    <w:t>合计</w:t>
                  </w:r>
                </w:p>
              </w:tc>
              <w:tc>
                <w:tcPr>
                  <w:tcW w:w="599" w:type="pc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napToGrid w:val="0"/>
                      <w:color w:val="auto"/>
                      <w:sz w:val="21"/>
                      <w:szCs w:val="21"/>
                      <w:vertAlign w:val="baseline"/>
                      <w:lang w:val="en-US" w:eastAsia="zh-CN"/>
                    </w:rPr>
                  </w:pPr>
                  <w:r>
                    <w:rPr>
                      <w:rFonts w:hint="eastAsia" w:cs="Times New Roman"/>
                      <w:b w:val="0"/>
                      <w:bCs w:val="0"/>
                      <w:snapToGrid w:val="0"/>
                      <w:color w:val="auto"/>
                      <w:sz w:val="21"/>
                      <w:szCs w:val="21"/>
                      <w:vertAlign w:val="baseline"/>
                      <w:lang w:val="en-US" w:eastAsia="zh-CN"/>
                    </w:rPr>
                    <w:t>20</w:t>
                  </w:r>
                </w:p>
              </w:tc>
            </w:tr>
          </w:tbl>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left="0" w:leftChars="0" w:right="0" w:firstLine="481" w:firstLineChars="200"/>
              <w:textAlignment w:val="auto"/>
              <w:rPr>
                <w:rFonts w:hint="default" w:ascii="Times New Roman" w:hAnsi="Times New Roman" w:eastAsia="宋体" w:cs="Times New Roman"/>
                <w:b/>
                <w:bCs/>
                <w:snapToGrid w:val="0"/>
                <w:color w:val="auto"/>
                <w:sz w:val="24"/>
                <w:szCs w:val="24"/>
                <w:vertAlign w:val="baseline"/>
                <w:lang w:val="en-US" w:eastAsia="zh-CN"/>
              </w:rPr>
            </w:pPr>
          </w:p>
        </w:tc>
      </w:tr>
    </w:tbl>
    <w:p>
      <w:pPr>
        <w:pStyle w:val="32"/>
        <w:spacing w:before="0" w:beforeAutospacing="0" w:after="0" w:afterAutospacing="0" w:line="360" w:lineRule="auto"/>
        <w:jc w:val="center"/>
        <w:outlineLvl w:val="0"/>
        <w:rPr>
          <w:rFonts w:hint="default" w:ascii="Times New Roman" w:hAnsi="Times New Roman" w:cs="Times New Roman"/>
          <w:b/>
          <w:bCs/>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2"/>
        <w:spacing w:before="0" w:beforeAutospacing="0" w:after="0" w:afterAutospacing="0" w:line="360" w:lineRule="auto"/>
        <w:jc w:val="both"/>
        <w:outlineLvl w:val="0"/>
        <w:rPr>
          <w:rFonts w:hint="default" w:ascii="Times New Roman" w:hAnsi="Times New Roman" w:cs="Times New Roman"/>
          <w:b/>
          <w:bCs/>
          <w:snapToGrid w:val="0"/>
          <w:color w:val="auto"/>
          <w:sz w:val="30"/>
          <w:szCs w:val="30"/>
        </w:rPr>
      </w:pPr>
      <w:r>
        <w:rPr>
          <w:rFonts w:hint="default" w:ascii="Times New Roman" w:hAnsi="Times New Roman" w:cs="Times New Roman"/>
          <w:b/>
          <w:bCs/>
          <w:snapToGrid w:val="0"/>
          <w:color w:val="auto"/>
          <w:sz w:val="30"/>
          <w:szCs w:val="30"/>
        </w:rPr>
        <w:t>五、环境保护措施监督检查清单</w:t>
      </w:r>
      <w:bookmarkEnd w:id="19"/>
    </w:p>
    <w:tbl>
      <w:tblPr>
        <w:tblStyle w:val="33"/>
        <w:tblW w:w="497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595"/>
        <w:gridCol w:w="1030"/>
        <w:gridCol w:w="2485"/>
        <w:gridCol w:w="29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tcBorders>
              <w:tl2br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righ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内容</w:t>
            </w:r>
          </w:p>
          <w:p>
            <w:pPr>
              <w:keepNext w:val="0"/>
              <w:keepLines w:val="0"/>
              <w:suppressLineNumbers w:val="0"/>
              <w:adjustRightInd w:val="0"/>
              <w:snapToGrid w:val="0"/>
              <w:spacing w:before="0" w:beforeAutospacing="0" w:after="0" w:afterAutospacing="0" w:line="240" w:lineRule="auto"/>
              <w:ind w:left="0" w:right="0"/>
              <w:jc w:val="left"/>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要素</w:t>
            </w:r>
          </w:p>
        </w:tc>
        <w:tc>
          <w:tcPr>
            <w:tcW w:w="1595"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排放口(编号、名称)/污染源</w:t>
            </w:r>
          </w:p>
        </w:tc>
        <w:tc>
          <w:tcPr>
            <w:tcW w:w="1030"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污染物项目</w:t>
            </w:r>
          </w:p>
        </w:tc>
        <w:tc>
          <w:tcPr>
            <w:tcW w:w="2485"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环境保护措施</w:t>
            </w:r>
          </w:p>
        </w:tc>
        <w:tc>
          <w:tcPr>
            <w:tcW w:w="2915"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大气环境</w:t>
            </w:r>
          </w:p>
        </w:tc>
        <w:tc>
          <w:tcPr>
            <w:tcW w:w="1595"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生产废气</w:t>
            </w:r>
          </w:p>
        </w:tc>
        <w:tc>
          <w:tcPr>
            <w:tcW w:w="1030" w:type="dxa"/>
            <w:noWrap w:val="0"/>
            <w:vAlign w:val="center"/>
          </w:tcPr>
          <w:p>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非甲烷总烃</w:t>
            </w:r>
          </w:p>
        </w:tc>
        <w:tc>
          <w:tcPr>
            <w:tcW w:w="2485" w:type="dxa"/>
            <w:noWrap w:val="0"/>
            <w:vAlign w:val="center"/>
          </w:tcPr>
          <w:p>
            <w:pPr>
              <w:keepNext w:val="0"/>
              <w:keepLines w:val="0"/>
              <w:widowControl/>
              <w:suppressLineNumbers w:val="0"/>
              <w:spacing w:line="240" w:lineRule="auto"/>
              <w:jc w:val="left"/>
              <w:rPr>
                <w:rFonts w:hint="default" w:ascii="Times New Roman" w:hAnsi="Times New Roman" w:cs="Times New Roman"/>
                <w:color w:val="auto"/>
                <w:sz w:val="24"/>
                <w:szCs w:val="24"/>
                <w:highlight w:val="none"/>
                <w:lang w:val="en-US" w:eastAsia="zh-CN"/>
              </w:rPr>
            </w:pPr>
            <w:r>
              <w:rPr>
                <w:rFonts w:hint="eastAsia" w:cs="Times New Roman"/>
                <w:color w:val="000000"/>
                <w:kern w:val="0"/>
                <w:sz w:val="24"/>
                <w:szCs w:val="24"/>
                <w:lang w:val="en-US" w:eastAsia="zh-CN" w:bidi="ar"/>
              </w:rPr>
              <w:t>经集气罩收集，通过喷淋塔降温后由二级活性炭吸附装置处理达标</w:t>
            </w:r>
            <w:r>
              <w:rPr>
                <w:rFonts w:hint="default" w:ascii="Times New Roman" w:hAnsi="Times New Roman" w:eastAsia="宋体" w:cs="Times New Roman"/>
                <w:color w:val="000000"/>
                <w:kern w:val="0"/>
                <w:sz w:val="24"/>
                <w:szCs w:val="24"/>
                <w:lang w:val="en-US" w:eastAsia="zh-CN" w:bidi="ar"/>
              </w:rPr>
              <w:t>后通过15m高排气筒</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DA001</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排放</w:t>
            </w:r>
          </w:p>
        </w:tc>
        <w:tc>
          <w:tcPr>
            <w:tcW w:w="29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sz w:val="24"/>
                <w:szCs w:val="24"/>
                <w:lang w:eastAsia="zh-CN"/>
              </w:rPr>
              <w:t>非甲烷总烃有组织排放执行《固定源挥发性有机物综合排放标准第6部分：其他行业》(DB34_4812.6-2024)表1中挥发性有机物基本污染物项目排放限值，</w:t>
            </w:r>
            <w:r>
              <w:rPr>
                <w:rFonts w:hint="default" w:ascii="Times New Roman" w:hAnsi="Times New Roman" w:cs="Times New Roman"/>
                <w:sz w:val="24"/>
                <w:szCs w:val="24"/>
                <w:lang w:val="en-US" w:eastAsia="zh-CN"/>
              </w:rPr>
              <w:t>厂界非甲烷总烃排放执行《合成树脂工业污染物排放标准》(GB31572-2015）表9中企业边界大气污染物浓度限值，厂区内非甲烷总烃无组织排放执行《固定源挥发性有机物综合排放标准第6部分：其他行业》(DB 34_4812.6-2024）表4厂区内VOCs无组织排放限值要求。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水环境</w:t>
            </w:r>
          </w:p>
        </w:tc>
        <w:tc>
          <w:tcPr>
            <w:tcW w:w="1595"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生活污水</w:t>
            </w:r>
            <w:r>
              <w:rPr>
                <w:rFonts w:hint="eastAsia" w:cs="Times New Roman"/>
                <w:color w:val="auto"/>
                <w:sz w:val="24"/>
                <w:szCs w:val="24"/>
                <w:lang w:eastAsia="zh-CN"/>
              </w:rPr>
              <w:t>、</w:t>
            </w:r>
            <w:r>
              <w:rPr>
                <w:rFonts w:hint="eastAsia" w:hAnsi="宋体"/>
                <w:sz w:val="24"/>
                <w:lang w:val="en-US" w:eastAsia="zh-CN"/>
              </w:rPr>
              <w:t>废气喷淋降温冷却水</w:t>
            </w:r>
          </w:p>
        </w:tc>
        <w:tc>
          <w:tcPr>
            <w:tcW w:w="1030"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pH、</w:t>
            </w:r>
            <w:bookmarkStart w:id="40" w:name="OLE_LINK108"/>
            <w:r>
              <w:rPr>
                <w:rFonts w:hint="default" w:ascii="Times New Roman" w:hAnsi="Times New Roman" w:eastAsia="宋体" w:cs="Times New Roman"/>
                <w:color w:val="auto"/>
                <w:sz w:val="24"/>
                <w:szCs w:val="24"/>
              </w:rPr>
              <w:t>COD、</w:t>
            </w:r>
            <w:r>
              <w:rPr>
                <w:rFonts w:hint="default" w:ascii="Times New Roman" w:hAnsi="Times New Roman" w:eastAsia="宋体" w:cs="Times New Roman"/>
                <w:color w:val="auto"/>
                <w:sz w:val="24"/>
                <w:szCs w:val="24"/>
                <w:lang w:val="en-US" w:eastAsia="zh-CN"/>
              </w:rPr>
              <w:t>BOD</w:t>
            </w:r>
            <w:r>
              <w:rPr>
                <w:rFonts w:hint="default" w:ascii="Times New Roman" w:hAnsi="Times New Roman" w:eastAsia="宋体" w:cs="Times New Roman"/>
                <w:color w:val="auto"/>
                <w:sz w:val="24"/>
                <w:szCs w:val="24"/>
                <w:vertAlign w:val="subscript"/>
                <w:lang w:val="en-US" w:eastAsia="zh-CN"/>
              </w:rPr>
              <w:t>5</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-N、SS</w:t>
            </w:r>
            <w:bookmarkEnd w:id="40"/>
          </w:p>
        </w:tc>
        <w:tc>
          <w:tcPr>
            <w:tcW w:w="2485" w:type="dxa"/>
            <w:noWrap w:val="0"/>
            <w:vAlign w:val="center"/>
          </w:tcPr>
          <w:p>
            <w:pPr>
              <w:pStyle w:val="11"/>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生活污水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经</w:t>
            </w:r>
            <w:r>
              <w:rPr>
                <w:rFonts w:hint="eastAsia" w:cs="Times New Roman"/>
                <w:color w:val="000000" w:themeColor="text1"/>
                <w:sz w:val="24"/>
                <w:szCs w:val="24"/>
                <w:highlight w:val="none"/>
                <w:lang w:val="en-US" w:eastAsia="zh-CN"/>
                <w14:textFill>
                  <w14:solidFill>
                    <w14:schemeClr w14:val="tx1"/>
                  </w14:solidFill>
                </w14:textFill>
              </w:rPr>
              <w:t>化粪池</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收集</w:t>
            </w:r>
            <w:r>
              <w:rPr>
                <w:rFonts w:hint="eastAsia" w:cs="Times New Roman"/>
                <w:color w:val="000000" w:themeColor="text1"/>
                <w:sz w:val="24"/>
                <w:szCs w:val="24"/>
                <w:highlight w:val="none"/>
                <w:lang w:val="en-US" w:eastAsia="zh-CN"/>
                <w14:textFill>
                  <w14:solidFill>
                    <w14:schemeClr w14:val="tx1"/>
                  </w14:solidFill>
                </w14:textFill>
              </w:rPr>
              <w:t>预处理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后</w:t>
            </w:r>
            <w:r>
              <w:rPr>
                <w:rFonts w:hint="eastAsia" w:cs="Times New Roman"/>
                <w:color w:val="000000" w:themeColor="text1"/>
                <w:sz w:val="24"/>
                <w:szCs w:val="24"/>
                <w:highlight w:val="none"/>
                <w:lang w:val="en-US" w:eastAsia="zh-CN"/>
                <w14:textFill>
                  <w14:solidFill>
                    <w14:schemeClr w14:val="tx1"/>
                  </w14:solidFill>
                </w14:textFill>
              </w:rPr>
              <w:t>与</w:t>
            </w:r>
            <w:r>
              <w:rPr>
                <w:rFonts w:hint="eastAsia" w:hAnsi="宋体"/>
                <w:sz w:val="24"/>
                <w:lang w:val="en-US" w:eastAsia="zh-CN"/>
              </w:rPr>
              <w:t>废气喷淋降温冷却水一起</w:t>
            </w:r>
            <w:r>
              <w:rPr>
                <w:rFonts w:hint="default" w:ascii="Times New Roman" w:hAnsi="Times New Roman" w:eastAsia="宋体" w:cs="Times New Roman"/>
                <w:color w:val="000000" w:themeColor="text1"/>
                <w:sz w:val="24"/>
                <w:szCs w:val="20"/>
                <w14:textFill>
                  <w14:solidFill>
                    <w14:schemeClr w14:val="tx1"/>
                  </w14:solidFill>
                </w14:textFill>
              </w:rPr>
              <w:t>排入市政污水管网</w:t>
            </w:r>
            <w:r>
              <w:rPr>
                <w:rFonts w:hint="eastAsia" w:cs="Times New Roman"/>
                <w:color w:val="000000" w:themeColor="text1"/>
                <w:sz w:val="24"/>
                <w:szCs w:val="20"/>
                <w:lang w:eastAsia="zh-CN"/>
                <w14:textFill>
                  <w14:solidFill>
                    <w14:schemeClr w14:val="tx1"/>
                  </w14:solidFill>
                </w14:textFill>
              </w:rPr>
              <w:t>，</w:t>
            </w:r>
            <w:r>
              <w:rPr>
                <w:rFonts w:hint="default" w:ascii="Times New Roman" w:hAnsi="Times New Roman" w:eastAsia="宋体" w:cs="Times New Roman"/>
                <w:color w:val="000000" w:themeColor="text1"/>
                <w:sz w:val="24"/>
                <w:szCs w:val="20"/>
                <w14:textFill>
                  <w14:solidFill>
                    <w14:schemeClr w14:val="tx1"/>
                  </w14:solidFill>
                </w14:textFill>
              </w:rPr>
              <w:t>进入</w:t>
            </w:r>
            <w:r>
              <w:rPr>
                <w:rFonts w:hint="eastAsia" w:cs="Times New Roman"/>
                <w:color w:val="000000" w:themeColor="text1"/>
                <w:sz w:val="24"/>
                <w:szCs w:val="20"/>
                <w:lang w:val="en-US" w:eastAsia="zh-CN"/>
                <w14:textFill>
                  <w14:solidFill>
                    <w14:schemeClr w14:val="tx1"/>
                  </w14:solidFill>
                </w14:textFill>
              </w:rPr>
              <w:t>金寨现代产业园污水处理厂</w:t>
            </w:r>
            <w:r>
              <w:rPr>
                <w:rFonts w:hint="default" w:ascii="Times New Roman" w:hAnsi="Times New Roman" w:eastAsia="宋体" w:cs="Times New Roman"/>
                <w:color w:val="000000" w:themeColor="text1"/>
                <w:sz w:val="24"/>
                <w:szCs w:val="20"/>
                <w14:textFill>
                  <w14:solidFill>
                    <w14:schemeClr w14:val="tx1"/>
                  </w14:solidFill>
                </w14:textFill>
              </w:rPr>
              <w:t>处理</w:t>
            </w:r>
            <w:r>
              <w:rPr>
                <w:rFonts w:hint="eastAsia" w:cs="Times New Roman"/>
                <w:color w:val="000000" w:themeColor="text1"/>
                <w:sz w:val="24"/>
                <w:szCs w:val="20"/>
                <w:lang w:val="en-US" w:eastAsia="zh-CN"/>
                <w14:textFill>
                  <w14:solidFill>
                    <w14:schemeClr w14:val="tx1"/>
                  </w14:solidFill>
                </w14:textFill>
              </w:rPr>
              <w:t>达标</w:t>
            </w:r>
            <w:r>
              <w:rPr>
                <w:rFonts w:hint="default" w:ascii="Times New Roman" w:hAnsi="Times New Roman" w:eastAsia="宋体" w:cs="Times New Roman"/>
                <w:color w:val="000000" w:themeColor="text1"/>
                <w:sz w:val="24"/>
                <w:szCs w:val="20"/>
                <w14:textFill>
                  <w14:solidFill>
                    <w14:schemeClr w14:val="tx1"/>
                  </w14:solidFill>
                </w14:textFill>
              </w:rPr>
              <w:t>后排入</w:t>
            </w:r>
            <w:r>
              <w:rPr>
                <w:rFonts w:hint="eastAsia" w:cs="Times New Roman"/>
                <w:color w:val="000000" w:themeColor="text1"/>
                <w:sz w:val="24"/>
                <w:szCs w:val="20"/>
                <w:lang w:val="en-US" w:eastAsia="zh-CN"/>
                <w14:textFill>
                  <w14:solidFill>
                    <w14:schemeClr w14:val="tx1"/>
                  </w14:solidFill>
                </w14:textFill>
              </w:rPr>
              <w:t>史</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河</w:t>
            </w:r>
          </w:p>
        </w:tc>
        <w:tc>
          <w:tcPr>
            <w:tcW w:w="2915"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rPr>
              <w:t>《污水综合排放标准》（GB8978-1996）三级标准、</w:t>
            </w:r>
            <w:r>
              <w:rPr>
                <w:rFonts w:hint="eastAsia" w:cs="Times New Roman"/>
                <w:sz w:val="24"/>
                <w:szCs w:val="24"/>
                <w:lang w:eastAsia="zh-CN"/>
              </w:rPr>
              <w:t>金寨现代产业园污水处理厂</w:t>
            </w:r>
            <w:r>
              <w:rPr>
                <w:rFonts w:hint="default" w:ascii="Times New Roman" w:hAnsi="Times New Roman" w:eastAsia="宋体" w:cs="Times New Roman"/>
                <w:sz w:val="24"/>
                <w:szCs w:val="24"/>
              </w:rPr>
              <w:t>接管标准</w:t>
            </w:r>
            <w:r>
              <w:rPr>
                <w:rFonts w:hint="eastAsia" w:ascii="Times New Roman" w:hAnsi="Times New Roman" w:eastAsia="宋体"/>
                <w:color w:val="auto"/>
                <w:sz w:val="24"/>
                <w:szCs w:val="24"/>
                <w:lang w:eastAsia="zh-CN"/>
              </w:rPr>
              <w:t>，二者从严执行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声环境</w:t>
            </w:r>
          </w:p>
        </w:tc>
        <w:tc>
          <w:tcPr>
            <w:tcW w:w="1595"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生产设备</w:t>
            </w:r>
          </w:p>
        </w:tc>
        <w:tc>
          <w:tcPr>
            <w:tcW w:w="1030"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噪声</w:t>
            </w:r>
          </w:p>
        </w:tc>
        <w:tc>
          <w:tcPr>
            <w:tcW w:w="2485"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隔声、消声、减振措施</w:t>
            </w:r>
          </w:p>
        </w:tc>
        <w:tc>
          <w:tcPr>
            <w:tcW w:w="2915"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《工业企业厂界环境噪声排放标准》（GB12348-2008）中3类区标准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电磁辐射</w:t>
            </w:r>
          </w:p>
        </w:tc>
        <w:tc>
          <w:tcPr>
            <w:tcW w:w="8025" w:type="dxa"/>
            <w:gridSpan w:val="4"/>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Merge w:val="restart"/>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固体废物</w:t>
            </w:r>
          </w:p>
        </w:tc>
        <w:tc>
          <w:tcPr>
            <w:tcW w:w="1595"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一般工业固体废物</w:t>
            </w:r>
          </w:p>
        </w:tc>
        <w:tc>
          <w:tcPr>
            <w:tcW w:w="1030" w:type="dxa"/>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sz w:val="24"/>
                <w:szCs w:val="24"/>
                <w:lang w:eastAsia="zh-CN"/>
              </w:rPr>
              <w:t>废包装袋</w:t>
            </w:r>
          </w:p>
        </w:tc>
        <w:tc>
          <w:tcPr>
            <w:tcW w:w="2485"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eastAsia="zh-CN"/>
              </w:rPr>
            </w:pPr>
            <w:bookmarkStart w:id="41" w:name="OLE_LINK125"/>
            <w:r>
              <w:rPr>
                <w:rFonts w:hint="default" w:ascii="Times New Roman" w:hAnsi="Times New Roman" w:eastAsia="宋体" w:cs="Times New Roman"/>
                <w:color w:val="auto"/>
                <w:sz w:val="24"/>
                <w:szCs w:val="24"/>
                <w:lang w:eastAsia="zh-CN"/>
              </w:rPr>
              <w:t>收集后资源外售</w:t>
            </w:r>
            <w:bookmarkEnd w:id="41"/>
          </w:p>
        </w:tc>
        <w:tc>
          <w:tcPr>
            <w:tcW w:w="2915"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val="en-US" w:eastAsia="zh-CN"/>
              </w:rPr>
              <w:t>按照《一般工业固体废物贮存和填埋污染物控制标准》（GB18599-2020）等相关要求，</w:t>
            </w:r>
            <w:r>
              <w:rPr>
                <w:rFonts w:hint="default" w:ascii="Times New Roman" w:hAnsi="Times New Roman" w:eastAsia="宋体" w:cs="Times New Roman"/>
                <w:color w:val="auto"/>
                <w:sz w:val="24"/>
                <w:szCs w:val="24"/>
                <w:lang w:eastAsia="zh-CN"/>
              </w:rPr>
              <w:t>设置一般工业固体暂存间，</w:t>
            </w:r>
            <w:r>
              <w:rPr>
                <w:rFonts w:hint="default" w:ascii="Times New Roman" w:hAnsi="Times New Roman" w:cs="Times New Roman"/>
                <w:color w:val="auto"/>
                <w:sz w:val="24"/>
                <w:szCs w:val="24"/>
                <w:lang w:val="en-US" w:eastAsia="zh-CN"/>
              </w:rPr>
              <w:t>建筑面积10m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eastAsia="zh-CN"/>
              </w:rPr>
              <w:t>，做好防流失、防火、防尘、防雨等措施，避免二次污染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eastAsia="zh-CN"/>
              </w:rPr>
            </w:pPr>
          </w:p>
        </w:tc>
        <w:tc>
          <w:tcPr>
            <w:tcW w:w="1595"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危险废物</w:t>
            </w:r>
          </w:p>
        </w:tc>
        <w:tc>
          <w:tcPr>
            <w:tcW w:w="1030" w:type="dxa"/>
            <w:shd w:val="clear" w:color="auto" w:fill="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废活性炭</w:t>
            </w:r>
          </w:p>
        </w:tc>
        <w:tc>
          <w:tcPr>
            <w:tcW w:w="2485"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val="en-US" w:eastAsia="zh-CN"/>
              </w:rPr>
              <w:t>危险废物分类收集、规范贮存，定期交由相应资质单位外运处置</w:t>
            </w:r>
          </w:p>
        </w:tc>
        <w:tc>
          <w:tcPr>
            <w:tcW w:w="2915"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按照</w:t>
            </w:r>
            <w:r>
              <w:rPr>
                <w:rFonts w:hint="default" w:ascii="Times New Roman" w:hAnsi="Times New Roman" w:eastAsia="宋体" w:cs="Times New Roman"/>
                <w:color w:val="auto"/>
                <w:sz w:val="24"/>
                <w:szCs w:val="24"/>
                <w:lang w:eastAsia="zh-CN"/>
              </w:rPr>
              <w:t>《危险废物贮存污染控制标准》（GB18597-2023）</w:t>
            </w:r>
            <w:r>
              <w:rPr>
                <w:rFonts w:hint="default" w:ascii="Times New Roman" w:hAnsi="Times New Roman" w:cs="Times New Roman"/>
                <w:color w:val="auto"/>
                <w:sz w:val="24"/>
                <w:szCs w:val="24"/>
                <w:lang w:val="en-US" w:eastAsia="zh-CN"/>
              </w:rPr>
              <w:t>要求</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val="en-US" w:eastAsia="zh-CN"/>
              </w:rPr>
              <w:t>新建规</w:t>
            </w:r>
            <w:r>
              <w:rPr>
                <w:rFonts w:hint="default" w:ascii="Times New Roman" w:hAnsi="Times New Roman" w:eastAsia="宋体" w:cs="Times New Roman"/>
                <w:color w:val="auto"/>
                <w:sz w:val="24"/>
                <w:szCs w:val="24"/>
                <w:lang w:eastAsia="zh-CN"/>
              </w:rPr>
              <w:t>范化危废贮存</w:t>
            </w:r>
            <w:r>
              <w:rPr>
                <w:rFonts w:hint="default" w:ascii="Times New Roman" w:hAnsi="Times New Roman" w:cs="Times New Roman"/>
                <w:color w:val="auto"/>
                <w:sz w:val="24"/>
                <w:szCs w:val="24"/>
                <w:lang w:eastAsia="zh-CN"/>
              </w:rPr>
              <w:t>库</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val="en-US" w:eastAsia="zh-CN"/>
              </w:rPr>
              <w:t>建筑面积</w:t>
            </w:r>
            <w:r>
              <w:rPr>
                <w:rFonts w:hint="eastAsia" w:cs="Times New Roman"/>
                <w:color w:val="auto"/>
                <w:sz w:val="24"/>
                <w:szCs w:val="24"/>
                <w:lang w:val="en-US" w:eastAsia="zh-CN"/>
              </w:rPr>
              <w:t>2</w:t>
            </w:r>
            <w:r>
              <w:rPr>
                <w:rFonts w:hint="default" w:ascii="Times New Roman" w:hAnsi="Times New Roman" w:cs="Times New Roman"/>
                <w:color w:val="auto"/>
                <w:sz w:val="24"/>
                <w:szCs w:val="24"/>
                <w:lang w:val="en-US" w:eastAsia="zh-CN"/>
              </w:rPr>
              <w:t>0m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val="en-US" w:eastAsia="zh-CN"/>
              </w:rPr>
              <w:t>危险废物分类收集、规范贮存定期交由相应资质单位外运处置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eastAsia="zh-CN"/>
              </w:rPr>
            </w:pPr>
          </w:p>
        </w:tc>
        <w:tc>
          <w:tcPr>
            <w:tcW w:w="1595"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eastAsia="zh-CN"/>
              </w:rPr>
            </w:pPr>
          </w:p>
        </w:tc>
        <w:tc>
          <w:tcPr>
            <w:tcW w:w="1030" w:type="dxa"/>
            <w:shd w:val="clear" w:color="auto" w:fill="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szCs w:val="24"/>
                <w:lang w:eastAsia="zh-CN"/>
              </w:rPr>
              <w:t>废机油</w:t>
            </w:r>
          </w:p>
        </w:tc>
        <w:tc>
          <w:tcPr>
            <w:tcW w:w="2485"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eastAsia="zh-CN"/>
              </w:rPr>
            </w:pPr>
          </w:p>
        </w:tc>
        <w:tc>
          <w:tcPr>
            <w:tcW w:w="2915"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Merge w:val="continue"/>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sz w:val="24"/>
                <w:szCs w:val="24"/>
              </w:rPr>
            </w:pPr>
          </w:p>
        </w:tc>
        <w:tc>
          <w:tcPr>
            <w:tcW w:w="1595" w:type="dxa"/>
            <w:vMerge w:val="continue"/>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sz w:val="24"/>
                <w:szCs w:val="24"/>
              </w:rPr>
            </w:pPr>
          </w:p>
        </w:tc>
        <w:tc>
          <w:tcPr>
            <w:tcW w:w="1030" w:type="dxa"/>
            <w:shd w:val="clear" w:color="auto" w:fill="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szCs w:val="24"/>
                <w:lang w:eastAsia="zh-CN"/>
              </w:rPr>
              <w:t>废油桶</w:t>
            </w:r>
          </w:p>
        </w:tc>
        <w:tc>
          <w:tcPr>
            <w:tcW w:w="2485" w:type="dxa"/>
            <w:vMerge w:val="continue"/>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4"/>
                <w:szCs w:val="24"/>
                <w:lang w:eastAsia="zh-CN"/>
              </w:rPr>
            </w:pPr>
          </w:p>
        </w:tc>
        <w:tc>
          <w:tcPr>
            <w:tcW w:w="2915" w:type="dxa"/>
            <w:vMerge w:val="continue"/>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eastAsia="zh-CN"/>
              </w:rPr>
            </w:pPr>
          </w:p>
        </w:tc>
        <w:tc>
          <w:tcPr>
            <w:tcW w:w="1595"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eastAsia="zh-CN"/>
              </w:rPr>
            </w:pPr>
          </w:p>
        </w:tc>
        <w:tc>
          <w:tcPr>
            <w:tcW w:w="103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废弃的含油抹布、劳保用品</w:t>
            </w:r>
          </w:p>
        </w:tc>
        <w:tc>
          <w:tcPr>
            <w:tcW w:w="248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环卫部门统一清运处理</w:t>
            </w:r>
            <w:r>
              <w:rPr>
                <w:rFonts w:hint="default" w:ascii="Times New Roman" w:hAnsi="Times New Roman" w:cs="Times New Roman"/>
                <w:b w:val="0"/>
                <w:bCs w:val="0"/>
                <w:color w:val="auto"/>
                <w:sz w:val="24"/>
                <w:szCs w:val="24"/>
                <w:lang w:val="en-US" w:eastAsia="zh-CN"/>
              </w:rPr>
              <w:t>当废弃的含油抹布、劳保用品混入生活垃圾全过程不按危险废物管理，交由</w:t>
            </w:r>
            <w:r>
              <w:rPr>
                <w:rFonts w:hint="default" w:ascii="Times New Roman" w:hAnsi="Times New Roman" w:eastAsia="宋体" w:cs="Times New Roman"/>
                <w:color w:val="auto"/>
                <w:sz w:val="24"/>
                <w:szCs w:val="24"/>
                <w:lang w:eastAsia="zh-CN"/>
              </w:rPr>
              <w:t>环卫部门统一清运处理</w:t>
            </w:r>
          </w:p>
        </w:tc>
        <w:tc>
          <w:tcPr>
            <w:tcW w:w="291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eastAsia="zh-CN"/>
              </w:rPr>
            </w:pPr>
          </w:p>
        </w:tc>
        <w:tc>
          <w:tcPr>
            <w:tcW w:w="159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员工生活</w:t>
            </w:r>
          </w:p>
        </w:tc>
        <w:tc>
          <w:tcPr>
            <w:tcW w:w="103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生活垃圾</w:t>
            </w:r>
          </w:p>
        </w:tc>
        <w:tc>
          <w:tcPr>
            <w:tcW w:w="24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sz w:val="24"/>
                <w:szCs w:val="24"/>
                <w:lang w:eastAsia="zh-CN"/>
              </w:rPr>
            </w:pPr>
            <w:bookmarkStart w:id="42" w:name="OLE_LINK111"/>
            <w:r>
              <w:rPr>
                <w:rFonts w:hint="default" w:ascii="Times New Roman" w:hAnsi="Times New Roman" w:eastAsia="宋体" w:cs="Times New Roman"/>
                <w:color w:val="auto"/>
                <w:sz w:val="24"/>
                <w:szCs w:val="24"/>
                <w:lang w:eastAsia="zh-CN"/>
              </w:rPr>
              <w:t>环卫部门统一清运处理</w:t>
            </w:r>
            <w:bookmarkEnd w:id="42"/>
          </w:p>
        </w:tc>
        <w:tc>
          <w:tcPr>
            <w:tcW w:w="291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土壤及地下水污染防治措施</w:t>
            </w:r>
          </w:p>
        </w:tc>
        <w:tc>
          <w:tcPr>
            <w:tcW w:w="8025" w:type="dxa"/>
            <w:gridSpan w:val="4"/>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①源头控制：从污染物源头控制排放量，在物料输送和贮存过程中，加强跑冒滴漏管理，降低</w:t>
            </w:r>
            <w:r>
              <w:rPr>
                <w:rFonts w:hint="default" w:ascii="Times New Roman" w:hAnsi="Times New Roman" w:eastAsia="宋体" w:cs="Times New Roman"/>
                <w:color w:val="auto"/>
                <w:sz w:val="24"/>
                <w:szCs w:val="24"/>
                <w:lang w:eastAsia="zh-CN"/>
              </w:rPr>
              <w:t>机油</w:t>
            </w:r>
            <w:r>
              <w:rPr>
                <w:rFonts w:hint="default" w:ascii="Times New Roman" w:hAnsi="Times New Roman" w:eastAsia="宋体" w:cs="Times New Roman"/>
                <w:color w:val="auto"/>
                <w:sz w:val="24"/>
                <w:szCs w:val="24"/>
              </w:rPr>
              <w:t>泄漏和污染土壤环境隐患</w:t>
            </w:r>
            <w:r>
              <w:rPr>
                <w:rFonts w:hint="default" w:ascii="Times New Roman" w:hAnsi="Times New Roman" w:eastAsia="宋体" w:cs="Times New Roman"/>
                <w:color w:val="auto"/>
                <w:sz w:val="24"/>
                <w:szCs w:val="24"/>
                <w:lang w:eastAsia="zh-CN"/>
              </w:rPr>
              <w:t>。</w:t>
            </w:r>
          </w:p>
          <w:p>
            <w:pPr>
              <w:adjustRightInd w:val="0"/>
              <w:snapToGrid w:val="0"/>
              <w:spacing w:line="240" w:lineRule="auto"/>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②</w:t>
            </w:r>
            <w:r>
              <w:rPr>
                <w:rFonts w:hint="default" w:ascii="Times New Roman" w:hAnsi="Times New Roman" w:cs="Times New Roman"/>
                <w:color w:val="auto"/>
                <w:sz w:val="24"/>
                <w:szCs w:val="24"/>
                <w:lang w:val="en-US" w:eastAsia="zh-CN"/>
              </w:rPr>
              <w:t>过程防控措施：</w:t>
            </w:r>
            <w:r>
              <w:rPr>
                <w:rFonts w:hint="default" w:ascii="Times New Roman" w:hAnsi="Times New Roman" w:eastAsia="宋体" w:cs="Times New Roman"/>
                <w:color w:val="auto"/>
                <w:sz w:val="24"/>
                <w:szCs w:val="24"/>
                <w:lang w:eastAsia="zh-CN"/>
              </w:rPr>
              <w:t>建设项目根据行业特点与占地范围内的土壤特性，按照相关技术要求采取过程阻断、污染物削减和分区防控措施。车间地面硬化，分区防渗。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③危废贮存库</w:t>
            </w:r>
            <w:r>
              <w:rPr>
                <w:rFonts w:hint="default" w:ascii="Times New Roman" w:hAnsi="Times New Roman" w:cs="Times New Roman"/>
                <w:color w:val="auto"/>
                <w:sz w:val="24"/>
                <w:szCs w:val="24"/>
                <w:lang w:val="en-US" w:eastAsia="zh-CN"/>
              </w:rPr>
              <w:t>等</w:t>
            </w:r>
            <w:r>
              <w:rPr>
                <w:rFonts w:hint="default" w:ascii="Times New Roman" w:hAnsi="Times New Roman" w:eastAsia="宋体" w:cs="Times New Roman"/>
                <w:color w:val="auto"/>
                <w:sz w:val="24"/>
                <w:szCs w:val="24"/>
              </w:rPr>
              <w:t>为重点防渗区，按要求进行防腐防渗措施，并做好围堰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危险废物定期委托资质单位外运处置</w:t>
            </w:r>
            <w:r>
              <w:rPr>
                <w:rFonts w:hint="default" w:ascii="Times New Roman" w:hAnsi="Times New Roman"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生态保护措施</w:t>
            </w:r>
          </w:p>
        </w:tc>
        <w:tc>
          <w:tcPr>
            <w:tcW w:w="8025" w:type="dxa"/>
            <w:gridSpan w:val="4"/>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8"/>
                <w:sz w:val="24"/>
                <w:szCs w:val="24"/>
              </w:rPr>
            </w:pPr>
            <w:r>
              <w:rPr>
                <w:rFonts w:hint="default" w:ascii="Times New Roman" w:hAnsi="Times New Roman" w:eastAsia="宋体" w:cs="Times New Roman"/>
                <w:b/>
                <w:bCs/>
                <w:color w:val="auto"/>
                <w:spacing w:val="-8"/>
                <w:sz w:val="24"/>
                <w:szCs w:val="24"/>
              </w:rPr>
              <w:t>环境风险</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8"/>
                <w:sz w:val="24"/>
                <w:szCs w:val="24"/>
              </w:rPr>
            </w:pPr>
            <w:r>
              <w:rPr>
                <w:rFonts w:hint="default" w:ascii="Times New Roman" w:hAnsi="Times New Roman" w:eastAsia="宋体" w:cs="Times New Roman"/>
                <w:b/>
                <w:bCs/>
                <w:color w:val="auto"/>
                <w:spacing w:val="-8"/>
                <w:sz w:val="24"/>
                <w:szCs w:val="24"/>
              </w:rPr>
              <w:t>防范措施</w:t>
            </w:r>
          </w:p>
        </w:tc>
        <w:tc>
          <w:tcPr>
            <w:tcW w:w="8025"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①配备相应品种和数量的消防器材及泄漏应急处理设备。建立环境风险管理体系，制定操作规程、安全规章、职工培训、应急计划等</w:t>
            </w:r>
            <w:r>
              <w:rPr>
                <w:rFonts w:hint="default" w:ascii="Times New Roman" w:hAnsi="Times New Roman" w:cs="Times New Roman"/>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lang w:val="en-US" w:eastAsia="zh-CN"/>
              </w:rPr>
              <w:t>危废贮存库</w:t>
            </w:r>
            <w:r>
              <w:rPr>
                <w:rFonts w:hint="default" w:ascii="Times New Roman" w:hAnsi="Times New Roman" w:eastAsia="宋体" w:cs="Times New Roman"/>
                <w:color w:val="auto"/>
                <w:sz w:val="24"/>
                <w:szCs w:val="24"/>
              </w:rPr>
              <w:t>为重点防渗区，按要求进行防腐防渗措施。加强管理，防止在使用过程中跑冒滴漏</w:t>
            </w:r>
            <w:r>
              <w:rPr>
                <w:rFonts w:hint="default" w:ascii="Times New Roman" w:hAnsi="Times New Roman" w:cs="Times New Roman"/>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③委托专业单位进行废气治理工程的设计、施工，确保环保治理设施符合相关规范要求。同时派专业人员负责环保设施的运行、管理、维护，定期更换活性炭等材料，抽风风机一用一备，定期维护，严防事故性废水排放</w:t>
            </w:r>
            <w:r>
              <w:rPr>
                <w:rFonts w:hint="default" w:ascii="Times New Roman" w:hAnsi="Times New Roman" w:cs="Times New Roman"/>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④禁止员工在车间、仓库吸烟点火，提高员工安全意识，加强消防培训，生产车间、仓库及办公生活区内应配备泡沫灭火器等消防应急设备，并定期检查设备有效性；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⑤加强员工的思想、道德教育，提高员工的责任心和主观能动性：完善并严格遵守相关的操作规程，加强岗位培训，落实岗位责任制；加强设备管理，特别是对易产生有毒物质泄漏的部位加强检查</w:t>
            </w:r>
            <w:r>
              <w:rPr>
                <w:rFonts w:hint="default" w:ascii="Times New Roman" w:hAnsi="Times New Roman" w:cs="Times New Roman"/>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⑥加强事故管理，在生产过程中注意对其它单位相关事故的研究，充分吸取经验和教训。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8"/>
                <w:sz w:val="24"/>
                <w:szCs w:val="24"/>
              </w:rPr>
            </w:pPr>
            <w:r>
              <w:rPr>
                <w:rFonts w:hint="default" w:ascii="Times New Roman" w:hAnsi="Times New Roman" w:eastAsia="宋体" w:cs="Times New Roman"/>
                <w:b/>
                <w:bCs/>
                <w:color w:val="auto"/>
                <w:spacing w:val="-8"/>
                <w:sz w:val="24"/>
                <w:szCs w:val="24"/>
              </w:rPr>
              <w:t>其他环境管理要求</w:t>
            </w:r>
          </w:p>
        </w:tc>
        <w:tc>
          <w:tcPr>
            <w:tcW w:w="8025"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①加强环保设施的维护和管理，保证设备正常运行，落实环保资金，以实施治污措施，实现污染物达标排放</w:t>
            </w:r>
            <w:r>
              <w:rPr>
                <w:rFonts w:hint="default" w:ascii="Times New Roman" w:hAnsi="Times New Roman"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②建设单位应严格按环境影响报告表的要求落实环保“三同时”制度，明确职责，专人管理，切实做好环境管理工作，保证环保设施的正常运行</w:t>
            </w:r>
            <w:r>
              <w:rPr>
                <w:rFonts w:hint="default" w:ascii="Times New Roman" w:hAnsi="Times New Roman"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auto"/>
                <w:sz w:val="24"/>
                <w:szCs w:val="24"/>
                <w:lang w:val="en-US" w:eastAsia="zh-CN"/>
              </w:rPr>
              <w:t>③按照排污许可管理条例、技术规范，落实排污许可制度，按证排污、持证排污，按照排污许可证、环评及批复文件等要求，落实营运期排污自行监测、监测数据填报、环境管理记录等环保管理工作</w:t>
            </w:r>
            <w:r>
              <w:rPr>
                <w:rFonts w:hint="default" w:ascii="Times New Roman" w:hAnsi="Times New Roman" w:cs="Times New Roman"/>
                <w:color w:val="auto"/>
                <w:sz w:val="24"/>
                <w:szCs w:val="24"/>
                <w:lang w:val="en-US" w:eastAsia="zh-CN"/>
              </w:rPr>
              <w:t>。</w:t>
            </w:r>
          </w:p>
        </w:tc>
      </w:tr>
    </w:tbl>
    <w:p>
      <w:pPr>
        <w:rPr>
          <w:rFonts w:hint="default" w:ascii="Times New Roman" w:hAnsi="Times New Roman" w:eastAsia="黑体" w:cs="Times New Roman"/>
          <w:snapToGrid w:val="0"/>
          <w:color w:val="auto"/>
          <w:sz w:val="30"/>
          <w:szCs w:val="30"/>
        </w:rPr>
      </w:pPr>
      <w:bookmarkStart w:id="43" w:name="_Toc14405"/>
      <w:r>
        <w:rPr>
          <w:rFonts w:hint="default" w:ascii="Times New Roman" w:hAnsi="Times New Roman" w:eastAsia="黑体" w:cs="Times New Roman"/>
          <w:snapToGrid w:val="0"/>
          <w:color w:val="auto"/>
          <w:sz w:val="30"/>
          <w:szCs w:val="30"/>
        </w:rPr>
        <w:br w:type="page"/>
      </w:r>
    </w:p>
    <w:p>
      <w:pPr>
        <w:pStyle w:val="32"/>
        <w:spacing w:before="0" w:beforeAutospacing="0" w:after="0" w:afterAutospacing="0" w:line="360" w:lineRule="auto"/>
        <w:jc w:val="center"/>
        <w:outlineLvl w:val="0"/>
        <w:rPr>
          <w:rFonts w:hint="default" w:ascii="Times New Roman" w:hAnsi="Times New Roman" w:cs="Times New Roman"/>
          <w:snapToGrid w:val="0"/>
          <w:color w:val="auto"/>
          <w:sz w:val="30"/>
          <w:szCs w:val="30"/>
        </w:rPr>
      </w:pPr>
      <w:r>
        <w:rPr>
          <w:rFonts w:hint="default" w:ascii="Times New Roman" w:hAnsi="Times New Roman" w:eastAsia="黑体" w:cs="Times New Roman"/>
          <w:snapToGrid w:val="0"/>
          <w:color w:val="auto"/>
          <w:sz w:val="30"/>
          <w:szCs w:val="30"/>
        </w:rPr>
        <w:t>六、结论</w:t>
      </w:r>
      <w:bookmarkEnd w:id="43"/>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suppressLineNumbers w:val="0"/>
              <w:spacing w:before="240" w:beforeLines="100" w:beforeAutospacing="0" w:after="0" w:afterAutospacing="0" w:line="360" w:lineRule="auto"/>
              <w:ind w:left="0" w:right="0" w:firstLine="480" w:firstLineChars="200"/>
              <w:rPr>
                <w:rFonts w:hint="default" w:ascii="Times New Roman" w:hAnsi="Times New Roman" w:cs="Times New Roman"/>
                <w:color w:val="auto"/>
                <w:sz w:val="24"/>
              </w:rPr>
            </w:pPr>
            <w:bookmarkStart w:id="44" w:name="OLE_LINK100"/>
            <w:r>
              <w:rPr>
                <w:rFonts w:hint="default" w:ascii="Times New Roman" w:hAnsi="Times New Roman" w:cs="Times New Roman"/>
                <w:color w:val="auto"/>
                <w:sz w:val="24"/>
              </w:rPr>
              <w:t>本项目的建设符合国家的产业政策要求，用地符合当地用地规划和总体规划要求，在生产过程中落实本评价提出的各项污染防治措施，认真履行</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三同时</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制度后，各项污染物均可实现达标排放，且不会降低评价区域原有环境质量功能级别。因而从环境保护的角度而言，该项目是可行的。</w:t>
            </w:r>
          </w:p>
          <w:bookmarkEnd w:id="44"/>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rPr>
            </w:pPr>
          </w:p>
        </w:tc>
      </w:tr>
    </w:tbl>
    <w:p>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rPr>
          <w:rFonts w:hint="default" w:ascii="Times New Roman" w:hAnsi="Times New Roman" w:eastAsia="黑体" w:cs="Times New Roman"/>
          <w:snapToGrid w:val="0"/>
          <w:color w:val="auto"/>
          <w:sz w:val="32"/>
          <w:szCs w:val="32"/>
        </w:rPr>
      </w:pPr>
      <w:r>
        <w:rPr>
          <w:rFonts w:hint="default" w:ascii="Times New Roman" w:hAnsi="Times New Roman" w:eastAsia="黑体" w:cs="Times New Roman"/>
          <w:snapToGrid w:val="0"/>
          <w:color w:val="auto"/>
          <w:sz w:val="32"/>
          <w:szCs w:val="32"/>
        </w:rPr>
        <w:t>附表</w:t>
      </w:r>
    </w:p>
    <w:p>
      <w:pPr>
        <w:pStyle w:val="32"/>
        <w:keepNext w:val="0"/>
        <w:keepLines w:val="0"/>
        <w:pageBreakBefore w:val="0"/>
        <w:widowControl/>
        <w:kinsoku/>
        <w:wordWrap/>
        <w:overflowPunct/>
        <w:topLinePunct w:val="0"/>
        <w:autoSpaceDE/>
        <w:autoSpaceDN/>
        <w:bidi w:val="0"/>
        <w:spacing w:before="0" w:beforeAutospacing="0" w:after="0" w:afterAutospacing="0" w:line="240" w:lineRule="auto"/>
        <w:jc w:val="center"/>
        <w:textAlignment w:val="auto"/>
        <w:outlineLvl w:val="0"/>
        <w:rPr>
          <w:rFonts w:hint="default" w:ascii="Times New Roman" w:hAnsi="Times New Roman" w:eastAsia="黑体" w:cs="Times New Roman"/>
          <w:snapToGrid w:val="0"/>
          <w:color w:val="auto"/>
          <w:sz w:val="30"/>
          <w:szCs w:val="30"/>
        </w:rPr>
      </w:pPr>
      <w:bookmarkStart w:id="45" w:name="_Toc1703"/>
      <w:bookmarkStart w:id="46" w:name="OLE_LINK167"/>
      <w:r>
        <w:rPr>
          <w:rFonts w:hint="default" w:ascii="Times New Roman" w:hAnsi="Times New Roman" w:eastAsia="黑体" w:cs="Times New Roman"/>
          <w:snapToGrid w:val="0"/>
          <w:color w:val="auto"/>
          <w:sz w:val="30"/>
          <w:szCs w:val="30"/>
        </w:rPr>
        <w:t>建设项目污染物排放量汇总表</w:t>
      </w:r>
      <w:bookmarkEnd w:id="45"/>
    </w:p>
    <w:tbl>
      <w:tblPr>
        <w:tblStyle w:val="33"/>
        <w:tblW w:w="1384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741"/>
        <w:gridCol w:w="1800"/>
        <w:gridCol w:w="1163"/>
        <w:gridCol w:w="1706"/>
        <w:gridCol w:w="1575"/>
        <w:gridCol w:w="1556"/>
        <w:gridCol w:w="1932"/>
        <w:gridCol w:w="13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75" w:type="dxa"/>
            <w:tcBorders>
              <w:tl2br w:val="single" w:color="auto" w:sz="4" w:space="0"/>
            </w:tcBorders>
            <w:noWrap w:val="0"/>
            <w:tcMar>
              <w:left w:w="28" w:type="dxa"/>
              <w:right w:w="28" w:type="dxa"/>
            </w:tcMar>
            <w:vAlign w:val="center"/>
          </w:tcPr>
          <w:p>
            <w:pPr>
              <w:pStyle w:val="40"/>
              <w:keepNext w:val="0"/>
              <w:keepLines w:val="0"/>
              <w:suppressLineNumbers w:val="0"/>
              <w:spacing w:before="0" w:beforeLines="0" w:beforeAutospacing="0" w:after="0" w:afterLines="0" w:afterAutospacing="0" w:line="240" w:lineRule="auto"/>
              <w:ind w:right="0" w:firstLine="596" w:firstLineChars="300"/>
              <w:jc w:val="center"/>
              <w:rPr>
                <w:rFonts w:hint="default" w:ascii="Times New Roman" w:hAnsi="Times New Roman" w:eastAsia="宋体" w:cs="Times New Roman"/>
                <w:b/>
                <w:bCs/>
                <w:snapToGrid w:val="0"/>
                <w:color w:val="auto"/>
                <w:spacing w:val="-6"/>
                <w:kern w:val="21"/>
                <w:sz w:val="21"/>
                <w:szCs w:val="22"/>
                <w:lang w:val="en-US" w:eastAsia="zh-CN"/>
              </w:rPr>
            </w:pPr>
            <w:bookmarkStart w:id="47" w:name="OLE_LINK166" w:colFirst="0" w:colLast="8"/>
            <w:r>
              <w:rPr>
                <w:rFonts w:hint="default" w:ascii="Times New Roman" w:hAnsi="Times New Roman" w:eastAsia="宋体" w:cs="Times New Roman"/>
                <w:b/>
                <w:bCs/>
                <w:snapToGrid w:val="0"/>
                <w:color w:val="auto"/>
                <w:spacing w:val="-6"/>
                <w:kern w:val="21"/>
                <w:sz w:val="21"/>
                <w:szCs w:val="22"/>
                <w:lang w:val="en-US" w:eastAsia="zh-CN"/>
              </w:rPr>
              <w:t>项目</w:t>
            </w:r>
          </w:p>
          <w:p>
            <w:pPr>
              <w:pStyle w:val="40"/>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6"/>
                <w:kern w:val="21"/>
                <w:sz w:val="21"/>
                <w:szCs w:val="22"/>
                <w:lang w:val="en-US" w:eastAsia="zh-CN"/>
              </w:rPr>
            </w:pPr>
            <w:r>
              <w:rPr>
                <w:rFonts w:hint="default" w:ascii="Times New Roman" w:hAnsi="Times New Roman" w:eastAsia="宋体" w:cs="Times New Roman"/>
                <w:b/>
                <w:bCs/>
                <w:snapToGrid w:val="0"/>
                <w:color w:val="auto"/>
                <w:spacing w:val="-6"/>
                <w:kern w:val="21"/>
                <w:sz w:val="21"/>
                <w:szCs w:val="22"/>
                <w:lang w:val="en-US" w:eastAsia="zh-CN"/>
              </w:rPr>
              <w:t>分类</w:t>
            </w:r>
          </w:p>
        </w:tc>
        <w:tc>
          <w:tcPr>
            <w:tcW w:w="1741" w:type="dxa"/>
            <w:noWrap w:val="0"/>
            <w:tcMar>
              <w:left w:w="28" w:type="dxa"/>
              <w:right w:w="28" w:type="dxa"/>
            </w:tcMar>
            <w:vAlign w:val="center"/>
          </w:tcPr>
          <w:p>
            <w:pPr>
              <w:pStyle w:val="40"/>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6"/>
                <w:kern w:val="21"/>
                <w:sz w:val="21"/>
                <w:szCs w:val="22"/>
                <w:lang w:val="en-US" w:eastAsia="zh-CN"/>
              </w:rPr>
            </w:pPr>
            <w:r>
              <w:rPr>
                <w:rFonts w:hint="default" w:ascii="Times New Roman" w:hAnsi="Times New Roman" w:eastAsia="宋体" w:cs="Times New Roman"/>
                <w:b/>
                <w:bCs/>
                <w:snapToGrid w:val="0"/>
                <w:color w:val="auto"/>
                <w:spacing w:val="-6"/>
                <w:kern w:val="21"/>
                <w:sz w:val="21"/>
                <w:szCs w:val="22"/>
                <w:lang w:val="en-US" w:eastAsia="zh-CN"/>
              </w:rPr>
              <w:t>污染物名称</w:t>
            </w:r>
          </w:p>
        </w:tc>
        <w:tc>
          <w:tcPr>
            <w:tcW w:w="1800" w:type="dxa"/>
            <w:noWrap w:val="0"/>
            <w:tcMar>
              <w:left w:w="28" w:type="dxa"/>
              <w:right w:w="28" w:type="dxa"/>
            </w:tcMar>
            <w:vAlign w:val="center"/>
          </w:tcPr>
          <w:p>
            <w:pPr>
              <w:pStyle w:val="40"/>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6"/>
                <w:kern w:val="21"/>
                <w:sz w:val="21"/>
                <w:szCs w:val="22"/>
                <w:lang w:val="en-US" w:eastAsia="zh-CN"/>
              </w:rPr>
            </w:pPr>
            <w:r>
              <w:rPr>
                <w:rFonts w:hint="default" w:ascii="Times New Roman" w:hAnsi="Times New Roman" w:eastAsia="宋体" w:cs="Times New Roman"/>
                <w:b/>
                <w:bCs/>
                <w:snapToGrid w:val="0"/>
                <w:color w:val="auto"/>
                <w:spacing w:val="-6"/>
                <w:kern w:val="21"/>
                <w:sz w:val="21"/>
                <w:szCs w:val="22"/>
                <w:lang w:val="en-US" w:eastAsia="zh-CN"/>
              </w:rPr>
              <w:t>现有工程排放量（固体废物产生量）</w:t>
            </w:r>
            <w:r>
              <w:rPr>
                <w:rFonts w:hint="default" w:ascii="Times New Roman" w:hAnsi="Times New Roman" w:eastAsia="宋体" w:cs="Times New Roman"/>
                <w:b/>
                <w:bCs/>
                <w:snapToGrid w:val="0"/>
                <w:color w:val="auto"/>
                <w:spacing w:val="-6"/>
                <w:kern w:val="21"/>
                <w:sz w:val="21"/>
                <w:szCs w:val="22"/>
                <w:lang w:val="en-US" w:eastAsia="zh-CN"/>
              </w:rPr>
              <w:fldChar w:fldCharType="begin"/>
            </w:r>
            <w:r>
              <w:rPr>
                <w:rFonts w:hint="default" w:ascii="Times New Roman" w:hAnsi="Times New Roman" w:eastAsia="宋体" w:cs="Times New Roman"/>
                <w:b/>
                <w:bCs/>
                <w:snapToGrid w:val="0"/>
                <w:color w:val="auto"/>
                <w:spacing w:val="-6"/>
                <w:kern w:val="21"/>
                <w:sz w:val="21"/>
                <w:szCs w:val="22"/>
                <w:lang w:val="en-US" w:eastAsia="zh-CN"/>
              </w:rPr>
              <w:instrText xml:space="preserve">=1\*GB3\*MERGEFORMAT</w:instrText>
            </w:r>
            <w:r>
              <w:rPr>
                <w:rFonts w:hint="default" w:ascii="Times New Roman" w:hAnsi="Times New Roman" w:eastAsia="宋体" w:cs="Times New Roman"/>
                <w:b/>
                <w:bCs/>
                <w:snapToGrid w:val="0"/>
                <w:color w:val="auto"/>
                <w:spacing w:val="-6"/>
                <w:kern w:val="21"/>
                <w:sz w:val="21"/>
                <w:szCs w:val="22"/>
                <w:lang w:val="en-US" w:eastAsia="zh-CN"/>
              </w:rPr>
              <w:fldChar w:fldCharType="separate"/>
            </w:r>
            <w:r>
              <w:rPr>
                <w:rFonts w:hint="default" w:ascii="Times New Roman" w:hAnsi="Times New Roman" w:eastAsia="宋体" w:cs="Times New Roman"/>
                <w:b/>
                <w:bCs/>
                <w:color w:val="auto"/>
                <w:kern w:val="2"/>
                <w:sz w:val="21"/>
                <w:szCs w:val="22"/>
                <w:lang w:val="en-US" w:eastAsia="zh-CN"/>
              </w:rPr>
              <w:t>①</w:t>
            </w:r>
            <w:r>
              <w:rPr>
                <w:rFonts w:hint="default" w:ascii="Times New Roman" w:hAnsi="Times New Roman" w:eastAsia="宋体" w:cs="Times New Roman"/>
                <w:b/>
                <w:bCs/>
                <w:snapToGrid w:val="0"/>
                <w:color w:val="auto"/>
                <w:spacing w:val="-6"/>
                <w:kern w:val="21"/>
                <w:sz w:val="21"/>
                <w:szCs w:val="22"/>
                <w:lang w:val="en-US" w:eastAsia="zh-CN"/>
              </w:rPr>
              <w:fldChar w:fldCharType="end"/>
            </w:r>
          </w:p>
        </w:tc>
        <w:tc>
          <w:tcPr>
            <w:tcW w:w="1163" w:type="dxa"/>
            <w:noWrap w:val="0"/>
            <w:tcMar>
              <w:left w:w="28" w:type="dxa"/>
              <w:right w:w="28" w:type="dxa"/>
            </w:tcMar>
            <w:vAlign w:val="center"/>
          </w:tcPr>
          <w:p>
            <w:pPr>
              <w:pStyle w:val="40"/>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6"/>
                <w:kern w:val="21"/>
                <w:sz w:val="21"/>
                <w:szCs w:val="22"/>
                <w:lang w:val="en-US" w:eastAsia="zh-CN"/>
              </w:rPr>
            </w:pPr>
            <w:r>
              <w:rPr>
                <w:rFonts w:hint="default" w:ascii="Times New Roman" w:hAnsi="Times New Roman" w:eastAsia="宋体" w:cs="Times New Roman"/>
                <w:b/>
                <w:bCs/>
                <w:snapToGrid w:val="0"/>
                <w:color w:val="auto"/>
                <w:spacing w:val="-6"/>
                <w:kern w:val="21"/>
                <w:sz w:val="21"/>
                <w:szCs w:val="22"/>
                <w:lang w:val="en-US" w:eastAsia="zh-CN"/>
              </w:rPr>
              <w:t>现有工程许可排放量</w:t>
            </w:r>
            <w:r>
              <w:rPr>
                <w:rFonts w:hint="default" w:ascii="Times New Roman" w:hAnsi="Times New Roman" w:eastAsia="宋体" w:cs="Times New Roman"/>
                <w:b/>
                <w:bCs/>
                <w:snapToGrid w:val="0"/>
                <w:color w:val="auto"/>
                <w:spacing w:val="-6"/>
                <w:kern w:val="21"/>
                <w:sz w:val="21"/>
                <w:szCs w:val="22"/>
                <w:lang w:val="en-US" w:eastAsia="zh-CN"/>
              </w:rPr>
              <w:fldChar w:fldCharType="begin"/>
            </w:r>
            <w:r>
              <w:rPr>
                <w:rFonts w:hint="default" w:ascii="Times New Roman" w:hAnsi="Times New Roman" w:eastAsia="宋体" w:cs="Times New Roman"/>
                <w:b/>
                <w:bCs/>
                <w:snapToGrid w:val="0"/>
                <w:color w:val="auto"/>
                <w:spacing w:val="-6"/>
                <w:kern w:val="21"/>
                <w:sz w:val="21"/>
                <w:szCs w:val="22"/>
                <w:lang w:val="en-US" w:eastAsia="zh-CN"/>
              </w:rPr>
              <w:instrText xml:space="preserve">=2\*GB3\*MERGEFORMAT</w:instrText>
            </w:r>
            <w:r>
              <w:rPr>
                <w:rFonts w:hint="default" w:ascii="Times New Roman" w:hAnsi="Times New Roman" w:eastAsia="宋体" w:cs="Times New Roman"/>
                <w:b/>
                <w:bCs/>
                <w:snapToGrid w:val="0"/>
                <w:color w:val="auto"/>
                <w:spacing w:val="-6"/>
                <w:kern w:val="21"/>
                <w:sz w:val="21"/>
                <w:szCs w:val="22"/>
                <w:lang w:val="en-US" w:eastAsia="zh-CN"/>
              </w:rPr>
              <w:fldChar w:fldCharType="separate"/>
            </w:r>
            <w:r>
              <w:rPr>
                <w:rFonts w:hint="default" w:ascii="Times New Roman" w:hAnsi="Times New Roman" w:eastAsia="宋体" w:cs="Times New Roman"/>
                <w:b/>
                <w:bCs/>
                <w:snapToGrid w:val="0"/>
                <w:color w:val="auto"/>
                <w:spacing w:val="-6"/>
                <w:kern w:val="21"/>
                <w:sz w:val="21"/>
                <w:szCs w:val="22"/>
                <w:lang w:val="en-US" w:eastAsia="zh-CN"/>
              </w:rPr>
              <w:t>②</w:t>
            </w:r>
            <w:r>
              <w:rPr>
                <w:rFonts w:hint="default" w:ascii="Times New Roman" w:hAnsi="Times New Roman" w:eastAsia="宋体" w:cs="Times New Roman"/>
                <w:b/>
                <w:bCs/>
                <w:snapToGrid w:val="0"/>
                <w:color w:val="auto"/>
                <w:spacing w:val="-6"/>
                <w:kern w:val="21"/>
                <w:sz w:val="21"/>
                <w:szCs w:val="22"/>
                <w:lang w:val="en-US" w:eastAsia="zh-CN"/>
              </w:rPr>
              <w:fldChar w:fldCharType="end"/>
            </w:r>
          </w:p>
        </w:tc>
        <w:tc>
          <w:tcPr>
            <w:tcW w:w="1706" w:type="dxa"/>
            <w:noWrap w:val="0"/>
            <w:tcMar>
              <w:left w:w="28" w:type="dxa"/>
              <w:right w:w="28" w:type="dxa"/>
            </w:tcMar>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63" w:leftChars="-30" w:right="-63" w:rightChars="-30"/>
              <w:jc w:val="center"/>
              <w:textAlignment w:val="auto"/>
              <w:rPr>
                <w:rFonts w:hint="default" w:ascii="Times New Roman" w:hAnsi="Times New Roman" w:eastAsia="宋体" w:cs="Times New Roman"/>
                <w:b/>
                <w:bCs/>
                <w:snapToGrid w:val="0"/>
                <w:color w:val="auto"/>
                <w:spacing w:val="-6"/>
                <w:kern w:val="21"/>
                <w:sz w:val="21"/>
                <w:szCs w:val="22"/>
                <w:lang w:val="en-US" w:eastAsia="zh-CN"/>
              </w:rPr>
            </w:pPr>
            <w:r>
              <w:rPr>
                <w:rFonts w:hint="default" w:ascii="Times New Roman" w:hAnsi="Times New Roman" w:eastAsia="宋体" w:cs="Times New Roman"/>
                <w:b/>
                <w:bCs/>
                <w:snapToGrid w:val="0"/>
                <w:color w:val="auto"/>
                <w:spacing w:val="-6"/>
                <w:kern w:val="21"/>
                <w:sz w:val="21"/>
                <w:szCs w:val="22"/>
                <w:lang w:val="en-US" w:eastAsia="zh-CN"/>
              </w:rPr>
              <w:t>在建工程排放量（固体废物产生量）</w:t>
            </w:r>
            <w:r>
              <w:rPr>
                <w:rFonts w:hint="default" w:ascii="Times New Roman" w:hAnsi="Times New Roman" w:eastAsia="宋体" w:cs="Times New Roman"/>
                <w:b/>
                <w:bCs/>
                <w:snapToGrid w:val="0"/>
                <w:color w:val="auto"/>
                <w:spacing w:val="-6"/>
                <w:kern w:val="21"/>
                <w:sz w:val="21"/>
                <w:szCs w:val="22"/>
                <w:lang w:val="en-US" w:eastAsia="zh-CN"/>
              </w:rPr>
              <w:fldChar w:fldCharType="begin"/>
            </w:r>
            <w:r>
              <w:rPr>
                <w:rFonts w:hint="default" w:ascii="Times New Roman" w:hAnsi="Times New Roman" w:eastAsia="宋体" w:cs="Times New Roman"/>
                <w:b/>
                <w:bCs/>
                <w:snapToGrid w:val="0"/>
                <w:color w:val="auto"/>
                <w:spacing w:val="-6"/>
                <w:kern w:val="21"/>
                <w:sz w:val="21"/>
                <w:szCs w:val="22"/>
                <w:lang w:val="en-US" w:eastAsia="zh-CN"/>
              </w:rPr>
              <w:instrText xml:space="preserve">=3\*GB3\*MERGEFORMAT</w:instrText>
            </w:r>
            <w:r>
              <w:rPr>
                <w:rFonts w:hint="default" w:ascii="Times New Roman" w:hAnsi="Times New Roman" w:eastAsia="宋体" w:cs="Times New Roman"/>
                <w:b/>
                <w:bCs/>
                <w:snapToGrid w:val="0"/>
                <w:color w:val="auto"/>
                <w:spacing w:val="-6"/>
                <w:kern w:val="21"/>
                <w:sz w:val="21"/>
                <w:szCs w:val="22"/>
                <w:lang w:val="en-US" w:eastAsia="zh-CN"/>
              </w:rPr>
              <w:fldChar w:fldCharType="separate"/>
            </w:r>
            <w:r>
              <w:rPr>
                <w:rFonts w:hint="default" w:ascii="Times New Roman" w:hAnsi="Times New Roman" w:eastAsia="宋体" w:cs="Times New Roman"/>
                <w:b/>
                <w:bCs/>
                <w:color w:val="auto"/>
                <w:kern w:val="2"/>
                <w:sz w:val="21"/>
                <w:szCs w:val="22"/>
                <w:lang w:val="en-US" w:eastAsia="zh-CN"/>
              </w:rPr>
              <w:t>③</w:t>
            </w:r>
            <w:r>
              <w:rPr>
                <w:rFonts w:hint="default" w:ascii="Times New Roman" w:hAnsi="Times New Roman" w:eastAsia="宋体" w:cs="Times New Roman"/>
                <w:b/>
                <w:bCs/>
                <w:snapToGrid w:val="0"/>
                <w:color w:val="auto"/>
                <w:spacing w:val="-6"/>
                <w:kern w:val="21"/>
                <w:sz w:val="21"/>
                <w:szCs w:val="22"/>
                <w:lang w:val="en-US" w:eastAsia="zh-CN"/>
              </w:rPr>
              <w:fldChar w:fldCharType="end"/>
            </w:r>
          </w:p>
        </w:tc>
        <w:tc>
          <w:tcPr>
            <w:tcW w:w="1575" w:type="dxa"/>
            <w:noWrap w:val="0"/>
            <w:tcMar>
              <w:left w:w="28" w:type="dxa"/>
              <w:right w:w="28" w:type="dxa"/>
            </w:tcMar>
            <w:vAlign w:val="center"/>
          </w:tcPr>
          <w:p>
            <w:pPr>
              <w:pStyle w:val="40"/>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6"/>
                <w:kern w:val="21"/>
                <w:sz w:val="21"/>
                <w:szCs w:val="22"/>
                <w:lang w:val="en-US" w:eastAsia="zh-CN"/>
              </w:rPr>
            </w:pPr>
            <w:r>
              <w:rPr>
                <w:rFonts w:hint="default" w:ascii="Times New Roman" w:hAnsi="Times New Roman" w:eastAsia="宋体" w:cs="Times New Roman"/>
                <w:b/>
                <w:bCs/>
                <w:snapToGrid w:val="0"/>
                <w:color w:val="auto"/>
                <w:spacing w:val="-6"/>
                <w:kern w:val="21"/>
                <w:sz w:val="21"/>
                <w:szCs w:val="22"/>
                <w:lang w:val="en-US" w:eastAsia="zh-CN"/>
              </w:rPr>
              <w:t>本项目排放量（固体废物产生量）</w:t>
            </w:r>
            <w:r>
              <w:rPr>
                <w:rFonts w:hint="default" w:ascii="Times New Roman" w:hAnsi="Times New Roman" w:eastAsia="宋体" w:cs="Times New Roman"/>
                <w:b/>
                <w:bCs/>
                <w:snapToGrid w:val="0"/>
                <w:color w:val="auto"/>
                <w:spacing w:val="-6"/>
                <w:kern w:val="21"/>
                <w:sz w:val="21"/>
                <w:szCs w:val="22"/>
                <w:lang w:val="en-US" w:eastAsia="zh-CN"/>
              </w:rPr>
              <w:fldChar w:fldCharType="begin"/>
            </w:r>
            <w:r>
              <w:rPr>
                <w:rFonts w:hint="default" w:ascii="Times New Roman" w:hAnsi="Times New Roman" w:eastAsia="宋体" w:cs="Times New Roman"/>
                <w:b/>
                <w:bCs/>
                <w:snapToGrid w:val="0"/>
                <w:color w:val="auto"/>
                <w:spacing w:val="-6"/>
                <w:kern w:val="21"/>
                <w:sz w:val="21"/>
                <w:szCs w:val="22"/>
                <w:lang w:val="en-US" w:eastAsia="zh-CN"/>
              </w:rPr>
              <w:instrText xml:space="preserve">=4\*GB3\*MERGEFORMAT</w:instrText>
            </w:r>
            <w:r>
              <w:rPr>
                <w:rFonts w:hint="default" w:ascii="Times New Roman" w:hAnsi="Times New Roman" w:eastAsia="宋体" w:cs="Times New Roman"/>
                <w:b/>
                <w:bCs/>
                <w:snapToGrid w:val="0"/>
                <w:color w:val="auto"/>
                <w:spacing w:val="-6"/>
                <w:kern w:val="21"/>
                <w:sz w:val="21"/>
                <w:szCs w:val="22"/>
                <w:lang w:val="en-US" w:eastAsia="zh-CN"/>
              </w:rPr>
              <w:fldChar w:fldCharType="separate"/>
            </w:r>
            <w:r>
              <w:rPr>
                <w:rFonts w:hint="default" w:ascii="Times New Roman" w:hAnsi="Times New Roman" w:eastAsia="宋体" w:cs="Times New Roman"/>
                <w:b/>
                <w:bCs/>
                <w:color w:val="auto"/>
                <w:kern w:val="2"/>
                <w:sz w:val="21"/>
                <w:szCs w:val="22"/>
                <w:lang w:val="en-US" w:eastAsia="zh-CN"/>
              </w:rPr>
              <w:t>④</w:t>
            </w:r>
            <w:r>
              <w:rPr>
                <w:rFonts w:hint="default" w:ascii="Times New Roman" w:hAnsi="Times New Roman" w:eastAsia="宋体" w:cs="Times New Roman"/>
                <w:b/>
                <w:bCs/>
                <w:snapToGrid w:val="0"/>
                <w:color w:val="auto"/>
                <w:spacing w:val="-6"/>
                <w:kern w:val="21"/>
                <w:sz w:val="21"/>
                <w:szCs w:val="22"/>
                <w:lang w:val="en-US" w:eastAsia="zh-CN"/>
              </w:rPr>
              <w:fldChar w:fldCharType="end"/>
            </w:r>
          </w:p>
        </w:tc>
        <w:tc>
          <w:tcPr>
            <w:tcW w:w="1556" w:type="dxa"/>
            <w:noWrap w:val="0"/>
            <w:tcMar>
              <w:left w:w="28" w:type="dxa"/>
              <w:right w:w="28" w:type="dxa"/>
            </w:tcMar>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42" w:leftChars="-20" w:right="-42" w:rightChars="-20"/>
              <w:jc w:val="center"/>
              <w:textAlignment w:val="auto"/>
              <w:rPr>
                <w:rFonts w:hint="default" w:ascii="Times New Roman" w:hAnsi="Times New Roman" w:eastAsia="宋体" w:cs="Times New Roman"/>
                <w:b/>
                <w:bCs/>
                <w:snapToGrid w:val="0"/>
                <w:color w:val="auto"/>
                <w:spacing w:val="-16"/>
                <w:kern w:val="21"/>
                <w:sz w:val="21"/>
                <w:szCs w:val="22"/>
                <w:lang w:val="en-US" w:eastAsia="zh-CN"/>
              </w:rPr>
            </w:pPr>
            <w:r>
              <w:rPr>
                <w:rFonts w:hint="default" w:ascii="Times New Roman" w:hAnsi="Times New Roman" w:eastAsia="宋体" w:cs="Times New Roman"/>
                <w:b/>
                <w:bCs/>
                <w:snapToGrid w:val="0"/>
                <w:color w:val="auto"/>
                <w:spacing w:val="-16"/>
                <w:kern w:val="21"/>
                <w:sz w:val="21"/>
                <w:szCs w:val="22"/>
                <w:lang w:val="en-US" w:eastAsia="zh-CN"/>
              </w:rPr>
              <w:t>以新带老削减量</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42" w:leftChars="-20" w:right="-42" w:rightChars="-20"/>
              <w:jc w:val="center"/>
              <w:textAlignment w:val="auto"/>
              <w:rPr>
                <w:rFonts w:hint="default" w:ascii="Times New Roman" w:hAnsi="Times New Roman" w:eastAsia="宋体" w:cs="Times New Roman"/>
                <w:b/>
                <w:bCs/>
                <w:snapToGrid w:val="0"/>
                <w:color w:val="auto"/>
                <w:spacing w:val="-16"/>
                <w:kern w:val="21"/>
                <w:sz w:val="21"/>
                <w:szCs w:val="22"/>
                <w:lang w:val="en-US" w:eastAsia="zh-CN"/>
              </w:rPr>
            </w:pPr>
            <w:r>
              <w:rPr>
                <w:rFonts w:hint="default" w:ascii="Times New Roman" w:hAnsi="Times New Roman" w:eastAsia="宋体" w:cs="Times New Roman"/>
                <w:b/>
                <w:bCs/>
                <w:snapToGrid w:val="0"/>
                <w:color w:val="auto"/>
                <w:spacing w:val="-16"/>
                <w:kern w:val="21"/>
                <w:sz w:val="21"/>
                <w:szCs w:val="22"/>
                <w:lang w:val="en-US" w:eastAsia="zh-CN"/>
              </w:rPr>
              <w:t>（新建项目不填）</w:t>
            </w:r>
            <w:r>
              <w:rPr>
                <w:rFonts w:hint="default" w:ascii="Times New Roman" w:hAnsi="Times New Roman" w:eastAsia="宋体" w:cs="Times New Roman"/>
                <w:b/>
                <w:bCs/>
                <w:snapToGrid w:val="0"/>
                <w:color w:val="auto"/>
                <w:spacing w:val="-16"/>
                <w:kern w:val="21"/>
                <w:sz w:val="21"/>
                <w:szCs w:val="22"/>
                <w:lang w:val="en-US" w:eastAsia="zh-CN"/>
              </w:rPr>
              <w:fldChar w:fldCharType="begin"/>
            </w:r>
            <w:r>
              <w:rPr>
                <w:rFonts w:hint="default" w:ascii="Times New Roman" w:hAnsi="Times New Roman" w:eastAsia="宋体" w:cs="Times New Roman"/>
                <w:b/>
                <w:bCs/>
                <w:snapToGrid w:val="0"/>
                <w:color w:val="auto"/>
                <w:spacing w:val="-16"/>
                <w:kern w:val="21"/>
                <w:sz w:val="21"/>
                <w:szCs w:val="22"/>
                <w:lang w:val="en-US" w:eastAsia="zh-CN"/>
              </w:rPr>
              <w:instrText xml:space="preserve">=5\*GB3\*MERGEFORMAT</w:instrText>
            </w:r>
            <w:r>
              <w:rPr>
                <w:rFonts w:hint="default" w:ascii="Times New Roman" w:hAnsi="Times New Roman" w:eastAsia="宋体" w:cs="Times New Roman"/>
                <w:b/>
                <w:bCs/>
                <w:snapToGrid w:val="0"/>
                <w:color w:val="auto"/>
                <w:spacing w:val="-16"/>
                <w:kern w:val="21"/>
                <w:sz w:val="21"/>
                <w:szCs w:val="22"/>
                <w:lang w:val="en-US" w:eastAsia="zh-CN"/>
              </w:rPr>
              <w:fldChar w:fldCharType="separate"/>
            </w:r>
            <w:r>
              <w:rPr>
                <w:rFonts w:hint="default" w:ascii="Times New Roman" w:hAnsi="Times New Roman" w:eastAsia="宋体" w:cs="Times New Roman"/>
                <w:b/>
                <w:bCs/>
                <w:color w:val="auto"/>
                <w:kern w:val="2"/>
                <w:sz w:val="21"/>
                <w:szCs w:val="22"/>
                <w:lang w:val="en-US" w:eastAsia="zh-CN"/>
              </w:rPr>
              <w:t>⑤</w:t>
            </w:r>
            <w:r>
              <w:rPr>
                <w:rFonts w:hint="default" w:ascii="Times New Roman" w:hAnsi="Times New Roman" w:eastAsia="宋体" w:cs="Times New Roman"/>
                <w:b/>
                <w:bCs/>
                <w:snapToGrid w:val="0"/>
                <w:color w:val="auto"/>
                <w:spacing w:val="-16"/>
                <w:kern w:val="21"/>
                <w:sz w:val="21"/>
                <w:szCs w:val="22"/>
                <w:lang w:val="en-US" w:eastAsia="zh-CN"/>
              </w:rPr>
              <w:fldChar w:fldCharType="end"/>
            </w:r>
          </w:p>
        </w:tc>
        <w:tc>
          <w:tcPr>
            <w:tcW w:w="1932" w:type="dxa"/>
            <w:noWrap w:val="0"/>
            <w:tcMar>
              <w:left w:w="28" w:type="dxa"/>
              <w:right w:w="28" w:type="dxa"/>
            </w:tcMar>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63" w:leftChars="-30" w:right="-63" w:rightChars="-30"/>
              <w:jc w:val="center"/>
              <w:textAlignment w:val="auto"/>
              <w:rPr>
                <w:rFonts w:hint="default" w:ascii="Times New Roman" w:hAnsi="Times New Roman" w:eastAsia="宋体" w:cs="Times New Roman"/>
                <w:b/>
                <w:bCs/>
                <w:snapToGrid w:val="0"/>
                <w:color w:val="auto"/>
                <w:spacing w:val="-16"/>
                <w:kern w:val="21"/>
                <w:sz w:val="21"/>
                <w:szCs w:val="22"/>
                <w:lang w:val="en-US" w:eastAsia="zh-CN"/>
              </w:rPr>
            </w:pPr>
            <w:r>
              <w:rPr>
                <w:rFonts w:hint="default" w:ascii="Times New Roman" w:hAnsi="Times New Roman" w:eastAsia="宋体" w:cs="Times New Roman"/>
                <w:b/>
                <w:bCs/>
                <w:snapToGrid w:val="0"/>
                <w:color w:val="auto"/>
                <w:spacing w:val="-16"/>
                <w:kern w:val="21"/>
                <w:sz w:val="21"/>
                <w:szCs w:val="22"/>
                <w:lang w:val="en-US" w:eastAsia="zh-CN"/>
              </w:rPr>
              <w:t>本项目建成后全厂排放量（固体废物产生量）</w:t>
            </w:r>
            <w:r>
              <w:rPr>
                <w:rFonts w:hint="default" w:ascii="Times New Roman" w:hAnsi="Times New Roman" w:eastAsia="宋体" w:cs="Times New Roman"/>
                <w:b/>
                <w:bCs/>
                <w:snapToGrid w:val="0"/>
                <w:color w:val="auto"/>
                <w:spacing w:val="-16"/>
                <w:kern w:val="21"/>
                <w:sz w:val="21"/>
                <w:szCs w:val="22"/>
                <w:lang w:val="en-US" w:eastAsia="zh-CN"/>
              </w:rPr>
              <w:fldChar w:fldCharType="begin"/>
            </w:r>
            <w:r>
              <w:rPr>
                <w:rFonts w:hint="default" w:ascii="Times New Roman" w:hAnsi="Times New Roman" w:eastAsia="宋体" w:cs="Times New Roman"/>
                <w:b/>
                <w:bCs/>
                <w:snapToGrid w:val="0"/>
                <w:color w:val="auto"/>
                <w:spacing w:val="-16"/>
                <w:kern w:val="21"/>
                <w:sz w:val="21"/>
                <w:szCs w:val="22"/>
                <w:lang w:val="en-US" w:eastAsia="zh-CN"/>
              </w:rPr>
              <w:instrText xml:space="preserve">=6\*GB3\*MERGEFORMAT</w:instrText>
            </w:r>
            <w:r>
              <w:rPr>
                <w:rFonts w:hint="default" w:ascii="Times New Roman" w:hAnsi="Times New Roman" w:eastAsia="宋体" w:cs="Times New Roman"/>
                <w:b/>
                <w:bCs/>
                <w:snapToGrid w:val="0"/>
                <w:color w:val="auto"/>
                <w:spacing w:val="-16"/>
                <w:kern w:val="21"/>
                <w:sz w:val="21"/>
                <w:szCs w:val="22"/>
                <w:lang w:val="en-US" w:eastAsia="zh-CN"/>
              </w:rPr>
              <w:fldChar w:fldCharType="separate"/>
            </w:r>
            <w:r>
              <w:rPr>
                <w:rFonts w:hint="default" w:ascii="Times New Roman" w:hAnsi="Times New Roman" w:eastAsia="宋体" w:cs="Times New Roman"/>
                <w:b/>
                <w:bCs/>
                <w:color w:val="auto"/>
                <w:kern w:val="2"/>
                <w:sz w:val="21"/>
                <w:szCs w:val="22"/>
                <w:lang w:val="en-US" w:eastAsia="zh-CN"/>
              </w:rPr>
              <w:t>⑥</w:t>
            </w:r>
            <w:r>
              <w:rPr>
                <w:rFonts w:hint="default" w:ascii="Times New Roman" w:hAnsi="Times New Roman" w:eastAsia="宋体" w:cs="Times New Roman"/>
                <w:b/>
                <w:bCs/>
                <w:snapToGrid w:val="0"/>
                <w:color w:val="auto"/>
                <w:spacing w:val="-16"/>
                <w:kern w:val="21"/>
                <w:sz w:val="21"/>
                <w:szCs w:val="22"/>
                <w:lang w:val="en-US" w:eastAsia="zh-CN"/>
              </w:rPr>
              <w:fldChar w:fldCharType="end"/>
            </w:r>
          </w:p>
        </w:tc>
        <w:tc>
          <w:tcPr>
            <w:tcW w:w="1301" w:type="dxa"/>
            <w:noWrap w:val="0"/>
            <w:tcMar>
              <w:left w:w="28" w:type="dxa"/>
              <w:right w:w="28" w:type="dxa"/>
            </w:tcMar>
            <w:vAlign w:val="center"/>
          </w:tcPr>
          <w:p>
            <w:pPr>
              <w:pStyle w:val="40"/>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6"/>
                <w:kern w:val="21"/>
                <w:sz w:val="21"/>
                <w:szCs w:val="22"/>
                <w:lang w:val="en-US" w:eastAsia="zh-CN"/>
              </w:rPr>
            </w:pPr>
            <w:r>
              <w:rPr>
                <w:rFonts w:hint="default" w:ascii="Times New Roman" w:hAnsi="Times New Roman" w:eastAsia="宋体" w:cs="Times New Roman"/>
                <w:b/>
                <w:bCs/>
                <w:snapToGrid w:val="0"/>
                <w:color w:val="auto"/>
                <w:spacing w:val="-6"/>
                <w:kern w:val="21"/>
                <w:sz w:val="21"/>
                <w:szCs w:val="22"/>
                <w:lang w:val="en-US" w:eastAsia="zh-CN"/>
              </w:rPr>
              <w:t>变化量</w:t>
            </w:r>
          </w:p>
          <w:p>
            <w:pPr>
              <w:pStyle w:val="40"/>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6"/>
                <w:kern w:val="21"/>
                <w:sz w:val="21"/>
                <w:szCs w:val="22"/>
                <w:lang w:val="en-US" w:eastAsia="zh-CN"/>
              </w:rPr>
            </w:pPr>
            <w:r>
              <w:rPr>
                <w:rFonts w:hint="default" w:ascii="Times New Roman" w:hAnsi="Times New Roman" w:eastAsia="宋体" w:cs="Times New Roman"/>
                <w:b/>
                <w:bCs/>
                <w:snapToGrid w:val="0"/>
                <w:color w:val="auto"/>
                <w:spacing w:val="-6"/>
                <w:kern w:val="21"/>
                <w:sz w:val="21"/>
                <w:szCs w:val="22"/>
                <w:lang w:val="en-US" w:eastAsia="zh-CN"/>
              </w:rPr>
              <w:fldChar w:fldCharType="begin"/>
            </w:r>
            <w:r>
              <w:rPr>
                <w:rFonts w:hint="default" w:ascii="Times New Roman" w:hAnsi="Times New Roman" w:eastAsia="宋体" w:cs="Times New Roman"/>
                <w:b/>
                <w:bCs/>
                <w:snapToGrid w:val="0"/>
                <w:color w:val="auto"/>
                <w:spacing w:val="-6"/>
                <w:kern w:val="21"/>
                <w:sz w:val="21"/>
                <w:szCs w:val="22"/>
                <w:lang w:val="en-US" w:eastAsia="zh-CN"/>
              </w:rPr>
              <w:instrText xml:space="preserve">=7\*GB3\*MERGEFORMAT</w:instrText>
            </w:r>
            <w:r>
              <w:rPr>
                <w:rFonts w:hint="default" w:ascii="Times New Roman" w:hAnsi="Times New Roman" w:eastAsia="宋体" w:cs="Times New Roman"/>
                <w:b/>
                <w:bCs/>
                <w:snapToGrid w:val="0"/>
                <w:color w:val="auto"/>
                <w:spacing w:val="-6"/>
                <w:kern w:val="21"/>
                <w:sz w:val="21"/>
                <w:szCs w:val="22"/>
                <w:lang w:val="en-US" w:eastAsia="zh-CN"/>
              </w:rPr>
              <w:fldChar w:fldCharType="separate"/>
            </w:r>
            <w:r>
              <w:rPr>
                <w:rFonts w:hint="default" w:ascii="Times New Roman" w:hAnsi="Times New Roman" w:eastAsia="宋体" w:cs="Times New Roman"/>
                <w:b/>
                <w:bCs/>
                <w:color w:val="auto"/>
                <w:kern w:val="2"/>
                <w:sz w:val="21"/>
                <w:szCs w:val="22"/>
                <w:lang w:val="en-US" w:eastAsia="zh-CN"/>
              </w:rPr>
              <w:t>⑦</w:t>
            </w:r>
            <w:r>
              <w:rPr>
                <w:rFonts w:hint="default" w:ascii="Times New Roman" w:hAnsi="Times New Roman" w:eastAsia="宋体" w:cs="Times New Roman"/>
                <w:b/>
                <w:bCs/>
                <w:snapToGrid w:val="0"/>
                <w:color w:val="auto"/>
                <w:spacing w:val="-6"/>
                <w:kern w:val="21"/>
                <w:sz w:val="21"/>
                <w:szCs w:val="22"/>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1075" w:type="dxa"/>
            <w:noWrap w:val="0"/>
            <w:vAlign w:val="center"/>
          </w:tcPr>
          <w:p>
            <w:pPr>
              <w:pStyle w:val="40"/>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color w:val="auto"/>
                <w:sz w:val="21"/>
                <w:szCs w:val="22"/>
                <w:lang w:val="en-US" w:eastAsia="zh-CN"/>
              </w:rPr>
            </w:pPr>
            <w:bookmarkStart w:id="48" w:name="OLE_LINK115" w:colFirst="5" w:colLast="5"/>
            <w:r>
              <w:rPr>
                <w:rFonts w:hint="default" w:ascii="Times New Roman" w:hAnsi="Times New Roman" w:eastAsia="宋体" w:cs="Times New Roman"/>
                <w:color w:val="auto"/>
                <w:sz w:val="21"/>
                <w:szCs w:val="22"/>
                <w:lang w:val="en-US" w:eastAsia="zh-CN"/>
              </w:rPr>
              <w:t>废气</w:t>
            </w:r>
          </w:p>
        </w:tc>
        <w:tc>
          <w:tcPr>
            <w:tcW w:w="1741" w:type="dxa"/>
            <w:noWrap w:val="0"/>
            <w:vAlign w:val="center"/>
          </w:tcPr>
          <w:p>
            <w:pPr>
              <w:pStyle w:val="40"/>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21"/>
                <w:sz w:val="21"/>
                <w:szCs w:val="22"/>
                <w:lang w:val="en-US" w:eastAsia="zh-CN"/>
              </w:rPr>
            </w:pPr>
            <w:r>
              <w:rPr>
                <w:rFonts w:hint="eastAsia" w:ascii="Times New Roman" w:eastAsia="宋体" w:cs="Times New Roman"/>
                <w:b w:val="0"/>
                <w:bCs w:val="0"/>
                <w:snapToGrid w:val="0"/>
                <w:color w:val="auto"/>
                <w:kern w:val="21"/>
                <w:sz w:val="21"/>
                <w:szCs w:val="22"/>
                <w:lang w:val="en-US" w:eastAsia="zh-CN"/>
              </w:rPr>
              <w:t>非甲烷总烃</w:t>
            </w:r>
          </w:p>
        </w:tc>
        <w:tc>
          <w:tcPr>
            <w:tcW w:w="1800"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2"/>
                <w:lang w:val="en-US"/>
              </w:rPr>
            </w:pPr>
            <w:r>
              <w:rPr>
                <w:rFonts w:hint="default" w:ascii="Times New Roman" w:hAnsi="Times New Roman" w:eastAsia="宋体" w:cs="Times New Roman"/>
                <w:b w:val="0"/>
                <w:bCs w:val="0"/>
                <w:snapToGrid w:val="0"/>
                <w:color w:val="auto"/>
                <w:kern w:val="21"/>
                <w:sz w:val="21"/>
                <w:szCs w:val="22"/>
              </w:rPr>
              <w:t>/</w:t>
            </w:r>
          </w:p>
        </w:tc>
        <w:tc>
          <w:tcPr>
            <w:tcW w:w="116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2"/>
              </w:rPr>
            </w:pPr>
            <w:r>
              <w:rPr>
                <w:rFonts w:hint="default" w:ascii="Times New Roman" w:hAnsi="Times New Roman" w:eastAsia="宋体" w:cs="Times New Roman"/>
                <w:b w:val="0"/>
                <w:bCs w:val="0"/>
                <w:snapToGrid w:val="0"/>
                <w:color w:val="auto"/>
                <w:kern w:val="21"/>
                <w:sz w:val="21"/>
                <w:szCs w:val="22"/>
              </w:rPr>
              <w:t>/</w:t>
            </w:r>
          </w:p>
        </w:tc>
        <w:tc>
          <w:tcPr>
            <w:tcW w:w="170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2"/>
              </w:rPr>
            </w:pPr>
            <w:r>
              <w:rPr>
                <w:rFonts w:hint="default" w:ascii="Times New Roman" w:hAnsi="Times New Roman" w:eastAsia="宋体" w:cs="Times New Roman"/>
                <w:b w:val="0"/>
                <w:bCs w:val="0"/>
                <w:snapToGrid w:val="0"/>
                <w:color w:val="auto"/>
                <w:kern w:val="21"/>
                <w:sz w:val="21"/>
                <w:szCs w:val="22"/>
              </w:rPr>
              <w:t>/</w:t>
            </w:r>
          </w:p>
        </w:tc>
        <w:tc>
          <w:tcPr>
            <w:tcW w:w="15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2"/>
                <w:lang w:val="en-US" w:eastAsia="zh-CN"/>
              </w:rPr>
            </w:pPr>
            <w:r>
              <w:rPr>
                <w:rFonts w:hint="eastAsia" w:cs="Times New Roman"/>
                <w:b w:val="0"/>
                <w:bCs w:val="0"/>
                <w:snapToGrid w:val="0"/>
                <w:color w:val="auto"/>
                <w:kern w:val="21"/>
                <w:sz w:val="21"/>
                <w:szCs w:val="22"/>
                <w:lang w:val="en-US" w:eastAsia="zh-CN"/>
              </w:rPr>
              <w:t>0.1575t/a</w:t>
            </w:r>
          </w:p>
        </w:tc>
        <w:tc>
          <w:tcPr>
            <w:tcW w:w="155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snapToGrid w:val="0"/>
                <w:color w:val="auto"/>
                <w:kern w:val="21"/>
                <w:sz w:val="21"/>
                <w:szCs w:val="22"/>
              </w:rPr>
            </w:pPr>
            <w:r>
              <w:rPr>
                <w:rFonts w:hint="default" w:ascii="Times New Roman" w:hAnsi="Times New Roman" w:eastAsia="宋体" w:cs="Times New Roman"/>
                <w:b w:val="0"/>
                <w:bCs w:val="0"/>
                <w:snapToGrid w:val="0"/>
                <w:color w:val="auto"/>
                <w:kern w:val="21"/>
                <w:sz w:val="21"/>
                <w:szCs w:val="22"/>
              </w:rPr>
              <w:t>/</w:t>
            </w:r>
          </w:p>
        </w:tc>
        <w:tc>
          <w:tcPr>
            <w:tcW w:w="193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2"/>
                <w:lang w:val="en-US" w:eastAsia="zh-CN" w:bidi="ar-SA"/>
              </w:rPr>
            </w:pPr>
            <w:r>
              <w:rPr>
                <w:rFonts w:hint="eastAsia" w:cs="Times New Roman"/>
                <w:b w:val="0"/>
                <w:bCs w:val="0"/>
                <w:snapToGrid w:val="0"/>
                <w:color w:val="auto"/>
                <w:kern w:val="21"/>
                <w:sz w:val="21"/>
                <w:szCs w:val="22"/>
                <w:lang w:val="en-US" w:eastAsia="zh-CN" w:bidi="ar-SA"/>
              </w:rPr>
              <w:t>0.1575t/a</w:t>
            </w:r>
          </w:p>
        </w:tc>
        <w:tc>
          <w:tcPr>
            <w:tcW w:w="13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2"/>
                <w:lang w:val="en-US" w:eastAsia="zh-CN" w:bidi="ar-SA"/>
              </w:rPr>
            </w:pPr>
            <w:r>
              <w:rPr>
                <w:rFonts w:hint="eastAsia" w:cs="Times New Roman"/>
                <w:b w:val="0"/>
                <w:bCs w:val="0"/>
                <w:snapToGrid w:val="0"/>
                <w:color w:val="auto"/>
                <w:kern w:val="21"/>
                <w:sz w:val="21"/>
                <w:szCs w:val="22"/>
                <w:lang w:val="en-US" w:eastAsia="zh-CN" w:bidi="ar-SA"/>
              </w:rPr>
              <w:t>+0.1575t/a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75" w:type="dxa"/>
            <w:vMerge w:val="restart"/>
            <w:noWrap w:val="0"/>
            <w:vAlign w:val="center"/>
          </w:tcPr>
          <w:p>
            <w:pPr>
              <w:pStyle w:val="40"/>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snapToGrid w:val="0"/>
                <w:color w:val="auto"/>
                <w:kern w:val="21"/>
                <w:sz w:val="21"/>
                <w:szCs w:val="22"/>
                <w:lang w:val="en-US" w:eastAsia="zh-CN"/>
              </w:rPr>
            </w:pPr>
            <w:r>
              <w:rPr>
                <w:rFonts w:hint="default" w:ascii="Times New Roman" w:hAnsi="Times New Roman" w:eastAsia="宋体" w:cs="Times New Roman"/>
                <w:snapToGrid w:val="0"/>
                <w:color w:val="auto"/>
                <w:kern w:val="21"/>
                <w:sz w:val="21"/>
                <w:szCs w:val="22"/>
                <w:lang w:val="en-US" w:eastAsia="zh-CN"/>
              </w:rPr>
              <w:t>废水</w:t>
            </w:r>
          </w:p>
        </w:tc>
        <w:tc>
          <w:tcPr>
            <w:tcW w:w="1741"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snapToGrid w:val="0"/>
                <w:color w:val="auto"/>
                <w:kern w:val="21"/>
                <w:sz w:val="21"/>
                <w:szCs w:val="22"/>
              </w:rPr>
            </w:pPr>
            <w:r>
              <w:rPr>
                <w:rFonts w:hint="default" w:ascii="Times New Roman" w:hAnsi="Times New Roman" w:eastAsia="宋体" w:cs="Times New Roman"/>
                <w:color w:val="auto"/>
                <w:sz w:val="21"/>
                <w:szCs w:val="22"/>
              </w:rPr>
              <w:t>废水量</w:t>
            </w:r>
          </w:p>
        </w:tc>
        <w:tc>
          <w:tcPr>
            <w:tcW w:w="1800"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rPr>
            </w:pPr>
            <w:r>
              <w:rPr>
                <w:rFonts w:hint="default" w:ascii="Times New Roman" w:hAnsi="Times New Roman" w:eastAsia="宋体" w:cs="Times New Roman"/>
                <w:snapToGrid w:val="0"/>
                <w:color w:val="auto"/>
                <w:kern w:val="21"/>
                <w:sz w:val="21"/>
                <w:szCs w:val="22"/>
              </w:rPr>
              <w:t>/</w:t>
            </w:r>
          </w:p>
        </w:tc>
        <w:tc>
          <w:tcPr>
            <w:tcW w:w="116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2"/>
              </w:rPr>
            </w:pPr>
            <w:r>
              <w:rPr>
                <w:rFonts w:hint="default" w:ascii="Times New Roman" w:hAnsi="Times New Roman" w:eastAsia="宋体" w:cs="Times New Roman"/>
                <w:snapToGrid w:val="0"/>
                <w:color w:val="auto"/>
                <w:kern w:val="21"/>
                <w:sz w:val="21"/>
                <w:szCs w:val="22"/>
              </w:rPr>
              <w:t>/</w:t>
            </w:r>
          </w:p>
        </w:tc>
        <w:tc>
          <w:tcPr>
            <w:tcW w:w="170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2"/>
              </w:rPr>
            </w:pPr>
            <w:r>
              <w:rPr>
                <w:rFonts w:hint="default" w:ascii="Times New Roman" w:hAnsi="Times New Roman" w:eastAsia="宋体" w:cs="Times New Roman"/>
                <w:snapToGrid w:val="0"/>
                <w:color w:val="auto"/>
                <w:kern w:val="21"/>
                <w:sz w:val="21"/>
                <w:szCs w:val="22"/>
              </w:rPr>
              <w:t>/</w:t>
            </w:r>
          </w:p>
        </w:tc>
        <w:tc>
          <w:tcPr>
            <w:tcW w:w="157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2"/>
                <w:lang w:val="en-US" w:eastAsia="zh-CN"/>
              </w:rPr>
            </w:pPr>
            <w:r>
              <w:rPr>
                <w:rFonts w:hint="eastAsia" w:cs="Times New Roman"/>
                <w:snapToGrid w:val="0"/>
                <w:color w:val="auto"/>
                <w:kern w:val="21"/>
                <w:sz w:val="21"/>
                <w:szCs w:val="22"/>
                <w:lang w:val="en-US" w:eastAsia="zh-CN"/>
              </w:rPr>
              <w:t>127.12</w:t>
            </w:r>
            <w:r>
              <w:rPr>
                <w:rFonts w:hint="default" w:ascii="Times New Roman" w:hAnsi="Times New Roman" w:eastAsia="宋体" w:cs="Times New Roman"/>
                <w:snapToGrid w:val="0"/>
                <w:color w:val="auto"/>
                <w:kern w:val="21"/>
                <w:sz w:val="21"/>
                <w:szCs w:val="22"/>
                <w:lang w:val="en-US" w:eastAsia="zh-CN"/>
              </w:rPr>
              <w:t>t/a</w:t>
            </w:r>
          </w:p>
        </w:tc>
        <w:tc>
          <w:tcPr>
            <w:tcW w:w="155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2"/>
              </w:rPr>
            </w:pPr>
            <w:r>
              <w:rPr>
                <w:rFonts w:hint="default" w:ascii="Times New Roman" w:hAnsi="Times New Roman" w:eastAsia="宋体" w:cs="Times New Roman"/>
                <w:snapToGrid w:val="0"/>
                <w:color w:val="auto"/>
                <w:kern w:val="21"/>
                <w:sz w:val="21"/>
                <w:szCs w:val="22"/>
              </w:rPr>
              <w:t>/</w:t>
            </w:r>
          </w:p>
        </w:tc>
        <w:tc>
          <w:tcPr>
            <w:tcW w:w="1932"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rPr>
            </w:pPr>
            <w:r>
              <w:rPr>
                <w:rFonts w:hint="eastAsia" w:cs="Times New Roman"/>
                <w:snapToGrid w:val="0"/>
                <w:color w:val="auto"/>
                <w:kern w:val="21"/>
                <w:sz w:val="21"/>
                <w:szCs w:val="22"/>
                <w:lang w:val="en-US" w:eastAsia="zh-CN"/>
              </w:rPr>
              <w:t>127.12</w:t>
            </w:r>
            <w:r>
              <w:rPr>
                <w:rFonts w:hint="default" w:ascii="Times New Roman" w:hAnsi="Times New Roman" w:eastAsia="宋体" w:cs="Times New Roman"/>
                <w:snapToGrid w:val="0"/>
                <w:color w:val="auto"/>
                <w:kern w:val="21"/>
                <w:sz w:val="21"/>
                <w:szCs w:val="22"/>
                <w:lang w:val="en-US" w:eastAsia="zh-CN"/>
              </w:rPr>
              <w:t>t/a</w:t>
            </w:r>
          </w:p>
        </w:tc>
        <w:tc>
          <w:tcPr>
            <w:tcW w:w="1301"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rPr>
            </w:pPr>
            <w:r>
              <w:rPr>
                <w:rFonts w:hint="eastAsia" w:ascii="Times New Roman" w:eastAsia="宋体" w:cs="Times New Roman"/>
                <w:b w:val="0"/>
                <w:bCs w:val="0"/>
                <w:snapToGrid w:val="0"/>
                <w:color w:val="auto"/>
                <w:kern w:val="21"/>
                <w:sz w:val="21"/>
                <w:szCs w:val="22"/>
                <w:highlight w:val="none"/>
                <w:lang w:val="en-US" w:eastAsia="zh-CN"/>
              </w:rPr>
              <w:t>+</w:t>
            </w:r>
            <w:r>
              <w:rPr>
                <w:rFonts w:hint="eastAsia" w:cs="Times New Roman"/>
                <w:snapToGrid w:val="0"/>
                <w:color w:val="auto"/>
                <w:kern w:val="21"/>
                <w:sz w:val="21"/>
                <w:szCs w:val="22"/>
                <w:lang w:val="en-US" w:eastAsia="zh-CN"/>
              </w:rPr>
              <w:t>127.12</w:t>
            </w:r>
            <w:r>
              <w:rPr>
                <w:rFonts w:hint="default" w:ascii="Times New Roman" w:hAnsi="Times New Roman" w:eastAsia="宋体" w:cs="Times New Roman"/>
                <w:snapToGrid w:val="0"/>
                <w:color w:val="auto"/>
                <w:kern w:val="21"/>
                <w:sz w:val="21"/>
                <w:szCs w:val="22"/>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75" w:type="dxa"/>
            <w:vMerge w:val="continue"/>
            <w:noWrap w:val="0"/>
            <w:vAlign w:val="center"/>
          </w:tcPr>
          <w:p>
            <w:pPr>
              <w:pStyle w:val="40"/>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2"/>
                <w:lang w:val="en-US" w:eastAsia="zh-CN"/>
              </w:rPr>
            </w:pPr>
          </w:p>
        </w:tc>
        <w:tc>
          <w:tcPr>
            <w:tcW w:w="1741"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2"/>
                <w:lang w:val="en-US" w:eastAsia="zh-CN"/>
              </w:rPr>
            </w:pPr>
            <w:r>
              <w:rPr>
                <w:rFonts w:hint="eastAsia" w:cs="Times New Roman"/>
                <w:color w:val="auto"/>
                <w:sz w:val="21"/>
                <w:szCs w:val="22"/>
                <w:lang w:val="en-US" w:eastAsia="zh-CN"/>
              </w:rPr>
              <w:t>pH</w:t>
            </w:r>
          </w:p>
        </w:tc>
        <w:tc>
          <w:tcPr>
            <w:tcW w:w="1800"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rPr>
            </w:pPr>
            <w:r>
              <w:rPr>
                <w:rFonts w:hint="default" w:ascii="Times New Roman" w:hAnsi="Times New Roman" w:eastAsia="宋体" w:cs="Times New Roman"/>
                <w:snapToGrid w:val="0"/>
                <w:color w:val="auto"/>
                <w:kern w:val="21"/>
                <w:sz w:val="21"/>
                <w:szCs w:val="22"/>
              </w:rPr>
              <w:t>/</w:t>
            </w:r>
          </w:p>
        </w:tc>
        <w:tc>
          <w:tcPr>
            <w:tcW w:w="1163"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rPr>
            </w:pPr>
            <w:r>
              <w:rPr>
                <w:rFonts w:hint="default" w:ascii="Times New Roman" w:hAnsi="Times New Roman" w:eastAsia="宋体" w:cs="Times New Roman"/>
                <w:snapToGrid w:val="0"/>
                <w:color w:val="auto"/>
                <w:kern w:val="21"/>
                <w:sz w:val="21"/>
                <w:szCs w:val="22"/>
              </w:rPr>
              <w:t>/</w:t>
            </w:r>
          </w:p>
        </w:tc>
        <w:tc>
          <w:tcPr>
            <w:tcW w:w="1706"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rPr>
            </w:pPr>
            <w:r>
              <w:rPr>
                <w:rFonts w:hint="default" w:ascii="Times New Roman" w:hAnsi="Times New Roman" w:eastAsia="宋体" w:cs="Times New Roman"/>
                <w:snapToGrid w:val="0"/>
                <w:color w:val="auto"/>
                <w:kern w:val="21"/>
                <w:sz w:val="21"/>
                <w:szCs w:val="22"/>
              </w:rPr>
              <w:t>/</w:t>
            </w:r>
          </w:p>
        </w:tc>
        <w:tc>
          <w:tcPr>
            <w:tcW w:w="1575"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snapToGrid w:val="0"/>
                <w:color w:val="auto"/>
                <w:kern w:val="21"/>
                <w:sz w:val="21"/>
                <w:szCs w:val="22"/>
                <w:lang w:val="en-US" w:eastAsia="zh-CN"/>
              </w:rPr>
            </w:pPr>
            <w:r>
              <w:rPr>
                <w:rFonts w:hint="eastAsia" w:cs="Times New Roman"/>
                <w:snapToGrid w:val="0"/>
                <w:color w:val="auto"/>
                <w:kern w:val="21"/>
                <w:sz w:val="21"/>
                <w:szCs w:val="22"/>
                <w:lang w:val="en-US" w:eastAsia="zh-CN"/>
              </w:rPr>
              <w:t>6-9（无量纲）</w:t>
            </w:r>
          </w:p>
        </w:tc>
        <w:tc>
          <w:tcPr>
            <w:tcW w:w="155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2"/>
              </w:rPr>
            </w:pPr>
            <w:r>
              <w:rPr>
                <w:rFonts w:hint="default" w:ascii="Times New Roman" w:hAnsi="Times New Roman" w:eastAsia="宋体" w:cs="Times New Roman"/>
                <w:snapToGrid w:val="0"/>
                <w:color w:val="auto"/>
                <w:kern w:val="21"/>
                <w:sz w:val="21"/>
                <w:szCs w:val="22"/>
              </w:rPr>
              <w:t>/</w:t>
            </w:r>
          </w:p>
        </w:tc>
        <w:tc>
          <w:tcPr>
            <w:tcW w:w="1932"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snapToGrid w:val="0"/>
                <w:color w:val="auto"/>
                <w:kern w:val="21"/>
                <w:sz w:val="21"/>
                <w:szCs w:val="22"/>
                <w:lang w:val="en-US" w:eastAsia="zh-CN"/>
              </w:rPr>
            </w:pPr>
            <w:r>
              <w:rPr>
                <w:rFonts w:hint="eastAsia" w:cs="Times New Roman"/>
                <w:snapToGrid w:val="0"/>
                <w:color w:val="auto"/>
                <w:kern w:val="21"/>
                <w:sz w:val="21"/>
                <w:szCs w:val="22"/>
                <w:lang w:val="en-US" w:eastAsia="zh-CN"/>
              </w:rPr>
              <w:t>6-9（无量纲）</w:t>
            </w:r>
          </w:p>
        </w:tc>
        <w:tc>
          <w:tcPr>
            <w:tcW w:w="1301"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eastAsia="宋体" w:cs="Times New Roman"/>
                <w:b w:val="0"/>
                <w:bCs w:val="0"/>
                <w:snapToGrid w:val="0"/>
                <w:color w:val="auto"/>
                <w:kern w:val="21"/>
                <w:sz w:val="21"/>
                <w:szCs w:val="22"/>
                <w:highlight w:val="none"/>
                <w:lang w:val="en-US" w:eastAsia="zh-CN"/>
              </w:rPr>
            </w:pPr>
            <w:r>
              <w:rPr>
                <w:rFonts w:hint="default" w:ascii="Times New Roman" w:hAnsi="Times New Roman" w:eastAsia="宋体" w:cs="Times New Roman"/>
                <w:b w:val="0"/>
                <w:bCs w:val="0"/>
                <w:snapToGrid w:val="0"/>
                <w:color w:val="auto"/>
                <w:kern w:val="21"/>
                <w:sz w:val="21"/>
                <w:szCs w:val="22"/>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5" w:type="dxa"/>
            <w:vMerge w:val="continue"/>
            <w:noWrap w:val="0"/>
            <w:vAlign w:val="center"/>
          </w:tcPr>
          <w:p>
            <w:pPr>
              <w:pStyle w:val="40"/>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2"/>
                <w:lang w:val="en-US" w:eastAsia="zh-CN"/>
              </w:rPr>
            </w:pPr>
          </w:p>
        </w:tc>
        <w:tc>
          <w:tcPr>
            <w:tcW w:w="1741"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COD</w:t>
            </w:r>
          </w:p>
        </w:tc>
        <w:tc>
          <w:tcPr>
            <w:tcW w:w="1800"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rPr>
            </w:pPr>
            <w:r>
              <w:rPr>
                <w:rFonts w:hint="default" w:ascii="Times New Roman" w:hAnsi="Times New Roman" w:eastAsia="宋体" w:cs="Times New Roman"/>
                <w:snapToGrid w:val="0"/>
                <w:color w:val="auto"/>
                <w:kern w:val="21"/>
                <w:sz w:val="21"/>
                <w:szCs w:val="22"/>
              </w:rPr>
              <w:t>/</w:t>
            </w:r>
          </w:p>
        </w:tc>
        <w:tc>
          <w:tcPr>
            <w:tcW w:w="116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2"/>
              </w:rPr>
            </w:pPr>
            <w:r>
              <w:rPr>
                <w:rFonts w:hint="default" w:ascii="Times New Roman" w:hAnsi="Times New Roman" w:eastAsia="宋体" w:cs="Times New Roman"/>
                <w:snapToGrid w:val="0"/>
                <w:color w:val="auto"/>
                <w:kern w:val="21"/>
                <w:sz w:val="21"/>
                <w:szCs w:val="22"/>
              </w:rPr>
              <w:t>/</w:t>
            </w:r>
          </w:p>
        </w:tc>
        <w:tc>
          <w:tcPr>
            <w:tcW w:w="170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2"/>
              </w:rPr>
            </w:pPr>
            <w:r>
              <w:rPr>
                <w:rFonts w:hint="default" w:ascii="Times New Roman" w:hAnsi="Times New Roman" w:eastAsia="宋体" w:cs="Times New Roman"/>
                <w:snapToGrid w:val="0"/>
                <w:color w:val="auto"/>
                <w:kern w:val="21"/>
                <w:sz w:val="21"/>
                <w:szCs w:val="22"/>
              </w:rPr>
              <w:t>/</w:t>
            </w:r>
          </w:p>
        </w:tc>
        <w:tc>
          <w:tcPr>
            <w:tcW w:w="157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auto"/>
                <w:kern w:val="21"/>
                <w:sz w:val="21"/>
                <w:szCs w:val="22"/>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0.041</w:t>
            </w:r>
            <w:r>
              <w:rPr>
                <w:rFonts w:hint="eastAsia" w:cs="Times New Roman"/>
                <w:i w:val="0"/>
                <w:iCs w:val="0"/>
                <w:color w:val="000000"/>
                <w:kern w:val="0"/>
                <w:sz w:val="21"/>
                <w:szCs w:val="21"/>
                <w:u w:val="none"/>
                <w:lang w:val="en-US" w:eastAsia="zh-CN" w:bidi="ar"/>
              </w:rPr>
              <w:t>t/q</w:t>
            </w:r>
          </w:p>
        </w:tc>
        <w:tc>
          <w:tcPr>
            <w:tcW w:w="1556" w:type="dxa"/>
            <w:noWrap w:val="0"/>
            <w:vAlign w:val="center"/>
          </w:tcPr>
          <w:p>
            <w:pPr>
              <w:pStyle w:val="40"/>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2"/>
                <w:lang w:val="en-US" w:eastAsia="zh-CN"/>
              </w:rPr>
            </w:pPr>
            <w:r>
              <w:rPr>
                <w:rFonts w:hint="default" w:ascii="Times New Roman" w:hAnsi="Times New Roman" w:eastAsia="宋体" w:cs="Times New Roman"/>
                <w:snapToGrid w:val="0"/>
                <w:color w:val="auto"/>
                <w:kern w:val="21"/>
                <w:sz w:val="21"/>
                <w:szCs w:val="22"/>
                <w:lang w:val="en-US" w:eastAsia="zh-CN"/>
              </w:rPr>
              <w:t>/</w:t>
            </w:r>
          </w:p>
        </w:tc>
        <w:tc>
          <w:tcPr>
            <w:tcW w:w="19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auto"/>
                <w:kern w:val="21"/>
                <w:sz w:val="21"/>
                <w:szCs w:val="22"/>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0.041</w:t>
            </w:r>
            <w:r>
              <w:rPr>
                <w:rFonts w:hint="eastAsia" w:cs="Times New Roman"/>
                <w:i w:val="0"/>
                <w:iCs w:val="0"/>
                <w:color w:val="000000"/>
                <w:kern w:val="0"/>
                <w:sz w:val="21"/>
                <w:szCs w:val="21"/>
                <w:u w:val="none"/>
                <w:lang w:val="en-US" w:eastAsia="zh-CN" w:bidi="ar"/>
              </w:rPr>
              <w:t>t/q</w:t>
            </w:r>
          </w:p>
        </w:tc>
        <w:tc>
          <w:tcPr>
            <w:tcW w:w="13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auto"/>
                <w:kern w:val="21"/>
                <w:sz w:val="21"/>
                <w:szCs w:val="22"/>
                <w:lang w:val="en-US"/>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0.041</w:t>
            </w:r>
            <w:r>
              <w:rPr>
                <w:rFonts w:hint="eastAsia" w:cs="Times New Roman"/>
                <w:i w:val="0"/>
                <w:iCs w:val="0"/>
                <w:color w:val="000000"/>
                <w:kern w:val="0"/>
                <w:sz w:val="21"/>
                <w:szCs w:val="21"/>
                <w:u w:val="none"/>
                <w:lang w:val="en-US" w:eastAsia="zh-CN" w:bidi="ar"/>
              </w:rPr>
              <w:t>t/q</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75" w:type="dxa"/>
            <w:vMerge w:val="continue"/>
            <w:noWrap w:val="0"/>
            <w:vAlign w:val="center"/>
          </w:tcPr>
          <w:p>
            <w:pPr>
              <w:pStyle w:val="40"/>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2"/>
                <w:lang w:val="en-US" w:eastAsia="zh-CN"/>
              </w:rPr>
            </w:pPr>
          </w:p>
        </w:tc>
        <w:tc>
          <w:tcPr>
            <w:tcW w:w="1741"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snapToGrid w:val="0"/>
                <w:color w:val="auto"/>
                <w:kern w:val="21"/>
                <w:sz w:val="21"/>
                <w:szCs w:val="22"/>
              </w:rPr>
            </w:pPr>
            <w:r>
              <w:rPr>
                <w:rFonts w:hint="default" w:ascii="Times New Roman" w:hAnsi="Times New Roman" w:eastAsia="宋体" w:cs="Times New Roman"/>
                <w:color w:val="auto"/>
                <w:sz w:val="21"/>
                <w:szCs w:val="22"/>
                <w:lang w:val="en-US" w:eastAsia="zh-CN"/>
              </w:rPr>
              <w:t>B</w:t>
            </w:r>
            <w:r>
              <w:rPr>
                <w:rFonts w:hint="default" w:ascii="Times New Roman" w:hAnsi="Times New Roman" w:eastAsia="宋体" w:cs="Times New Roman"/>
                <w:color w:val="auto"/>
                <w:sz w:val="21"/>
                <w:szCs w:val="22"/>
              </w:rPr>
              <w:t>OD</w:t>
            </w:r>
            <w:r>
              <w:rPr>
                <w:rFonts w:hint="default" w:ascii="Times New Roman" w:hAnsi="Times New Roman" w:eastAsia="宋体" w:cs="Times New Roman"/>
                <w:color w:val="auto"/>
                <w:sz w:val="21"/>
                <w:szCs w:val="22"/>
                <w:vertAlign w:val="subscript"/>
                <w:lang w:val="en-US" w:eastAsia="zh-CN"/>
              </w:rPr>
              <w:t>5</w:t>
            </w:r>
          </w:p>
        </w:tc>
        <w:tc>
          <w:tcPr>
            <w:tcW w:w="1800"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rPr>
            </w:pPr>
            <w:r>
              <w:rPr>
                <w:rFonts w:hint="default" w:ascii="Times New Roman" w:hAnsi="Times New Roman" w:eastAsia="宋体" w:cs="Times New Roman"/>
                <w:snapToGrid w:val="0"/>
                <w:color w:val="auto"/>
                <w:kern w:val="21"/>
                <w:sz w:val="21"/>
                <w:szCs w:val="22"/>
              </w:rPr>
              <w:t>/</w:t>
            </w:r>
          </w:p>
        </w:tc>
        <w:tc>
          <w:tcPr>
            <w:tcW w:w="116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2"/>
              </w:rPr>
            </w:pPr>
            <w:r>
              <w:rPr>
                <w:rFonts w:hint="default" w:ascii="Times New Roman" w:hAnsi="Times New Roman" w:eastAsia="宋体" w:cs="Times New Roman"/>
                <w:snapToGrid w:val="0"/>
                <w:color w:val="auto"/>
                <w:kern w:val="21"/>
                <w:sz w:val="21"/>
                <w:szCs w:val="22"/>
              </w:rPr>
              <w:t>/</w:t>
            </w:r>
          </w:p>
        </w:tc>
        <w:tc>
          <w:tcPr>
            <w:tcW w:w="170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2"/>
              </w:rPr>
            </w:pPr>
            <w:r>
              <w:rPr>
                <w:rFonts w:hint="default" w:ascii="Times New Roman" w:hAnsi="Times New Roman" w:eastAsia="宋体" w:cs="Times New Roman"/>
                <w:snapToGrid w:val="0"/>
                <w:color w:val="auto"/>
                <w:kern w:val="21"/>
                <w:sz w:val="21"/>
                <w:szCs w:val="22"/>
              </w:rPr>
              <w:t>/</w:t>
            </w:r>
          </w:p>
        </w:tc>
        <w:tc>
          <w:tcPr>
            <w:tcW w:w="157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auto"/>
                <w:kern w:val="21"/>
                <w:sz w:val="21"/>
                <w:szCs w:val="22"/>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0.023</w:t>
            </w:r>
            <w:r>
              <w:rPr>
                <w:rFonts w:hint="eastAsia" w:cs="Times New Roman"/>
                <w:i w:val="0"/>
                <w:iCs w:val="0"/>
                <w:color w:val="000000"/>
                <w:kern w:val="0"/>
                <w:sz w:val="21"/>
                <w:szCs w:val="21"/>
                <w:u w:val="none"/>
                <w:lang w:val="en-US" w:eastAsia="zh-CN" w:bidi="ar"/>
              </w:rPr>
              <w:t>t/a</w:t>
            </w:r>
          </w:p>
        </w:tc>
        <w:tc>
          <w:tcPr>
            <w:tcW w:w="1556" w:type="dxa"/>
            <w:noWrap w:val="0"/>
            <w:vAlign w:val="center"/>
          </w:tcPr>
          <w:p>
            <w:pPr>
              <w:pStyle w:val="40"/>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2"/>
                <w:lang w:val="en-US" w:eastAsia="zh-CN"/>
              </w:rPr>
            </w:pPr>
            <w:r>
              <w:rPr>
                <w:rFonts w:hint="default" w:ascii="Times New Roman" w:hAnsi="Times New Roman" w:eastAsia="宋体" w:cs="Times New Roman"/>
                <w:snapToGrid w:val="0"/>
                <w:color w:val="auto"/>
                <w:kern w:val="21"/>
                <w:sz w:val="21"/>
                <w:szCs w:val="22"/>
                <w:lang w:val="en-US" w:eastAsia="zh-CN"/>
              </w:rPr>
              <w:t>/</w:t>
            </w:r>
          </w:p>
        </w:tc>
        <w:tc>
          <w:tcPr>
            <w:tcW w:w="19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auto"/>
                <w:kern w:val="21"/>
                <w:sz w:val="21"/>
                <w:szCs w:val="22"/>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0.023</w:t>
            </w:r>
            <w:r>
              <w:rPr>
                <w:rFonts w:hint="eastAsia" w:cs="Times New Roman"/>
                <w:i w:val="0"/>
                <w:iCs w:val="0"/>
                <w:color w:val="000000"/>
                <w:kern w:val="0"/>
                <w:sz w:val="21"/>
                <w:szCs w:val="21"/>
                <w:u w:val="none"/>
                <w:lang w:val="en-US" w:eastAsia="zh-CN" w:bidi="ar"/>
              </w:rPr>
              <w:t>t/a</w:t>
            </w:r>
          </w:p>
        </w:tc>
        <w:tc>
          <w:tcPr>
            <w:tcW w:w="13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auto"/>
                <w:kern w:val="21"/>
                <w:sz w:val="21"/>
                <w:szCs w:val="22"/>
                <w:lang w:val="en-US"/>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0.023</w:t>
            </w:r>
            <w:r>
              <w:rPr>
                <w:rFonts w:hint="eastAsia" w:cs="Times New Roman"/>
                <w:i w:val="0"/>
                <w:iCs w:val="0"/>
                <w:color w:val="000000"/>
                <w:kern w:val="0"/>
                <w:sz w:val="21"/>
                <w:szCs w:val="21"/>
                <w:u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75" w:type="dxa"/>
            <w:vMerge w:val="continue"/>
            <w:noWrap w:val="0"/>
            <w:vAlign w:val="center"/>
          </w:tcPr>
          <w:p>
            <w:pPr>
              <w:pStyle w:val="40"/>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2"/>
                <w:lang w:val="en-US" w:eastAsia="zh-CN"/>
              </w:rPr>
            </w:pPr>
          </w:p>
        </w:tc>
        <w:tc>
          <w:tcPr>
            <w:tcW w:w="1741"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SS</w:t>
            </w:r>
          </w:p>
        </w:tc>
        <w:tc>
          <w:tcPr>
            <w:tcW w:w="1800"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rPr>
            </w:pPr>
            <w:r>
              <w:rPr>
                <w:rFonts w:hint="default" w:ascii="Times New Roman" w:hAnsi="Times New Roman" w:eastAsia="宋体" w:cs="Times New Roman"/>
                <w:snapToGrid w:val="0"/>
                <w:color w:val="auto"/>
                <w:kern w:val="21"/>
                <w:sz w:val="21"/>
                <w:szCs w:val="22"/>
              </w:rPr>
              <w:t>/</w:t>
            </w:r>
          </w:p>
        </w:tc>
        <w:tc>
          <w:tcPr>
            <w:tcW w:w="116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2"/>
              </w:rPr>
            </w:pPr>
            <w:r>
              <w:rPr>
                <w:rFonts w:hint="default" w:ascii="Times New Roman" w:hAnsi="Times New Roman" w:eastAsia="宋体" w:cs="Times New Roman"/>
                <w:snapToGrid w:val="0"/>
                <w:color w:val="auto"/>
                <w:kern w:val="21"/>
                <w:sz w:val="21"/>
                <w:szCs w:val="22"/>
              </w:rPr>
              <w:t>/</w:t>
            </w:r>
          </w:p>
        </w:tc>
        <w:tc>
          <w:tcPr>
            <w:tcW w:w="170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2"/>
              </w:rPr>
            </w:pPr>
            <w:r>
              <w:rPr>
                <w:rFonts w:hint="default" w:ascii="Times New Roman" w:hAnsi="Times New Roman" w:eastAsia="宋体" w:cs="Times New Roman"/>
                <w:snapToGrid w:val="0"/>
                <w:color w:val="auto"/>
                <w:kern w:val="21"/>
                <w:sz w:val="21"/>
                <w:szCs w:val="22"/>
              </w:rPr>
              <w:t>/</w:t>
            </w:r>
          </w:p>
        </w:tc>
        <w:tc>
          <w:tcPr>
            <w:tcW w:w="157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auto"/>
                <w:kern w:val="21"/>
                <w:sz w:val="21"/>
                <w:szCs w:val="22"/>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0.025</w:t>
            </w:r>
            <w:r>
              <w:rPr>
                <w:rFonts w:hint="eastAsia" w:cs="Times New Roman"/>
                <w:i w:val="0"/>
                <w:iCs w:val="0"/>
                <w:color w:val="000000"/>
                <w:kern w:val="0"/>
                <w:sz w:val="21"/>
                <w:szCs w:val="21"/>
                <w:u w:val="none"/>
                <w:lang w:val="en-US" w:eastAsia="zh-CN" w:bidi="ar"/>
              </w:rPr>
              <w:t>t/a</w:t>
            </w:r>
          </w:p>
        </w:tc>
        <w:tc>
          <w:tcPr>
            <w:tcW w:w="1556" w:type="dxa"/>
            <w:noWrap w:val="0"/>
            <w:vAlign w:val="center"/>
          </w:tcPr>
          <w:p>
            <w:pPr>
              <w:pStyle w:val="40"/>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2"/>
                <w:lang w:val="en-US" w:eastAsia="zh-CN"/>
              </w:rPr>
            </w:pPr>
            <w:r>
              <w:rPr>
                <w:rFonts w:hint="default" w:ascii="Times New Roman" w:hAnsi="Times New Roman" w:eastAsia="宋体" w:cs="Times New Roman"/>
                <w:snapToGrid w:val="0"/>
                <w:color w:val="auto"/>
                <w:kern w:val="21"/>
                <w:sz w:val="21"/>
                <w:szCs w:val="22"/>
                <w:lang w:val="en-US" w:eastAsia="zh-CN"/>
              </w:rPr>
              <w:t>/</w:t>
            </w:r>
          </w:p>
        </w:tc>
        <w:tc>
          <w:tcPr>
            <w:tcW w:w="19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auto"/>
                <w:kern w:val="21"/>
                <w:sz w:val="21"/>
                <w:szCs w:val="22"/>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0.025</w:t>
            </w:r>
            <w:r>
              <w:rPr>
                <w:rFonts w:hint="eastAsia" w:cs="Times New Roman"/>
                <w:i w:val="0"/>
                <w:iCs w:val="0"/>
                <w:color w:val="000000"/>
                <w:kern w:val="0"/>
                <w:sz w:val="21"/>
                <w:szCs w:val="21"/>
                <w:u w:val="none"/>
                <w:lang w:val="en-US" w:eastAsia="zh-CN" w:bidi="ar"/>
              </w:rPr>
              <w:t>t/a</w:t>
            </w:r>
          </w:p>
        </w:tc>
        <w:tc>
          <w:tcPr>
            <w:tcW w:w="13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auto"/>
                <w:kern w:val="21"/>
                <w:sz w:val="21"/>
                <w:szCs w:val="22"/>
                <w:lang w:val="en-US"/>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0.025</w:t>
            </w:r>
            <w:r>
              <w:rPr>
                <w:rFonts w:hint="eastAsia" w:cs="Times New Roman"/>
                <w:i w:val="0"/>
                <w:iCs w:val="0"/>
                <w:color w:val="000000"/>
                <w:kern w:val="0"/>
                <w:sz w:val="21"/>
                <w:szCs w:val="21"/>
                <w:u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75" w:type="dxa"/>
            <w:vMerge w:val="continue"/>
            <w:noWrap w:val="0"/>
            <w:vAlign w:val="center"/>
          </w:tcPr>
          <w:p>
            <w:pPr>
              <w:pStyle w:val="40"/>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2"/>
                <w:lang w:val="en-US" w:eastAsia="zh-CN"/>
              </w:rPr>
            </w:pPr>
          </w:p>
        </w:tc>
        <w:tc>
          <w:tcPr>
            <w:tcW w:w="1741"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NH</w:t>
            </w:r>
            <w:r>
              <w:rPr>
                <w:rFonts w:hint="default" w:ascii="Times New Roman" w:hAnsi="Times New Roman" w:eastAsia="宋体" w:cs="Times New Roman"/>
                <w:color w:val="auto"/>
                <w:sz w:val="21"/>
                <w:szCs w:val="22"/>
                <w:vertAlign w:val="subscript"/>
              </w:rPr>
              <w:t>3</w:t>
            </w:r>
            <w:r>
              <w:rPr>
                <w:rFonts w:hint="default" w:ascii="Times New Roman" w:hAnsi="Times New Roman" w:eastAsia="宋体" w:cs="Times New Roman"/>
                <w:color w:val="auto"/>
                <w:sz w:val="21"/>
                <w:szCs w:val="22"/>
              </w:rPr>
              <w:t>-N</w:t>
            </w:r>
          </w:p>
        </w:tc>
        <w:tc>
          <w:tcPr>
            <w:tcW w:w="1800"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rPr>
            </w:pPr>
            <w:r>
              <w:rPr>
                <w:rFonts w:hint="default" w:ascii="Times New Roman" w:hAnsi="Times New Roman" w:eastAsia="宋体" w:cs="Times New Roman"/>
                <w:snapToGrid w:val="0"/>
                <w:color w:val="auto"/>
                <w:kern w:val="21"/>
                <w:sz w:val="21"/>
                <w:szCs w:val="22"/>
              </w:rPr>
              <w:t>/</w:t>
            </w:r>
          </w:p>
        </w:tc>
        <w:tc>
          <w:tcPr>
            <w:tcW w:w="116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2"/>
              </w:rPr>
            </w:pPr>
            <w:r>
              <w:rPr>
                <w:rFonts w:hint="default" w:ascii="Times New Roman" w:hAnsi="Times New Roman" w:eastAsia="宋体" w:cs="Times New Roman"/>
                <w:snapToGrid w:val="0"/>
                <w:color w:val="auto"/>
                <w:kern w:val="21"/>
                <w:sz w:val="21"/>
                <w:szCs w:val="22"/>
              </w:rPr>
              <w:t>/</w:t>
            </w:r>
          </w:p>
        </w:tc>
        <w:tc>
          <w:tcPr>
            <w:tcW w:w="170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 w:val="21"/>
                <w:szCs w:val="22"/>
              </w:rPr>
            </w:pPr>
            <w:r>
              <w:rPr>
                <w:rFonts w:hint="default" w:ascii="Times New Roman" w:hAnsi="Times New Roman" w:eastAsia="宋体" w:cs="Times New Roman"/>
                <w:snapToGrid w:val="0"/>
                <w:color w:val="auto"/>
                <w:kern w:val="21"/>
                <w:sz w:val="21"/>
                <w:szCs w:val="22"/>
              </w:rPr>
              <w:t>/</w:t>
            </w:r>
          </w:p>
        </w:tc>
        <w:tc>
          <w:tcPr>
            <w:tcW w:w="157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auto"/>
                <w:kern w:val="21"/>
                <w:sz w:val="21"/>
                <w:szCs w:val="22"/>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w:t>
            </w:r>
            <w:r>
              <w:rPr>
                <w:rFonts w:hint="eastAsia" w:cs="Times New Roman"/>
                <w:i w:val="0"/>
                <w:iCs w:val="0"/>
                <w:color w:val="000000"/>
                <w:kern w:val="0"/>
                <w:sz w:val="21"/>
                <w:szCs w:val="21"/>
                <w:u w:val="none"/>
                <w:lang w:val="en-US" w:eastAsia="zh-CN" w:bidi="ar"/>
              </w:rPr>
              <w:t>t/a</w:t>
            </w:r>
          </w:p>
        </w:tc>
        <w:tc>
          <w:tcPr>
            <w:tcW w:w="1556" w:type="dxa"/>
            <w:noWrap w:val="0"/>
            <w:vAlign w:val="center"/>
          </w:tcPr>
          <w:p>
            <w:pPr>
              <w:pStyle w:val="40"/>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2"/>
                <w:lang w:val="en-US" w:eastAsia="zh-CN"/>
              </w:rPr>
            </w:pPr>
            <w:r>
              <w:rPr>
                <w:rFonts w:hint="default" w:ascii="Times New Roman" w:hAnsi="Times New Roman" w:eastAsia="宋体" w:cs="Times New Roman"/>
                <w:snapToGrid w:val="0"/>
                <w:color w:val="auto"/>
                <w:kern w:val="21"/>
                <w:sz w:val="21"/>
                <w:szCs w:val="22"/>
                <w:lang w:val="en-US" w:eastAsia="zh-CN"/>
              </w:rPr>
              <w:t>/</w:t>
            </w:r>
          </w:p>
        </w:tc>
        <w:tc>
          <w:tcPr>
            <w:tcW w:w="19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auto"/>
                <w:kern w:val="21"/>
                <w:sz w:val="21"/>
                <w:szCs w:val="22"/>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w:t>
            </w:r>
            <w:r>
              <w:rPr>
                <w:rFonts w:hint="eastAsia" w:cs="Times New Roman"/>
                <w:i w:val="0"/>
                <w:iCs w:val="0"/>
                <w:color w:val="000000"/>
                <w:kern w:val="0"/>
                <w:sz w:val="21"/>
                <w:szCs w:val="21"/>
                <w:u w:val="none"/>
                <w:lang w:val="en-US" w:eastAsia="zh-CN" w:bidi="ar"/>
              </w:rPr>
              <w:t>t/a</w:t>
            </w:r>
          </w:p>
        </w:tc>
        <w:tc>
          <w:tcPr>
            <w:tcW w:w="13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auto"/>
                <w:kern w:val="21"/>
                <w:sz w:val="21"/>
                <w:szCs w:val="22"/>
                <w:lang w:val="en-US"/>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0.003</w:t>
            </w:r>
            <w:r>
              <w:rPr>
                <w:rFonts w:hint="eastAsia" w:cs="Times New Roman"/>
                <w:i w:val="0"/>
                <w:iCs w:val="0"/>
                <w:color w:val="000000"/>
                <w:kern w:val="0"/>
                <w:sz w:val="21"/>
                <w:szCs w:val="21"/>
                <w:u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075" w:type="dxa"/>
            <w:noWrap w:val="0"/>
            <w:vAlign w:val="center"/>
          </w:tcPr>
          <w:p>
            <w:pPr>
              <w:pStyle w:val="40"/>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snapToGrid w:val="0"/>
                <w:color w:val="auto"/>
                <w:kern w:val="21"/>
                <w:sz w:val="21"/>
                <w:szCs w:val="22"/>
                <w:lang w:val="en-US" w:eastAsia="zh-CN"/>
              </w:rPr>
            </w:pPr>
            <w:r>
              <w:rPr>
                <w:rFonts w:hint="default" w:ascii="Times New Roman" w:hAnsi="Times New Roman" w:eastAsia="宋体" w:cs="Times New Roman"/>
                <w:snapToGrid w:val="0"/>
                <w:color w:val="auto"/>
                <w:kern w:val="21"/>
                <w:sz w:val="21"/>
                <w:szCs w:val="22"/>
                <w:lang w:val="en-US" w:eastAsia="zh-CN"/>
              </w:rPr>
              <w:t>一般工业固体废物</w:t>
            </w:r>
          </w:p>
        </w:tc>
        <w:tc>
          <w:tcPr>
            <w:tcW w:w="1741" w:type="dxa"/>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2"/>
                <w:lang w:val="en-US" w:eastAsia="zh-CN" w:bidi="ar-SA"/>
              </w:rPr>
            </w:pPr>
            <w:r>
              <w:rPr>
                <w:rFonts w:hint="default" w:ascii="Times New Roman" w:hAnsi="Times New Roman" w:cs="Times New Roman"/>
                <w:lang w:eastAsia="zh-CN"/>
              </w:rPr>
              <w:t>废包装袋</w:t>
            </w:r>
          </w:p>
        </w:tc>
        <w:tc>
          <w:tcPr>
            <w:tcW w:w="1800"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bidi="ar-SA"/>
              </w:rPr>
            </w:pPr>
            <w:r>
              <w:rPr>
                <w:rFonts w:hint="default" w:ascii="Times New Roman" w:hAnsi="Times New Roman" w:eastAsia="宋体" w:cs="Times New Roman"/>
                <w:snapToGrid w:val="0"/>
                <w:color w:val="auto"/>
                <w:kern w:val="21"/>
                <w:sz w:val="21"/>
                <w:szCs w:val="22"/>
              </w:rPr>
              <w:t>/</w:t>
            </w:r>
          </w:p>
        </w:tc>
        <w:tc>
          <w:tcPr>
            <w:tcW w:w="1163"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bidi="ar-SA"/>
              </w:rPr>
            </w:pPr>
            <w:r>
              <w:rPr>
                <w:rFonts w:hint="default" w:ascii="Times New Roman" w:hAnsi="Times New Roman" w:eastAsia="宋体" w:cs="Times New Roman"/>
                <w:snapToGrid w:val="0"/>
                <w:color w:val="auto"/>
                <w:kern w:val="21"/>
                <w:sz w:val="21"/>
                <w:szCs w:val="22"/>
              </w:rPr>
              <w:t>/</w:t>
            </w:r>
          </w:p>
        </w:tc>
        <w:tc>
          <w:tcPr>
            <w:tcW w:w="1706"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bidi="ar-SA"/>
              </w:rPr>
            </w:pPr>
            <w:r>
              <w:rPr>
                <w:rFonts w:hint="default" w:ascii="Times New Roman" w:hAnsi="Times New Roman" w:eastAsia="宋体" w:cs="Times New Roman"/>
                <w:snapToGrid w:val="0"/>
                <w:color w:val="auto"/>
                <w:kern w:val="21"/>
                <w:sz w:val="21"/>
                <w:szCs w:val="22"/>
              </w:rPr>
              <w:t>/</w:t>
            </w:r>
          </w:p>
        </w:tc>
        <w:tc>
          <w:tcPr>
            <w:tcW w:w="1575" w:type="dxa"/>
            <w:noWrap w:val="0"/>
            <w:vAlign w:val="center"/>
          </w:tcPr>
          <w:p>
            <w:pPr>
              <w:adjustRightInd w:val="0"/>
              <w:snapToGrid w:val="0"/>
              <w:jc w:val="center"/>
              <w:rPr>
                <w:rFonts w:hint="default" w:ascii="Times New Roman" w:hAnsi="Times New Roman" w:eastAsia="宋体" w:cs="Times New Roman"/>
                <w:snapToGrid w:val="0"/>
                <w:color w:val="auto"/>
                <w:kern w:val="21"/>
                <w:sz w:val="21"/>
                <w:szCs w:val="22"/>
                <w:lang w:val="en-US" w:eastAsia="zh-CN" w:bidi="ar-SA"/>
              </w:rPr>
            </w:pPr>
            <w:r>
              <w:rPr>
                <w:rFonts w:hint="eastAsia" w:cs="Times New Roman"/>
                <w:b w:val="0"/>
                <w:bCs/>
                <w:color w:val="000000"/>
                <w:kern w:val="24"/>
                <w:szCs w:val="21"/>
                <w:highlight w:val="none"/>
                <w:lang w:val="en-US" w:eastAsia="zh-CN"/>
              </w:rPr>
              <w:t>6</w:t>
            </w:r>
            <w:r>
              <w:rPr>
                <w:rFonts w:hint="default" w:ascii="Times New Roman" w:hAnsi="Times New Roman" w:eastAsia="宋体" w:cs="Times New Roman"/>
                <w:snapToGrid w:val="0"/>
                <w:color w:val="auto"/>
                <w:kern w:val="21"/>
                <w:sz w:val="21"/>
                <w:szCs w:val="22"/>
                <w:lang w:val="en-US" w:eastAsia="zh-CN"/>
              </w:rPr>
              <w:t>t/a</w:t>
            </w:r>
          </w:p>
        </w:tc>
        <w:tc>
          <w:tcPr>
            <w:tcW w:w="1556"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bidi="ar-SA"/>
              </w:rPr>
            </w:pPr>
            <w:r>
              <w:rPr>
                <w:rFonts w:hint="default" w:ascii="Times New Roman" w:hAnsi="Times New Roman" w:eastAsia="宋体" w:cs="Times New Roman"/>
                <w:snapToGrid w:val="0"/>
                <w:color w:val="auto"/>
                <w:kern w:val="21"/>
                <w:sz w:val="21"/>
                <w:szCs w:val="22"/>
              </w:rPr>
              <w:t>/</w:t>
            </w:r>
          </w:p>
        </w:tc>
        <w:tc>
          <w:tcPr>
            <w:tcW w:w="1932" w:type="dxa"/>
            <w:noWrap w:val="0"/>
            <w:vAlign w:val="center"/>
          </w:tcPr>
          <w:p>
            <w:pPr>
              <w:adjustRightInd w:val="0"/>
              <w:snapToGrid w:val="0"/>
              <w:jc w:val="center"/>
              <w:rPr>
                <w:rFonts w:hint="default" w:ascii="Times New Roman" w:hAnsi="Times New Roman" w:eastAsia="宋体" w:cs="Times New Roman"/>
                <w:snapToGrid w:val="0"/>
                <w:color w:val="auto"/>
                <w:kern w:val="21"/>
                <w:sz w:val="21"/>
                <w:szCs w:val="22"/>
                <w:lang w:val="en-US" w:eastAsia="zh-CN" w:bidi="ar-SA"/>
              </w:rPr>
            </w:pPr>
            <w:r>
              <w:rPr>
                <w:rFonts w:hint="eastAsia" w:cs="Times New Roman"/>
                <w:b w:val="0"/>
                <w:bCs/>
                <w:color w:val="000000"/>
                <w:kern w:val="24"/>
                <w:szCs w:val="21"/>
                <w:highlight w:val="none"/>
                <w:lang w:val="en-US" w:eastAsia="zh-CN"/>
              </w:rPr>
              <w:t>6</w:t>
            </w:r>
            <w:r>
              <w:rPr>
                <w:rFonts w:hint="default" w:ascii="Times New Roman" w:hAnsi="Times New Roman" w:eastAsia="宋体" w:cs="Times New Roman"/>
                <w:snapToGrid w:val="0"/>
                <w:color w:val="auto"/>
                <w:kern w:val="21"/>
                <w:sz w:val="21"/>
                <w:szCs w:val="22"/>
                <w:lang w:val="en-US" w:eastAsia="zh-CN"/>
              </w:rPr>
              <w:t>t/a</w:t>
            </w:r>
          </w:p>
        </w:tc>
        <w:tc>
          <w:tcPr>
            <w:tcW w:w="1301" w:type="dxa"/>
            <w:noWrap w:val="0"/>
            <w:vAlign w:val="center"/>
          </w:tcPr>
          <w:p>
            <w:pPr>
              <w:adjustRightInd w:val="0"/>
              <w:snapToGrid w:val="0"/>
              <w:jc w:val="center"/>
              <w:rPr>
                <w:rFonts w:hint="default" w:ascii="Times New Roman" w:hAnsi="Times New Roman" w:eastAsia="宋体" w:cs="Times New Roman"/>
                <w:snapToGrid w:val="0"/>
                <w:color w:val="auto"/>
                <w:kern w:val="21"/>
                <w:sz w:val="21"/>
                <w:szCs w:val="22"/>
                <w:lang w:val="en-US" w:eastAsia="zh-CN" w:bidi="ar-SA"/>
              </w:rPr>
            </w:pPr>
            <w:r>
              <w:rPr>
                <w:rFonts w:hint="eastAsia" w:cs="Times New Roman"/>
                <w:b w:val="0"/>
                <w:bCs/>
                <w:color w:val="000000"/>
                <w:kern w:val="24"/>
                <w:szCs w:val="21"/>
                <w:highlight w:val="none"/>
                <w:lang w:val="en-US" w:eastAsia="zh-CN"/>
              </w:rPr>
              <w:t>+6</w:t>
            </w:r>
            <w:r>
              <w:rPr>
                <w:rFonts w:hint="default" w:ascii="Times New Roman" w:hAnsi="Times New Roman" w:eastAsia="宋体" w:cs="Times New Roman"/>
                <w:snapToGrid w:val="0"/>
                <w:color w:val="auto"/>
                <w:kern w:val="21"/>
                <w:sz w:val="21"/>
                <w:szCs w:val="22"/>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075" w:type="dxa"/>
            <w:vMerge w:val="restart"/>
            <w:noWrap w:val="0"/>
            <w:vAlign w:val="center"/>
          </w:tcPr>
          <w:p>
            <w:pPr>
              <w:pStyle w:val="40"/>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snapToGrid w:val="0"/>
                <w:color w:val="auto"/>
                <w:kern w:val="21"/>
                <w:sz w:val="21"/>
                <w:szCs w:val="22"/>
                <w:lang w:val="en-US" w:eastAsia="zh-CN"/>
              </w:rPr>
            </w:pPr>
            <w:r>
              <w:rPr>
                <w:rFonts w:hint="default" w:ascii="Times New Roman" w:hAnsi="Times New Roman" w:eastAsia="宋体" w:cs="Times New Roman"/>
                <w:snapToGrid w:val="0"/>
                <w:color w:val="auto"/>
                <w:kern w:val="21"/>
                <w:sz w:val="21"/>
                <w:szCs w:val="22"/>
                <w:lang w:val="en-US" w:eastAsia="zh-CN"/>
              </w:rPr>
              <w:t>危险废物</w:t>
            </w:r>
          </w:p>
        </w:tc>
        <w:tc>
          <w:tcPr>
            <w:tcW w:w="1741" w:type="dxa"/>
            <w:shd w:val="clear" w:color="auto" w:fill="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2"/>
                <w:lang w:val="en-US" w:eastAsia="zh-CN" w:bidi="ar-SA"/>
              </w:rPr>
            </w:pPr>
            <w:r>
              <w:rPr>
                <w:rFonts w:hint="eastAsia" w:ascii="Times New Roman" w:hAnsi="Times New Roman" w:cs="Times New Roman"/>
                <w:snapToGrid w:val="0"/>
                <w:color w:val="auto"/>
                <w:kern w:val="21"/>
                <w:sz w:val="21"/>
                <w:szCs w:val="22"/>
                <w:lang w:val="en-US" w:eastAsia="zh-CN" w:bidi="ar-SA"/>
              </w:rPr>
              <w:t>废活性炭</w:t>
            </w:r>
          </w:p>
        </w:tc>
        <w:tc>
          <w:tcPr>
            <w:tcW w:w="1800"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bidi="ar-SA"/>
              </w:rPr>
            </w:pPr>
          </w:p>
        </w:tc>
        <w:tc>
          <w:tcPr>
            <w:tcW w:w="1163"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bidi="ar-SA"/>
              </w:rPr>
            </w:pPr>
          </w:p>
        </w:tc>
        <w:tc>
          <w:tcPr>
            <w:tcW w:w="1706"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bidi="ar-SA"/>
              </w:rPr>
            </w:pPr>
          </w:p>
        </w:tc>
        <w:tc>
          <w:tcPr>
            <w:tcW w:w="1575" w:type="dxa"/>
            <w:shd w:val="clear" w:color="auto" w:fill="auto"/>
            <w:noWrap w:val="0"/>
            <w:vAlign w:val="center"/>
          </w:tcPr>
          <w:p>
            <w:pPr>
              <w:adjustRightInd w:val="0"/>
              <w:snapToGrid w:val="0"/>
              <w:jc w:val="center"/>
              <w:rPr>
                <w:rFonts w:hint="default" w:ascii="Times New Roman" w:hAnsi="Times New Roman" w:eastAsia="宋体" w:cs="Times New Roman"/>
                <w:snapToGrid w:val="0"/>
                <w:color w:val="auto"/>
                <w:kern w:val="21"/>
                <w:sz w:val="21"/>
                <w:szCs w:val="22"/>
                <w:lang w:val="en-US" w:eastAsia="zh-CN" w:bidi="ar-SA"/>
              </w:rPr>
            </w:pPr>
            <w:r>
              <w:rPr>
                <w:rFonts w:hint="eastAsia" w:cs="Times New Roman"/>
                <w:b w:val="0"/>
                <w:bCs/>
                <w:color w:val="000000"/>
                <w:kern w:val="24"/>
                <w:szCs w:val="21"/>
                <w:highlight w:val="none"/>
                <w:lang w:val="en-US" w:eastAsia="zh-CN"/>
              </w:rPr>
              <w:t>30.375</w:t>
            </w:r>
            <w:r>
              <w:rPr>
                <w:rFonts w:hint="default" w:ascii="Times New Roman" w:hAnsi="Times New Roman" w:eastAsia="宋体" w:cs="Times New Roman"/>
                <w:snapToGrid w:val="0"/>
                <w:color w:val="auto"/>
                <w:kern w:val="21"/>
                <w:sz w:val="21"/>
                <w:szCs w:val="22"/>
                <w:lang w:val="en-US" w:eastAsia="zh-CN"/>
              </w:rPr>
              <w:t>t/a</w:t>
            </w:r>
          </w:p>
        </w:tc>
        <w:tc>
          <w:tcPr>
            <w:tcW w:w="1556"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bidi="ar-SA"/>
              </w:rPr>
            </w:pPr>
          </w:p>
        </w:tc>
        <w:tc>
          <w:tcPr>
            <w:tcW w:w="1932" w:type="dxa"/>
            <w:shd w:val="clear" w:color="auto" w:fill="auto"/>
            <w:noWrap w:val="0"/>
            <w:vAlign w:val="center"/>
          </w:tcPr>
          <w:p>
            <w:pPr>
              <w:adjustRightInd w:val="0"/>
              <w:snapToGrid w:val="0"/>
              <w:jc w:val="center"/>
              <w:rPr>
                <w:rFonts w:hint="default" w:ascii="Times New Roman" w:hAnsi="Times New Roman" w:eastAsia="宋体" w:cs="Times New Roman"/>
                <w:snapToGrid w:val="0"/>
                <w:color w:val="auto"/>
                <w:kern w:val="21"/>
                <w:sz w:val="21"/>
                <w:szCs w:val="22"/>
                <w:lang w:val="en-US" w:eastAsia="zh-CN" w:bidi="ar-SA"/>
              </w:rPr>
            </w:pPr>
            <w:r>
              <w:rPr>
                <w:rFonts w:hint="eastAsia" w:cs="Times New Roman"/>
                <w:b w:val="0"/>
                <w:bCs/>
                <w:color w:val="000000"/>
                <w:kern w:val="24"/>
                <w:szCs w:val="21"/>
                <w:highlight w:val="none"/>
                <w:lang w:val="en-US" w:eastAsia="zh-CN"/>
              </w:rPr>
              <w:t>30.375</w:t>
            </w:r>
            <w:r>
              <w:rPr>
                <w:rFonts w:hint="default" w:ascii="Times New Roman" w:hAnsi="Times New Roman" w:eastAsia="宋体" w:cs="Times New Roman"/>
                <w:snapToGrid w:val="0"/>
                <w:color w:val="auto"/>
                <w:kern w:val="21"/>
                <w:sz w:val="21"/>
                <w:szCs w:val="22"/>
                <w:lang w:val="en-US" w:eastAsia="zh-CN"/>
              </w:rPr>
              <w:t>t/a</w:t>
            </w:r>
          </w:p>
        </w:tc>
        <w:tc>
          <w:tcPr>
            <w:tcW w:w="1301" w:type="dxa"/>
            <w:shd w:val="clear" w:color="auto" w:fill="auto"/>
            <w:noWrap w:val="0"/>
            <w:vAlign w:val="center"/>
          </w:tcPr>
          <w:p>
            <w:pPr>
              <w:adjustRightInd w:val="0"/>
              <w:snapToGrid w:val="0"/>
              <w:jc w:val="center"/>
              <w:rPr>
                <w:rFonts w:hint="default" w:ascii="Times New Roman" w:hAnsi="Times New Roman" w:eastAsia="宋体" w:cs="Times New Roman"/>
                <w:snapToGrid w:val="0"/>
                <w:color w:val="auto"/>
                <w:kern w:val="21"/>
                <w:sz w:val="21"/>
                <w:szCs w:val="22"/>
                <w:lang w:val="en-US" w:eastAsia="zh-CN" w:bidi="ar-SA"/>
              </w:rPr>
            </w:pPr>
            <w:r>
              <w:rPr>
                <w:rFonts w:hint="eastAsia" w:cs="Times New Roman"/>
                <w:b w:val="0"/>
                <w:bCs/>
                <w:color w:val="000000"/>
                <w:kern w:val="24"/>
                <w:szCs w:val="21"/>
                <w:highlight w:val="none"/>
                <w:lang w:val="en-US" w:eastAsia="zh-CN"/>
              </w:rPr>
              <w:t>+30.375</w:t>
            </w:r>
            <w:r>
              <w:rPr>
                <w:rFonts w:hint="default" w:ascii="Times New Roman" w:hAnsi="Times New Roman" w:eastAsia="宋体" w:cs="Times New Roman"/>
                <w:snapToGrid w:val="0"/>
                <w:color w:val="auto"/>
                <w:kern w:val="21"/>
                <w:sz w:val="21"/>
                <w:szCs w:val="22"/>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075" w:type="dxa"/>
            <w:vMerge w:val="continue"/>
            <w:noWrap w:val="0"/>
            <w:vAlign w:val="center"/>
          </w:tcPr>
          <w:p>
            <w:pPr>
              <w:pStyle w:val="40"/>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2"/>
                <w:lang w:val="en-US" w:eastAsia="zh-CN"/>
              </w:rPr>
            </w:pPr>
          </w:p>
        </w:tc>
        <w:tc>
          <w:tcPr>
            <w:tcW w:w="1741" w:type="dxa"/>
            <w:shd w:val="clear" w:color="auto" w:fill="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2"/>
                <w:lang w:eastAsia="zh-CN"/>
              </w:rPr>
            </w:pPr>
            <w:r>
              <w:rPr>
                <w:rFonts w:hint="default" w:ascii="Times New Roman" w:hAnsi="Times New Roman" w:cs="Times New Roman"/>
                <w:lang w:eastAsia="zh-CN"/>
              </w:rPr>
              <w:t>废机油</w:t>
            </w:r>
          </w:p>
        </w:tc>
        <w:tc>
          <w:tcPr>
            <w:tcW w:w="1800"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rPr>
            </w:pPr>
            <w:r>
              <w:rPr>
                <w:rFonts w:hint="default" w:ascii="Times New Roman" w:hAnsi="Times New Roman" w:eastAsia="宋体" w:cs="Times New Roman"/>
                <w:snapToGrid w:val="0"/>
                <w:color w:val="auto"/>
                <w:kern w:val="21"/>
                <w:sz w:val="21"/>
                <w:szCs w:val="22"/>
              </w:rPr>
              <w:t>/</w:t>
            </w:r>
          </w:p>
        </w:tc>
        <w:tc>
          <w:tcPr>
            <w:tcW w:w="1163"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rPr>
            </w:pPr>
            <w:r>
              <w:rPr>
                <w:rFonts w:hint="default" w:ascii="Times New Roman" w:hAnsi="Times New Roman" w:eastAsia="宋体" w:cs="Times New Roman"/>
                <w:snapToGrid w:val="0"/>
                <w:color w:val="auto"/>
                <w:kern w:val="21"/>
                <w:sz w:val="21"/>
                <w:szCs w:val="22"/>
              </w:rPr>
              <w:t>/</w:t>
            </w:r>
          </w:p>
        </w:tc>
        <w:tc>
          <w:tcPr>
            <w:tcW w:w="1706"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rPr>
            </w:pPr>
            <w:r>
              <w:rPr>
                <w:rFonts w:hint="default" w:ascii="Times New Roman" w:hAnsi="Times New Roman" w:eastAsia="宋体" w:cs="Times New Roman"/>
                <w:snapToGrid w:val="0"/>
                <w:color w:val="auto"/>
                <w:kern w:val="21"/>
                <w:sz w:val="21"/>
                <w:szCs w:val="22"/>
              </w:rPr>
              <w:t>/</w:t>
            </w:r>
          </w:p>
        </w:tc>
        <w:tc>
          <w:tcPr>
            <w:tcW w:w="1575" w:type="dxa"/>
            <w:shd w:val="clear" w:color="auto" w:fill="auto"/>
            <w:noWrap w:val="0"/>
            <w:vAlign w:val="center"/>
          </w:tcPr>
          <w:p>
            <w:pPr>
              <w:adjustRightInd w:val="0"/>
              <w:snapToGrid w:val="0"/>
              <w:jc w:val="center"/>
              <w:rPr>
                <w:rFonts w:hint="default" w:ascii="Times New Roman" w:hAnsi="Times New Roman" w:cs="Times New Roman"/>
                <w:color w:val="auto"/>
                <w:spacing w:val="1"/>
                <w:sz w:val="21"/>
                <w:szCs w:val="21"/>
                <w:lang w:val="en-US" w:eastAsia="zh-CN"/>
              </w:rPr>
            </w:pPr>
            <w:r>
              <w:rPr>
                <w:rFonts w:hint="default" w:ascii="Times New Roman" w:hAnsi="Times New Roman" w:cs="Times New Roman"/>
                <w:b w:val="0"/>
                <w:bCs/>
                <w:color w:val="000000"/>
                <w:szCs w:val="21"/>
                <w:lang w:val="en-US" w:eastAsia="zh-CN"/>
              </w:rPr>
              <w:t>0.</w:t>
            </w:r>
            <w:r>
              <w:rPr>
                <w:rFonts w:hint="eastAsia" w:cs="Times New Roman"/>
                <w:b w:val="0"/>
                <w:bCs/>
                <w:color w:val="000000"/>
                <w:szCs w:val="21"/>
                <w:lang w:val="en-US" w:eastAsia="zh-CN"/>
              </w:rPr>
              <w:t>0</w:t>
            </w:r>
            <w:r>
              <w:rPr>
                <w:rFonts w:hint="default" w:ascii="Times New Roman" w:hAnsi="Times New Roman" w:cs="Times New Roman"/>
                <w:b w:val="0"/>
                <w:bCs/>
                <w:color w:val="000000"/>
                <w:szCs w:val="21"/>
                <w:lang w:val="en-US" w:eastAsia="zh-CN"/>
              </w:rPr>
              <w:t>5</w:t>
            </w:r>
            <w:r>
              <w:rPr>
                <w:rFonts w:hint="default" w:ascii="Times New Roman" w:hAnsi="Times New Roman" w:eastAsia="宋体" w:cs="Times New Roman"/>
                <w:snapToGrid w:val="0"/>
                <w:color w:val="auto"/>
                <w:kern w:val="21"/>
                <w:sz w:val="21"/>
                <w:szCs w:val="22"/>
                <w:lang w:val="en-US" w:eastAsia="zh-CN"/>
              </w:rPr>
              <w:t>t/a</w:t>
            </w:r>
          </w:p>
        </w:tc>
        <w:tc>
          <w:tcPr>
            <w:tcW w:w="1556"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rPr>
            </w:pPr>
            <w:r>
              <w:rPr>
                <w:rFonts w:hint="default" w:ascii="Times New Roman" w:hAnsi="Times New Roman" w:eastAsia="宋体" w:cs="Times New Roman"/>
                <w:snapToGrid w:val="0"/>
                <w:color w:val="auto"/>
                <w:kern w:val="21"/>
                <w:sz w:val="21"/>
                <w:szCs w:val="22"/>
              </w:rPr>
              <w:t>/</w:t>
            </w:r>
          </w:p>
        </w:tc>
        <w:tc>
          <w:tcPr>
            <w:tcW w:w="1932" w:type="dxa"/>
            <w:shd w:val="clear" w:color="auto" w:fill="auto"/>
            <w:noWrap w:val="0"/>
            <w:vAlign w:val="center"/>
          </w:tcPr>
          <w:p>
            <w:pPr>
              <w:adjustRightInd w:val="0"/>
              <w:snapToGrid w:val="0"/>
              <w:jc w:val="center"/>
              <w:rPr>
                <w:rFonts w:hint="default" w:ascii="Times New Roman" w:hAnsi="Times New Roman" w:cs="Times New Roman"/>
                <w:color w:val="auto"/>
                <w:spacing w:val="1"/>
                <w:sz w:val="21"/>
                <w:szCs w:val="21"/>
                <w:lang w:val="en-US" w:eastAsia="zh-CN"/>
              </w:rPr>
            </w:pPr>
            <w:r>
              <w:rPr>
                <w:rFonts w:hint="default" w:ascii="Times New Roman" w:hAnsi="Times New Roman" w:cs="Times New Roman"/>
                <w:b w:val="0"/>
                <w:bCs/>
                <w:color w:val="000000"/>
                <w:szCs w:val="21"/>
                <w:lang w:val="en-US" w:eastAsia="zh-CN"/>
              </w:rPr>
              <w:t>0.</w:t>
            </w:r>
            <w:r>
              <w:rPr>
                <w:rFonts w:hint="eastAsia" w:cs="Times New Roman"/>
                <w:b w:val="0"/>
                <w:bCs/>
                <w:color w:val="000000"/>
                <w:szCs w:val="21"/>
                <w:lang w:val="en-US" w:eastAsia="zh-CN"/>
              </w:rPr>
              <w:t>0</w:t>
            </w:r>
            <w:r>
              <w:rPr>
                <w:rFonts w:hint="default" w:ascii="Times New Roman" w:hAnsi="Times New Roman" w:cs="Times New Roman"/>
                <w:b w:val="0"/>
                <w:bCs/>
                <w:color w:val="000000"/>
                <w:szCs w:val="21"/>
                <w:lang w:val="en-US" w:eastAsia="zh-CN"/>
              </w:rPr>
              <w:t>5</w:t>
            </w:r>
            <w:r>
              <w:rPr>
                <w:rFonts w:hint="default" w:ascii="Times New Roman" w:hAnsi="Times New Roman" w:eastAsia="宋体" w:cs="Times New Roman"/>
                <w:snapToGrid w:val="0"/>
                <w:color w:val="auto"/>
                <w:kern w:val="21"/>
                <w:sz w:val="21"/>
                <w:szCs w:val="22"/>
                <w:lang w:val="en-US" w:eastAsia="zh-CN"/>
              </w:rPr>
              <w:t>t/a</w:t>
            </w:r>
          </w:p>
        </w:tc>
        <w:tc>
          <w:tcPr>
            <w:tcW w:w="1301" w:type="dxa"/>
            <w:shd w:val="clear" w:color="auto" w:fill="auto"/>
            <w:noWrap w:val="0"/>
            <w:vAlign w:val="center"/>
          </w:tcPr>
          <w:p>
            <w:pPr>
              <w:adjustRightInd w:val="0"/>
              <w:snapToGrid w:val="0"/>
              <w:jc w:val="center"/>
              <w:rPr>
                <w:rFonts w:hint="default" w:ascii="Times New Roman" w:hAnsi="Times New Roman" w:cs="Times New Roman"/>
                <w:color w:val="auto"/>
                <w:spacing w:val="1"/>
                <w:sz w:val="21"/>
                <w:szCs w:val="21"/>
                <w:lang w:val="en-US" w:eastAsia="zh-CN"/>
              </w:rPr>
            </w:pPr>
            <w:r>
              <w:rPr>
                <w:rFonts w:hint="eastAsia" w:cs="Times New Roman"/>
                <w:b w:val="0"/>
                <w:bCs/>
                <w:color w:val="000000"/>
                <w:szCs w:val="21"/>
                <w:lang w:val="en-US" w:eastAsia="zh-CN"/>
              </w:rPr>
              <w:t>+</w:t>
            </w:r>
            <w:r>
              <w:rPr>
                <w:rFonts w:hint="default" w:ascii="Times New Roman" w:hAnsi="Times New Roman" w:cs="Times New Roman"/>
                <w:b w:val="0"/>
                <w:bCs/>
                <w:color w:val="000000"/>
                <w:szCs w:val="21"/>
                <w:lang w:val="en-US" w:eastAsia="zh-CN"/>
              </w:rPr>
              <w:t>0.</w:t>
            </w:r>
            <w:r>
              <w:rPr>
                <w:rFonts w:hint="eastAsia" w:cs="Times New Roman"/>
                <w:b w:val="0"/>
                <w:bCs/>
                <w:color w:val="000000"/>
                <w:szCs w:val="21"/>
                <w:lang w:val="en-US" w:eastAsia="zh-CN"/>
              </w:rPr>
              <w:t>0</w:t>
            </w:r>
            <w:r>
              <w:rPr>
                <w:rFonts w:hint="default" w:ascii="Times New Roman" w:hAnsi="Times New Roman" w:cs="Times New Roman"/>
                <w:b w:val="0"/>
                <w:bCs/>
                <w:color w:val="000000"/>
                <w:szCs w:val="21"/>
                <w:lang w:val="en-US" w:eastAsia="zh-CN"/>
              </w:rPr>
              <w:t>5</w:t>
            </w:r>
            <w:r>
              <w:rPr>
                <w:rFonts w:hint="default" w:ascii="Times New Roman" w:hAnsi="Times New Roman" w:eastAsia="宋体" w:cs="Times New Roman"/>
                <w:snapToGrid w:val="0"/>
                <w:color w:val="auto"/>
                <w:kern w:val="21"/>
                <w:sz w:val="21"/>
                <w:szCs w:val="22"/>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075" w:type="dxa"/>
            <w:vMerge w:val="continue"/>
            <w:noWrap w:val="0"/>
            <w:vAlign w:val="center"/>
          </w:tcPr>
          <w:p>
            <w:pPr>
              <w:pStyle w:val="40"/>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2"/>
                <w:lang w:val="en-US" w:eastAsia="zh-CN"/>
              </w:rPr>
            </w:pPr>
          </w:p>
        </w:tc>
        <w:tc>
          <w:tcPr>
            <w:tcW w:w="1741" w:type="dxa"/>
            <w:shd w:val="clear" w:color="auto" w:fill="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2"/>
                <w:lang w:val="en-US" w:eastAsia="zh-CN" w:bidi="ar-SA"/>
              </w:rPr>
            </w:pPr>
            <w:r>
              <w:rPr>
                <w:rFonts w:hint="default" w:ascii="Times New Roman" w:hAnsi="Times New Roman" w:cs="Times New Roman"/>
                <w:lang w:eastAsia="zh-CN"/>
              </w:rPr>
              <w:t>废油桶</w:t>
            </w:r>
          </w:p>
        </w:tc>
        <w:tc>
          <w:tcPr>
            <w:tcW w:w="1800"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bidi="ar-SA"/>
              </w:rPr>
            </w:pPr>
            <w:r>
              <w:rPr>
                <w:rFonts w:hint="default" w:ascii="Times New Roman" w:hAnsi="Times New Roman" w:eastAsia="宋体" w:cs="Times New Roman"/>
                <w:snapToGrid w:val="0"/>
                <w:color w:val="auto"/>
                <w:kern w:val="21"/>
                <w:sz w:val="21"/>
                <w:szCs w:val="22"/>
              </w:rPr>
              <w:t>/</w:t>
            </w:r>
          </w:p>
        </w:tc>
        <w:tc>
          <w:tcPr>
            <w:tcW w:w="1163"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bidi="ar-SA"/>
              </w:rPr>
            </w:pPr>
            <w:r>
              <w:rPr>
                <w:rFonts w:hint="default" w:ascii="Times New Roman" w:hAnsi="Times New Roman" w:eastAsia="宋体" w:cs="Times New Roman"/>
                <w:snapToGrid w:val="0"/>
                <w:color w:val="auto"/>
                <w:kern w:val="21"/>
                <w:sz w:val="21"/>
                <w:szCs w:val="22"/>
              </w:rPr>
              <w:t>/</w:t>
            </w:r>
          </w:p>
        </w:tc>
        <w:tc>
          <w:tcPr>
            <w:tcW w:w="1706"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bidi="ar-SA"/>
              </w:rPr>
            </w:pPr>
            <w:r>
              <w:rPr>
                <w:rFonts w:hint="default" w:ascii="Times New Roman" w:hAnsi="Times New Roman" w:eastAsia="宋体" w:cs="Times New Roman"/>
                <w:snapToGrid w:val="0"/>
                <w:color w:val="auto"/>
                <w:kern w:val="21"/>
                <w:sz w:val="21"/>
                <w:szCs w:val="22"/>
              </w:rPr>
              <w:t>/</w:t>
            </w:r>
          </w:p>
        </w:tc>
        <w:tc>
          <w:tcPr>
            <w:tcW w:w="1575" w:type="dxa"/>
            <w:shd w:val="clear" w:color="auto" w:fill="auto"/>
            <w:noWrap w:val="0"/>
            <w:vAlign w:val="center"/>
          </w:tcPr>
          <w:p>
            <w:pPr>
              <w:adjustRightInd w:val="0"/>
              <w:snapToGrid w:val="0"/>
              <w:jc w:val="center"/>
              <w:rPr>
                <w:rFonts w:hint="default" w:ascii="Times New Roman" w:hAnsi="Times New Roman" w:eastAsia="宋体" w:cs="Times New Roman"/>
                <w:snapToGrid w:val="0"/>
                <w:color w:val="auto"/>
                <w:kern w:val="21"/>
                <w:sz w:val="21"/>
                <w:szCs w:val="22"/>
                <w:lang w:val="en-US" w:eastAsia="zh-CN" w:bidi="ar-SA"/>
              </w:rPr>
            </w:pPr>
            <w:r>
              <w:rPr>
                <w:rFonts w:hint="default" w:ascii="Times New Roman" w:hAnsi="Times New Roman" w:cs="Times New Roman"/>
                <w:b w:val="0"/>
                <w:bCs/>
                <w:color w:val="000000"/>
                <w:szCs w:val="21"/>
                <w:lang w:val="en-US" w:eastAsia="zh-CN"/>
              </w:rPr>
              <w:t>0.0</w:t>
            </w:r>
            <w:r>
              <w:rPr>
                <w:rFonts w:hint="eastAsia" w:cs="Times New Roman"/>
                <w:b w:val="0"/>
                <w:bCs/>
                <w:color w:val="000000"/>
                <w:szCs w:val="21"/>
                <w:lang w:val="en-US" w:eastAsia="zh-CN"/>
              </w:rPr>
              <w:t>1</w:t>
            </w:r>
            <w:r>
              <w:rPr>
                <w:rFonts w:hint="default" w:ascii="Times New Roman" w:hAnsi="Times New Roman" w:eastAsia="宋体" w:cs="Times New Roman"/>
                <w:snapToGrid w:val="0"/>
                <w:color w:val="auto"/>
                <w:kern w:val="21"/>
                <w:sz w:val="21"/>
                <w:szCs w:val="22"/>
                <w:lang w:val="en-US" w:eastAsia="zh-CN"/>
              </w:rPr>
              <w:t>t/a</w:t>
            </w:r>
          </w:p>
        </w:tc>
        <w:tc>
          <w:tcPr>
            <w:tcW w:w="1556"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bidi="ar-SA"/>
              </w:rPr>
            </w:pPr>
            <w:r>
              <w:rPr>
                <w:rFonts w:hint="default" w:ascii="Times New Roman" w:hAnsi="Times New Roman" w:eastAsia="宋体" w:cs="Times New Roman"/>
                <w:snapToGrid w:val="0"/>
                <w:color w:val="auto"/>
                <w:kern w:val="21"/>
                <w:sz w:val="21"/>
                <w:szCs w:val="22"/>
              </w:rPr>
              <w:t>/</w:t>
            </w:r>
          </w:p>
        </w:tc>
        <w:tc>
          <w:tcPr>
            <w:tcW w:w="1932" w:type="dxa"/>
            <w:shd w:val="clear" w:color="auto" w:fill="auto"/>
            <w:noWrap w:val="0"/>
            <w:vAlign w:val="center"/>
          </w:tcPr>
          <w:p>
            <w:pPr>
              <w:adjustRightInd w:val="0"/>
              <w:snapToGrid w:val="0"/>
              <w:jc w:val="center"/>
              <w:rPr>
                <w:rFonts w:hint="default" w:ascii="Times New Roman" w:hAnsi="Times New Roman" w:eastAsia="宋体" w:cs="Times New Roman"/>
                <w:snapToGrid w:val="0"/>
                <w:color w:val="auto"/>
                <w:kern w:val="21"/>
                <w:sz w:val="21"/>
                <w:szCs w:val="22"/>
                <w:lang w:val="en-US" w:eastAsia="zh-CN" w:bidi="ar-SA"/>
              </w:rPr>
            </w:pPr>
            <w:r>
              <w:rPr>
                <w:rFonts w:hint="default" w:ascii="Times New Roman" w:hAnsi="Times New Roman" w:cs="Times New Roman"/>
                <w:b w:val="0"/>
                <w:bCs/>
                <w:color w:val="000000"/>
                <w:szCs w:val="21"/>
                <w:lang w:val="en-US" w:eastAsia="zh-CN"/>
              </w:rPr>
              <w:t>0.0</w:t>
            </w:r>
            <w:r>
              <w:rPr>
                <w:rFonts w:hint="eastAsia" w:cs="Times New Roman"/>
                <w:b w:val="0"/>
                <w:bCs/>
                <w:color w:val="000000"/>
                <w:szCs w:val="21"/>
                <w:lang w:val="en-US" w:eastAsia="zh-CN"/>
              </w:rPr>
              <w:t>1</w:t>
            </w:r>
            <w:r>
              <w:rPr>
                <w:rFonts w:hint="default" w:ascii="Times New Roman" w:hAnsi="Times New Roman" w:eastAsia="宋体" w:cs="Times New Roman"/>
                <w:snapToGrid w:val="0"/>
                <w:color w:val="auto"/>
                <w:kern w:val="21"/>
                <w:sz w:val="21"/>
                <w:szCs w:val="22"/>
                <w:lang w:val="en-US" w:eastAsia="zh-CN"/>
              </w:rPr>
              <w:t>t/a</w:t>
            </w:r>
          </w:p>
        </w:tc>
        <w:tc>
          <w:tcPr>
            <w:tcW w:w="1301" w:type="dxa"/>
            <w:shd w:val="clear" w:color="auto" w:fill="auto"/>
            <w:noWrap w:val="0"/>
            <w:vAlign w:val="center"/>
          </w:tcPr>
          <w:p>
            <w:pPr>
              <w:adjustRightInd w:val="0"/>
              <w:snapToGrid w:val="0"/>
              <w:jc w:val="center"/>
              <w:rPr>
                <w:rFonts w:hint="default" w:ascii="Times New Roman" w:hAnsi="Times New Roman" w:eastAsia="宋体" w:cs="Times New Roman"/>
                <w:snapToGrid w:val="0"/>
                <w:color w:val="auto"/>
                <w:kern w:val="21"/>
                <w:sz w:val="21"/>
                <w:szCs w:val="22"/>
                <w:lang w:val="en-US" w:eastAsia="zh-CN" w:bidi="ar-SA"/>
              </w:rPr>
            </w:pPr>
            <w:r>
              <w:rPr>
                <w:rFonts w:hint="eastAsia" w:cs="Times New Roman"/>
                <w:b w:val="0"/>
                <w:bCs/>
                <w:color w:val="000000"/>
                <w:szCs w:val="21"/>
                <w:lang w:val="en-US" w:eastAsia="zh-CN"/>
              </w:rPr>
              <w:t>+</w:t>
            </w:r>
            <w:r>
              <w:rPr>
                <w:rFonts w:hint="default" w:ascii="Times New Roman" w:hAnsi="Times New Roman" w:cs="Times New Roman"/>
                <w:b w:val="0"/>
                <w:bCs/>
                <w:color w:val="000000"/>
                <w:szCs w:val="21"/>
                <w:lang w:val="en-US" w:eastAsia="zh-CN"/>
              </w:rPr>
              <w:t>0.0</w:t>
            </w:r>
            <w:r>
              <w:rPr>
                <w:rFonts w:hint="eastAsia" w:cs="Times New Roman"/>
                <w:b w:val="0"/>
                <w:bCs/>
                <w:color w:val="000000"/>
                <w:szCs w:val="21"/>
                <w:lang w:val="en-US" w:eastAsia="zh-CN"/>
              </w:rPr>
              <w:t>1</w:t>
            </w:r>
            <w:r>
              <w:rPr>
                <w:rFonts w:hint="default" w:ascii="Times New Roman" w:hAnsi="Times New Roman" w:eastAsia="宋体" w:cs="Times New Roman"/>
                <w:snapToGrid w:val="0"/>
                <w:color w:val="auto"/>
                <w:kern w:val="21"/>
                <w:sz w:val="21"/>
                <w:szCs w:val="22"/>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075" w:type="dxa"/>
            <w:vMerge w:val="continue"/>
            <w:noWrap w:val="0"/>
            <w:vAlign w:val="center"/>
          </w:tcPr>
          <w:p>
            <w:pPr>
              <w:pStyle w:val="40"/>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2"/>
                <w:lang w:val="en-US" w:eastAsia="zh-CN"/>
              </w:rPr>
            </w:pPr>
          </w:p>
        </w:tc>
        <w:tc>
          <w:tcPr>
            <w:tcW w:w="1741" w:type="dxa"/>
            <w:shd w:val="clear" w:color="auto" w:fill="auto"/>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lang w:val="en-US" w:eastAsia="zh-CN"/>
              </w:rPr>
              <w:t>废弃的含油抹布、劳保用品</w:t>
            </w:r>
          </w:p>
        </w:tc>
        <w:tc>
          <w:tcPr>
            <w:tcW w:w="1800"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bidi="ar-SA"/>
              </w:rPr>
            </w:pPr>
            <w:r>
              <w:rPr>
                <w:rFonts w:hint="default" w:ascii="Times New Roman" w:hAnsi="Times New Roman" w:cs="Times New Roman"/>
                <w:snapToGrid w:val="0"/>
                <w:color w:val="auto"/>
                <w:kern w:val="21"/>
                <w:sz w:val="21"/>
                <w:szCs w:val="22"/>
                <w:lang w:val="en-US" w:eastAsia="zh-CN" w:bidi="ar-SA"/>
              </w:rPr>
              <w:t>/</w:t>
            </w:r>
          </w:p>
        </w:tc>
        <w:tc>
          <w:tcPr>
            <w:tcW w:w="1163"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bidi="ar-SA"/>
              </w:rPr>
            </w:pPr>
            <w:r>
              <w:rPr>
                <w:rFonts w:hint="default" w:ascii="Times New Roman" w:hAnsi="Times New Roman" w:cs="Times New Roman"/>
                <w:snapToGrid w:val="0"/>
                <w:color w:val="auto"/>
                <w:kern w:val="21"/>
                <w:sz w:val="21"/>
                <w:szCs w:val="22"/>
                <w:lang w:val="en-US" w:eastAsia="zh-CN" w:bidi="ar-SA"/>
              </w:rPr>
              <w:t>/</w:t>
            </w:r>
          </w:p>
        </w:tc>
        <w:tc>
          <w:tcPr>
            <w:tcW w:w="1706"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bidi="ar-SA"/>
              </w:rPr>
            </w:pPr>
            <w:r>
              <w:rPr>
                <w:rFonts w:hint="default" w:ascii="Times New Roman" w:hAnsi="Times New Roman" w:cs="Times New Roman"/>
                <w:snapToGrid w:val="0"/>
                <w:color w:val="auto"/>
                <w:kern w:val="21"/>
                <w:sz w:val="21"/>
                <w:szCs w:val="22"/>
                <w:lang w:val="en-US" w:eastAsia="zh-CN" w:bidi="ar-SA"/>
              </w:rPr>
              <w:t>/</w:t>
            </w:r>
          </w:p>
        </w:tc>
        <w:tc>
          <w:tcPr>
            <w:tcW w:w="1575" w:type="dxa"/>
            <w:shd w:val="clear" w:color="auto" w:fill="auto"/>
            <w:noWrap w:val="0"/>
            <w:vAlign w:val="center"/>
          </w:tcPr>
          <w:p>
            <w:pPr>
              <w:adjustRightInd w:val="0"/>
              <w:snapToGrid w:val="0"/>
              <w:jc w:val="center"/>
              <w:rPr>
                <w:rFonts w:hint="default" w:ascii="Times New Roman" w:hAnsi="Times New Roman" w:eastAsia="宋体" w:cs="Times New Roman"/>
                <w:snapToGrid w:val="0"/>
                <w:color w:val="auto"/>
                <w:kern w:val="21"/>
                <w:sz w:val="21"/>
                <w:szCs w:val="22"/>
                <w:lang w:val="en-US" w:eastAsia="zh-CN" w:bidi="ar-SA"/>
              </w:rPr>
            </w:pPr>
            <w:r>
              <w:rPr>
                <w:rFonts w:hint="default" w:ascii="Times New Roman" w:hAnsi="Times New Roman" w:cs="Times New Roman"/>
                <w:b w:val="0"/>
                <w:bCs/>
                <w:color w:val="000000"/>
                <w:szCs w:val="21"/>
                <w:lang w:val="en-US" w:eastAsia="zh-CN"/>
              </w:rPr>
              <w:t>0.01</w:t>
            </w:r>
            <w:r>
              <w:rPr>
                <w:rFonts w:hint="default" w:ascii="Times New Roman" w:hAnsi="Times New Roman" w:eastAsia="宋体" w:cs="Times New Roman"/>
                <w:snapToGrid w:val="0"/>
                <w:color w:val="auto"/>
                <w:kern w:val="21"/>
                <w:sz w:val="21"/>
                <w:szCs w:val="22"/>
                <w:lang w:val="en-US" w:eastAsia="zh-CN"/>
              </w:rPr>
              <w:t>t/a</w:t>
            </w:r>
          </w:p>
        </w:tc>
        <w:tc>
          <w:tcPr>
            <w:tcW w:w="1556"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2"/>
                <w:lang w:val="en-US" w:eastAsia="zh-CN" w:bidi="ar-SA"/>
              </w:rPr>
            </w:pPr>
            <w:r>
              <w:rPr>
                <w:rFonts w:hint="default" w:ascii="Times New Roman" w:hAnsi="Times New Roman" w:cs="Times New Roman"/>
                <w:snapToGrid w:val="0"/>
                <w:color w:val="auto"/>
                <w:kern w:val="21"/>
                <w:sz w:val="21"/>
                <w:szCs w:val="22"/>
                <w:lang w:val="en-US" w:eastAsia="zh-CN" w:bidi="ar-SA"/>
              </w:rPr>
              <w:t>/</w:t>
            </w:r>
          </w:p>
        </w:tc>
        <w:tc>
          <w:tcPr>
            <w:tcW w:w="1932" w:type="dxa"/>
            <w:shd w:val="clear" w:color="auto" w:fill="auto"/>
            <w:noWrap w:val="0"/>
            <w:vAlign w:val="center"/>
          </w:tcPr>
          <w:p>
            <w:pPr>
              <w:adjustRightInd w:val="0"/>
              <w:snapToGrid w:val="0"/>
              <w:jc w:val="center"/>
              <w:rPr>
                <w:rFonts w:hint="default" w:ascii="Times New Roman" w:hAnsi="Times New Roman" w:eastAsia="宋体" w:cs="Times New Roman"/>
                <w:snapToGrid w:val="0"/>
                <w:color w:val="auto"/>
                <w:kern w:val="21"/>
                <w:sz w:val="21"/>
                <w:szCs w:val="22"/>
                <w:lang w:val="en-US" w:eastAsia="zh-CN" w:bidi="ar-SA"/>
              </w:rPr>
            </w:pPr>
            <w:r>
              <w:rPr>
                <w:rFonts w:hint="default" w:ascii="Times New Roman" w:hAnsi="Times New Roman" w:cs="Times New Roman"/>
                <w:b w:val="0"/>
                <w:bCs/>
                <w:color w:val="000000"/>
                <w:szCs w:val="21"/>
                <w:lang w:val="en-US" w:eastAsia="zh-CN"/>
              </w:rPr>
              <w:t>0.01</w:t>
            </w:r>
            <w:r>
              <w:rPr>
                <w:rFonts w:hint="default" w:ascii="Times New Roman" w:hAnsi="Times New Roman" w:eastAsia="宋体" w:cs="Times New Roman"/>
                <w:snapToGrid w:val="0"/>
                <w:color w:val="auto"/>
                <w:kern w:val="21"/>
                <w:sz w:val="21"/>
                <w:szCs w:val="22"/>
                <w:lang w:val="en-US" w:eastAsia="zh-CN"/>
              </w:rPr>
              <w:t>t/a</w:t>
            </w:r>
          </w:p>
        </w:tc>
        <w:tc>
          <w:tcPr>
            <w:tcW w:w="1301" w:type="dxa"/>
            <w:shd w:val="clear" w:color="auto" w:fill="auto"/>
            <w:noWrap w:val="0"/>
            <w:vAlign w:val="center"/>
          </w:tcPr>
          <w:p>
            <w:pPr>
              <w:adjustRightInd w:val="0"/>
              <w:snapToGrid w:val="0"/>
              <w:jc w:val="center"/>
              <w:rPr>
                <w:rFonts w:hint="default" w:ascii="Times New Roman" w:hAnsi="Times New Roman" w:eastAsia="宋体" w:cs="Times New Roman"/>
                <w:snapToGrid w:val="0"/>
                <w:color w:val="auto"/>
                <w:kern w:val="21"/>
                <w:sz w:val="21"/>
                <w:szCs w:val="22"/>
                <w:lang w:val="en-US" w:eastAsia="zh-CN" w:bidi="ar-SA"/>
              </w:rPr>
            </w:pPr>
            <w:r>
              <w:rPr>
                <w:rFonts w:hint="eastAsia" w:cs="Times New Roman"/>
                <w:b w:val="0"/>
                <w:bCs/>
                <w:color w:val="000000"/>
                <w:szCs w:val="21"/>
                <w:lang w:val="en-US" w:eastAsia="zh-CN"/>
              </w:rPr>
              <w:t>+</w:t>
            </w:r>
            <w:r>
              <w:rPr>
                <w:rFonts w:hint="default" w:ascii="Times New Roman" w:hAnsi="Times New Roman" w:cs="Times New Roman"/>
                <w:b w:val="0"/>
                <w:bCs/>
                <w:color w:val="000000"/>
                <w:szCs w:val="21"/>
                <w:lang w:val="en-US" w:eastAsia="zh-CN"/>
              </w:rPr>
              <w:t>0.01</w:t>
            </w:r>
            <w:r>
              <w:rPr>
                <w:rFonts w:hint="default" w:ascii="Times New Roman" w:hAnsi="Times New Roman" w:eastAsia="宋体" w:cs="Times New Roman"/>
                <w:snapToGrid w:val="0"/>
                <w:color w:val="auto"/>
                <w:kern w:val="21"/>
                <w:sz w:val="21"/>
                <w:szCs w:val="22"/>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2816" w:type="dxa"/>
            <w:gridSpan w:val="2"/>
            <w:noWrap w:val="0"/>
            <w:vAlign w:val="center"/>
          </w:tcPr>
          <w:p>
            <w:pPr>
              <w:pStyle w:val="59"/>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生活垃圾</w:t>
            </w:r>
          </w:p>
        </w:tc>
        <w:tc>
          <w:tcPr>
            <w:tcW w:w="1800"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 w:val="21"/>
                <w:szCs w:val="22"/>
                <w:lang w:val="en-US" w:eastAsia="zh-CN" w:bidi="ar-SA"/>
              </w:rPr>
            </w:pPr>
            <w:r>
              <w:rPr>
                <w:rFonts w:hint="eastAsia" w:cs="Times New Roman"/>
                <w:snapToGrid w:val="0"/>
                <w:color w:val="auto"/>
                <w:kern w:val="21"/>
                <w:sz w:val="21"/>
                <w:szCs w:val="22"/>
                <w:lang w:val="en-US" w:eastAsia="zh-CN" w:bidi="ar-SA"/>
              </w:rPr>
              <w:t>/</w:t>
            </w:r>
          </w:p>
        </w:tc>
        <w:tc>
          <w:tcPr>
            <w:tcW w:w="1163"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 w:val="21"/>
                <w:szCs w:val="22"/>
                <w:lang w:val="en-US" w:eastAsia="zh-CN" w:bidi="ar-SA"/>
              </w:rPr>
            </w:pPr>
            <w:r>
              <w:rPr>
                <w:rFonts w:hint="eastAsia" w:cs="Times New Roman"/>
                <w:snapToGrid w:val="0"/>
                <w:color w:val="auto"/>
                <w:kern w:val="21"/>
                <w:sz w:val="21"/>
                <w:szCs w:val="22"/>
                <w:lang w:val="en-US" w:eastAsia="zh-CN" w:bidi="ar-SA"/>
              </w:rPr>
              <w:t>/</w:t>
            </w:r>
          </w:p>
        </w:tc>
        <w:tc>
          <w:tcPr>
            <w:tcW w:w="1706"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 w:val="21"/>
                <w:szCs w:val="22"/>
                <w:lang w:val="en-US" w:eastAsia="zh-CN" w:bidi="ar-SA"/>
              </w:rPr>
            </w:pPr>
            <w:r>
              <w:rPr>
                <w:rFonts w:hint="eastAsia" w:cs="Times New Roman"/>
                <w:snapToGrid w:val="0"/>
                <w:color w:val="auto"/>
                <w:kern w:val="21"/>
                <w:sz w:val="21"/>
                <w:szCs w:val="22"/>
                <w:lang w:val="en-US" w:eastAsia="zh-CN" w:bidi="ar-SA"/>
              </w:rPr>
              <w:t>/</w:t>
            </w:r>
          </w:p>
        </w:tc>
        <w:tc>
          <w:tcPr>
            <w:tcW w:w="1575" w:type="dxa"/>
            <w:shd w:val="clear" w:color="auto" w:fill="auto"/>
            <w:noWrap w:val="0"/>
            <w:vAlign w:val="center"/>
          </w:tcPr>
          <w:p>
            <w:pPr>
              <w:adjustRightInd w:val="0"/>
              <w:snapToGrid w:val="0"/>
              <w:jc w:val="center"/>
              <w:rPr>
                <w:rFonts w:hint="default" w:ascii="Times New Roman" w:hAnsi="Times New Roman" w:cs="Times New Roman"/>
                <w:b w:val="0"/>
                <w:bCs/>
                <w:color w:val="000000"/>
                <w:szCs w:val="21"/>
                <w:lang w:val="en-US" w:eastAsia="zh-CN"/>
              </w:rPr>
            </w:pPr>
            <w:r>
              <w:rPr>
                <w:rFonts w:hint="eastAsia" w:cs="Times New Roman"/>
                <w:b w:val="0"/>
                <w:bCs/>
                <w:color w:val="000000"/>
                <w:szCs w:val="21"/>
                <w:lang w:val="en-US" w:eastAsia="zh-CN"/>
              </w:rPr>
              <w:t>1.32t/a</w:t>
            </w:r>
          </w:p>
        </w:tc>
        <w:tc>
          <w:tcPr>
            <w:tcW w:w="1556"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 w:val="21"/>
                <w:szCs w:val="22"/>
                <w:lang w:val="en-US" w:eastAsia="zh-CN" w:bidi="ar-SA"/>
              </w:rPr>
            </w:pPr>
          </w:p>
        </w:tc>
        <w:tc>
          <w:tcPr>
            <w:tcW w:w="1932" w:type="dxa"/>
            <w:shd w:val="clear" w:color="auto" w:fill="auto"/>
            <w:noWrap w:val="0"/>
            <w:vAlign w:val="center"/>
          </w:tcPr>
          <w:p>
            <w:pPr>
              <w:adjustRightInd w:val="0"/>
              <w:snapToGrid w:val="0"/>
              <w:jc w:val="center"/>
              <w:rPr>
                <w:rFonts w:hint="default" w:ascii="Times New Roman" w:hAnsi="Times New Roman" w:cs="Times New Roman"/>
                <w:b w:val="0"/>
                <w:bCs/>
                <w:color w:val="000000"/>
                <w:szCs w:val="21"/>
                <w:lang w:val="en-US" w:eastAsia="zh-CN"/>
              </w:rPr>
            </w:pPr>
            <w:r>
              <w:rPr>
                <w:rFonts w:hint="eastAsia" w:cs="Times New Roman"/>
                <w:b w:val="0"/>
                <w:bCs/>
                <w:color w:val="000000"/>
                <w:szCs w:val="21"/>
                <w:lang w:val="en-US" w:eastAsia="zh-CN"/>
              </w:rPr>
              <w:t>1.32t/a</w:t>
            </w:r>
          </w:p>
        </w:tc>
        <w:tc>
          <w:tcPr>
            <w:tcW w:w="1301" w:type="dxa"/>
            <w:shd w:val="clear" w:color="auto" w:fill="auto"/>
            <w:noWrap w:val="0"/>
            <w:vAlign w:val="center"/>
          </w:tcPr>
          <w:p>
            <w:pPr>
              <w:adjustRightInd w:val="0"/>
              <w:snapToGrid w:val="0"/>
              <w:jc w:val="center"/>
              <w:rPr>
                <w:rFonts w:hint="default" w:ascii="Times New Roman" w:eastAsia="宋体" w:cs="Times New Roman"/>
                <w:b w:val="0"/>
                <w:bCs w:val="0"/>
                <w:snapToGrid w:val="0"/>
                <w:color w:val="auto"/>
                <w:kern w:val="21"/>
                <w:sz w:val="21"/>
                <w:szCs w:val="22"/>
                <w:highlight w:val="none"/>
                <w:lang w:val="en-US" w:eastAsia="zh-CN"/>
              </w:rPr>
            </w:pPr>
            <w:r>
              <w:rPr>
                <w:rFonts w:hint="eastAsia" w:cs="Times New Roman"/>
                <w:b w:val="0"/>
                <w:bCs/>
                <w:color w:val="000000"/>
                <w:szCs w:val="21"/>
                <w:lang w:val="en-US" w:eastAsia="zh-CN"/>
              </w:rPr>
              <w:t>+1.32t/a</w:t>
            </w:r>
          </w:p>
        </w:tc>
      </w:tr>
      <w:bookmarkEnd w:id="47"/>
      <w:bookmarkEnd w:id="48"/>
    </w:tbl>
    <w:p>
      <w:pPr>
        <w:pStyle w:val="40"/>
        <w:keepNext w:val="0"/>
        <w:keepLines w:val="0"/>
        <w:pageBreakBefore w:val="0"/>
        <w:widowControl w:val="0"/>
        <w:kinsoku/>
        <w:wordWrap/>
        <w:overflowPunct/>
        <w:topLinePunct w:val="0"/>
        <w:autoSpaceDE/>
        <w:autoSpaceDN/>
        <w:bidi w:val="0"/>
        <w:adjustRightInd w:val="0"/>
        <w:snapToGrid w:val="0"/>
        <w:spacing w:beforeLines="0" w:afterLines="0" w:line="240" w:lineRule="auto"/>
        <w:jc w:val="left"/>
        <w:textAlignment w:val="auto"/>
        <w:rPr>
          <w:rFonts w:hint="default" w:ascii="Times New Roman" w:hAnsi="Times New Roman" w:cs="Times New Roman"/>
          <w:snapToGrid w:val="0"/>
          <w:color w:val="auto"/>
          <w:spacing w:val="-6"/>
          <w:kern w:val="21"/>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=6\*GB3\*MERGEFORMAT</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=1\*GB3\*MERGEFORMAT</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=3\*GB3\*MERGEFORMAT</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=4\*GB3\*MERGEFORMAT</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=5\*GB3\*MERGEFORMAT</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=7\*GB3\*MERGEFORMAT</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=6\*GB3\*MERGEFORMAT</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=1\*GB3\*MERGEFORMAT</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bookmarkEnd w:id="46"/>
    </w:p>
    <w:p>
      <w:pPr>
        <w:pStyle w:val="12"/>
        <w:jc w:val="center"/>
        <w:rPr>
          <w:rFonts w:hint="default" w:ascii="Times New Roman" w:hAnsi="Times New Roman" w:eastAsia="宋体" w:cs="Times New Roman"/>
          <w:b/>
          <w:bCs/>
          <w:sz w:val="24"/>
          <w:szCs w:val="24"/>
          <w:lang w:val="en-US" w:eastAsia="zh-CN"/>
        </w:rPr>
      </w:pPr>
    </w:p>
    <w:sectPr>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海骑士" w:date="2025-11-01T08:31:39Z" w:initials="">
    <w:p w14:paraId="EFFB1003">
      <w:pPr>
        <w:pStyle w:val="14"/>
      </w:pPr>
    </w:p>
  </w:comment>
  <w:comment w:id="1" w:author="你命中有我C" w:date="2025-07-10T15:58:05Z" w:initials="">
    <w:p w14:paraId="16D9BC94">
      <w:pPr>
        <w:pStyle w:val="14"/>
      </w:pPr>
    </w:p>
  </w:comment>
  <w:comment w:id="2" w:author="海骑士" w:date="2025-11-01T08:32:54Z" w:initials="">
    <w:p w14:paraId="717A6684">
      <w:pPr>
        <w:pStyle w:val="14"/>
        <w:rPr>
          <w:rFonts w:hint="eastAsia" w:eastAsia="宋体"/>
          <w:lang w:eastAsia="zh-CN"/>
        </w:rPr>
      </w:pPr>
      <w:r>
        <w:rPr>
          <w:rFonts w:hint="eastAsia"/>
          <w:lang w:eastAsia="zh-CN"/>
        </w:rPr>
        <w:t>缺少排放量、排放浓度计算。根据收集效率、去除效率</w:t>
      </w:r>
    </w:p>
  </w:comment>
  <w:comment w:id="3" w:author="海骑士" w:date="2025-11-01T08:33:57Z" w:initials="">
    <w:p w14:paraId="DDF79506">
      <w:pPr>
        <w:pStyle w:val="14"/>
        <w:rPr>
          <w:rFonts w:hint="eastAsia" w:eastAsia="宋体"/>
          <w:lang w:eastAsia="zh-CN"/>
        </w:rPr>
      </w:pPr>
      <w:r>
        <w:rPr>
          <w:rFonts w:hint="eastAsia"/>
          <w:lang w:eastAsia="zh-CN"/>
        </w:rPr>
        <w:t>？</w:t>
      </w:r>
    </w:p>
  </w:comment>
  <w:comment w:id="4" w:author="海骑士" w:date="2025-11-01T08:34:44Z" w:initials="">
    <w:p w14:paraId="FF7F9306">
      <w:pPr>
        <w:pStyle w:val="14"/>
        <w:rPr>
          <w:rFonts w:hint="default" w:eastAsia="宋体"/>
          <w:lang w:val="en-US" w:eastAsia="zh-CN"/>
        </w:rPr>
      </w:pPr>
      <w:r>
        <w:rPr>
          <w:rFonts w:hint="eastAsia"/>
          <w:lang w:eastAsia="zh-CN"/>
        </w:rPr>
        <w:t>达到多少</w:t>
      </w:r>
      <w:r>
        <w:rPr>
          <w:rFonts w:hint="eastAsia"/>
          <w:lang w:val="en-US" w:eastAsia="zh-CN"/>
        </w:rPr>
        <w:t>mg/m3，满足什么标准？需要在这里明确，不然叫什么大气环境影响分析</w:t>
      </w:r>
    </w:p>
  </w:comment>
  <w:comment w:id="5" w:author="海骑士" w:date="2025-11-01T08:38:58Z" w:initials="">
    <w:p w14:paraId="AFF738DB">
      <w:pPr>
        <w:pStyle w:val="14"/>
        <w:rPr>
          <w:rFonts w:hint="eastAsia" w:eastAsia="宋体"/>
          <w:lang w:eastAsia="zh-CN"/>
        </w:rPr>
      </w:pPr>
      <w:r>
        <w:rPr>
          <w:rFonts w:hint="eastAsia"/>
          <w:lang w:eastAsia="zh-CN"/>
        </w:rPr>
        <w:t>废活性炭、</w:t>
      </w:r>
    </w:p>
  </w:comment>
  <w:comment w:id="6" w:author="海骑士" w:date="2025-11-01T08:38:54Z" w:initials="">
    <w:p w14:paraId="FFF1CACF">
      <w:pPr>
        <w:pStyle w:val="14"/>
      </w:pPr>
    </w:p>
  </w:comment>
  <w:comment w:id="7" w:author="海骑士" w:date="2025-11-01T08:38:19Z" w:initials="">
    <w:p w14:paraId="BF47012D">
      <w:pPr>
        <w:pStyle w:val="14"/>
        <w:rPr>
          <w:rFonts w:hint="eastAsia" w:eastAsia="宋体"/>
          <w:lang w:eastAsia="zh-CN"/>
        </w:rPr>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EFFB1003" w15:done="0"/>
  <w15:commentEx w15:paraId="16D9BC94" w15:done="0"/>
  <w15:commentEx w15:paraId="717A6684" w15:done="0"/>
  <w15:commentEx w15:paraId="DDF79506" w15:done="0"/>
  <w15:commentEx w15:paraId="FF7F9306" w15:done="0"/>
  <w15:commentEx w15:paraId="AFF738DB" w15:done="0"/>
  <w15:commentEx w15:paraId="FFF1CACF" w15:done="0"/>
  <w15:commentEx w15:paraId="BF47012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swiss"/>
    <w:pitch w:val="default"/>
    <w:sig w:usb0="00000000" w:usb1="00000000" w:usb2="00000009" w:usb3="00000000" w:csb0="400001FF" w:csb1="FFFF0000"/>
  </w:font>
  <w:font w:name="宋体">
    <w:altName w:val="方正书宋_GBK"/>
    <w:panose1 w:val="02010600030101010101"/>
    <w:charset w:val="80"/>
    <w:family w:val="auto"/>
    <w:pitch w:val="default"/>
    <w:sig w:usb0="00000000" w:usb1="0000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auto"/>
    <w:pitch w:val="default"/>
    <w:sig w:usb0="00000000" w:usb1="00000000" w:usb2="00000000" w:usb3="00000000" w:csb0="00040000"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华文仿宋"/>
    <w:panose1 w:val="02010600030101010101"/>
    <w:charset w:val="86"/>
    <w:family w:val="auto"/>
    <w:pitch w:val="default"/>
    <w:sig w:usb0="00000000" w:usb1="00000000" w:usb2="00000016" w:usb3="00000000" w:csb0="0004000F" w:csb1="00000000"/>
  </w:font>
  <w:font w:name="楷体_GB2312">
    <w:altName w:val="方正楷体_GBK"/>
    <w:panose1 w:val="02010609030101010101"/>
    <w:charset w:val="86"/>
    <w:family w:val="modern"/>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新宋体">
    <w:altName w:val="方正书宋_GBK"/>
    <w:panose1 w:val="02010609030101010101"/>
    <w:charset w:val="86"/>
    <w:family w:val="auto"/>
    <w:pitch w:val="default"/>
    <w:sig w:usb0="00000000" w:usb1="00000000" w:usb2="00000006" w:usb3="00000000" w:csb0="00040001" w:csb1="00000000"/>
  </w:font>
  <w:font w:name="Helvetica">
    <w:altName w:val="URW Bookman"/>
    <w:panose1 w:val="00000000000000000000"/>
    <w:charset w:val="00"/>
    <w:family w:val="auto"/>
    <w:pitch w:val="default"/>
    <w:sig w:usb0="00000000" w:usb1="00000000" w:usb2="00000000" w:usb3="00000000" w:csb0="00000000" w:csb1="00000000"/>
  </w:font>
  <w:font w:name="Cambria Math">
    <w:altName w:val="DejaVu Math TeX Gyre"/>
    <w:panose1 w:val="02040503050406030204"/>
    <w:charset w:val="00"/>
    <w:family w:val="auto"/>
    <w:pitch w:val="default"/>
    <w:sig w:usb0="00000000" w:usb1="00000000" w:usb2="02000000" w:usb3="00000000" w:csb0="2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楷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Standard Symbols PS">
    <w:panose1 w:val="05050102010706020507"/>
    <w:charset w:val="00"/>
    <w:family w:val="auto"/>
    <w:pitch w:val="default"/>
    <w:sig w:usb0="00000003" w:usb1="00000000" w:usb2="00000000" w:usb3="00000000" w:csb0="00000001" w:csb1="00000000"/>
  </w:font>
  <w:font w:name="URW Bookman">
    <w:panose1 w:val="00000400000000000000"/>
    <w:charset w:val="00"/>
    <w:family w:val="auto"/>
    <w:pitch w:val="default"/>
    <w:sig w:usb0="00000287" w:usb1="00000800" w:usb2="00000000" w:usb3="00000000" w:csb0="6000009F" w:csb1="00000000"/>
  </w:font>
  <w:font w:name="方正宋体S-超大字符集">
    <w:panose1 w:val="02000000000000000000"/>
    <w:charset w:val="86"/>
    <w:family w:val="auto"/>
    <w:pitch w:val="default"/>
    <w:sig w:usb0="00000001" w:usb1="0800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y2DMHAIAACkEAAAOAAAAZHJz&#10;L2Uyb0RvYy54bWytU82O0zAQviPxDpbvNGkRq27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S4lmCiM6ff1y+vbj9P0z&#10;uY3wtNbP4LWx8Avda9MVNLi9GEwe77HxrnIq3miJwAVYHy/4ii4QjsfxdDKd5jBx2AYFKbLrd+t8&#10;eCOMIlEoqMMAE67ssPbh7Dq4xGzarBop0xClJm1Bb16+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K8tgzBwCAAApBAAADgAAAAAAAAABACAAAAA1AQAAZHJzL2Uyb0RvYy54bWxQSwUG&#10;AAAAAAYABgBZAQAAww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216686"/>
    <w:multiLevelType w:val="singleLevel"/>
    <w:tmpl w:val="28216686"/>
    <w:lvl w:ilvl="0" w:tentative="0">
      <w:start w:val="1"/>
      <w:numFmt w:val="bullet"/>
      <w:pStyle w:val="22"/>
      <w:lvlText w:val=""/>
      <w:lvlJc w:val="left"/>
      <w:pPr>
        <w:tabs>
          <w:tab w:val="left" w:pos="2040"/>
        </w:tabs>
        <w:ind w:left="2040" w:hanging="360"/>
      </w:pPr>
      <w:rPr>
        <w:rFonts w:hint="default" w:ascii="Wingdings" w:hAnsi="Wingdings"/>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海骑士">
    <w15:presenceInfo w15:providerId="WPS Office" w15:userId="2624432967"/>
  </w15:person>
  <w15:person w15:author="你命中有我C">
    <w15:presenceInfo w15:providerId="WPS Office" w15:userId="13564809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true"/>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xNGNhMzU4ZTNiOGQ5ZTFlMDQ2N2RhNmFmYTA1ODkifQ=="/>
  </w:docVars>
  <w:rsids>
    <w:rsidRoot w:val="340C739B"/>
    <w:rsid w:val="000F28E7"/>
    <w:rsid w:val="009F4B9F"/>
    <w:rsid w:val="03391A6A"/>
    <w:rsid w:val="037274BD"/>
    <w:rsid w:val="03C923BD"/>
    <w:rsid w:val="04200CFA"/>
    <w:rsid w:val="046E6D8E"/>
    <w:rsid w:val="049116C0"/>
    <w:rsid w:val="04E23169"/>
    <w:rsid w:val="04F82D99"/>
    <w:rsid w:val="051A4D35"/>
    <w:rsid w:val="057D1823"/>
    <w:rsid w:val="059C1B9A"/>
    <w:rsid w:val="06235E9C"/>
    <w:rsid w:val="063D1560"/>
    <w:rsid w:val="06705DB7"/>
    <w:rsid w:val="06D575E9"/>
    <w:rsid w:val="06E039DC"/>
    <w:rsid w:val="06E47555"/>
    <w:rsid w:val="074F100F"/>
    <w:rsid w:val="07D60630"/>
    <w:rsid w:val="08217FA4"/>
    <w:rsid w:val="084F745E"/>
    <w:rsid w:val="08D3346B"/>
    <w:rsid w:val="08DB2FD9"/>
    <w:rsid w:val="09450915"/>
    <w:rsid w:val="09B76986"/>
    <w:rsid w:val="0A51342A"/>
    <w:rsid w:val="0A6D4CA8"/>
    <w:rsid w:val="0A745327"/>
    <w:rsid w:val="0A8E3919"/>
    <w:rsid w:val="0B17001C"/>
    <w:rsid w:val="0B21104E"/>
    <w:rsid w:val="0B626A79"/>
    <w:rsid w:val="0B8D6575"/>
    <w:rsid w:val="0BAB72B9"/>
    <w:rsid w:val="0BE77CF7"/>
    <w:rsid w:val="0CB47CA0"/>
    <w:rsid w:val="0CB516D6"/>
    <w:rsid w:val="0CD12914"/>
    <w:rsid w:val="0E8B7247"/>
    <w:rsid w:val="0EC82E48"/>
    <w:rsid w:val="0F110E3D"/>
    <w:rsid w:val="11667923"/>
    <w:rsid w:val="118F4CB1"/>
    <w:rsid w:val="11B654B2"/>
    <w:rsid w:val="123A29F6"/>
    <w:rsid w:val="1264592D"/>
    <w:rsid w:val="12691182"/>
    <w:rsid w:val="128929EB"/>
    <w:rsid w:val="12D96480"/>
    <w:rsid w:val="12DB157D"/>
    <w:rsid w:val="13333FBE"/>
    <w:rsid w:val="13E4035D"/>
    <w:rsid w:val="13E71C63"/>
    <w:rsid w:val="13EA0AB8"/>
    <w:rsid w:val="147A532B"/>
    <w:rsid w:val="14946EB4"/>
    <w:rsid w:val="14E804E7"/>
    <w:rsid w:val="15437BF1"/>
    <w:rsid w:val="15525DBD"/>
    <w:rsid w:val="15805C37"/>
    <w:rsid w:val="15BE749A"/>
    <w:rsid w:val="160E07BD"/>
    <w:rsid w:val="16380B5D"/>
    <w:rsid w:val="16A76FFE"/>
    <w:rsid w:val="17B61649"/>
    <w:rsid w:val="17E40A78"/>
    <w:rsid w:val="18361EEE"/>
    <w:rsid w:val="18392864"/>
    <w:rsid w:val="18843664"/>
    <w:rsid w:val="188501DE"/>
    <w:rsid w:val="18DB6441"/>
    <w:rsid w:val="19006747"/>
    <w:rsid w:val="193208CA"/>
    <w:rsid w:val="19B37D50"/>
    <w:rsid w:val="1A2A2078"/>
    <w:rsid w:val="1AA90104"/>
    <w:rsid w:val="1B3E3557"/>
    <w:rsid w:val="1B7A2CAB"/>
    <w:rsid w:val="1B8F1103"/>
    <w:rsid w:val="1C7A1112"/>
    <w:rsid w:val="1D9A3713"/>
    <w:rsid w:val="1DDD4192"/>
    <w:rsid w:val="1DF24C7C"/>
    <w:rsid w:val="1DF5296A"/>
    <w:rsid w:val="1EAB251A"/>
    <w:rsid w:val="1EF40375"/>
    <w:rsid w:val="1F3666C2"/>
    <w:rsid w:val="1F39F03D"/>
    <w:rsid w:val="1F54235B"/>
    <w:rsid w:val="1F6F2922"/>
    <w:rsid w:val="1F9E2AA2"/>
    <w:rsid w:val="1FB3396D"/>
    <w:rsid w:val="20361E67"/>
    <w:rsid w:val="20E24984"/>
    <w:rsid w:val="21650DB5"/>
    <w:rsid w:val="21752C4A"/>
    <w:rsid w:val="21F93348"/>
    <w:rsid w:val="234033A4"/>
    <w:rsid w:val="23772796"/>
    <w:rsid w:val="23C27F78"/>
    <w:rsid w:val="23C574F0"/>
    <w:rsid w:val="24545018"/>
    <w:rsid w:val="247C6E9E"/>
    <w:rsid w:val="24AA708A"/>
    <w:rsid w:val="24CD3122"/>
    <w:rsid w:val="2507410C"/>
    <w:rsid w:val="25DC7BF4"/>
    <w:rsid w:val="261260A1"/>
    <w:rsid w:val="26651BCB"/>
    <w:rsid w:val="26E84218"/>
    <w:rsid w:val="27980803"/>
    <w:rsid w:val="27AC1848"/>
    <w:rsid w:val="282D2989"/>
    <w:rsid w:val="2886072E"/>
    <w:rsid w:val="28DB7C5A"/>
    <w:rsid w:val="29737CDB"/>
    <w:rsid w:val="29784198"/>
    <w:rsid w:val="29C34FFD"/>
    <w:rsid w:val="2AF97CB5"/>
    <w:rsid w:val="2AFF0111"/>
    <w:rsid w:val="2B0A6F32"/>
    <w:rsid w:val="2B2A7647"/>
    <w:rsid w:val="2BA52670"/>
    <w:rsid w:val="2BB46983"/>
    <w:rsid w:val="2BF84933"/>
    <w:rsid w:val="2D290EEC"/>
    <w:rsid w:val="2DC060E9"/>
    <w:rsid w:val="2E3D6EBE"/>
    <w:rsid w:val="30186255"/>
    <w:rsid w:val="30383C6C"/>
    <w:rsid w:val="303F652C"/>
    <w:rsid w:val="308D1632"/>
    <w:rsid w:val="30A81C54"/>
    <w:rsid w:val="31395E84"/>
    <w:rsid w:val="31993C82"/>
    <w:rsid w:val="321C36D4"/>
    <w:rsid w:val="323B333E"/>
    <w:rsid w:val="324A0F08"/>
    <w:rsid w:val="32F347CF"/>
    <w:rsid w:val="33410316"/>
    <w:rsid w:val="336442E8"/>
    <w:rsid w:val="33AF5E5A"/>
    <w:rsid w:val="340C739B"/>
    <w:rsid w:val="344A48C2"/>
    <w:rsid w:val="34E638AF"/>
    <w:rsid w:val="3518051D"/>
    <w:rsid w:val="35800BD2"/>
    <w:rsid w:val="35863C1F"/>
    <w:rsid w:val="36CA5DCA"/>
    <w:rsid w:val="36DE5C94"/>
    <w:rsid w:val="370670F2"/>
    <w:rsid w:val="37153A7C"/>
    <w:rsid w:val="378816EF"/>
    <w:rsid w:val="37D373B5"/>
    <w:rsid w:val="380B1527"/>
    <w:rsid w:val="383C0232"/>
    <w:rsid w:val="386C32E4"/>
    <w:rsid w:val="387C443B"/>
    <w:rsid w:val="394D4FCB"/>
    <w:rsid w:val="39AC7B54"/>
    <w:rsid w:val="3A2A459C"/>
    <w:rsid w:val="3AC844B6"/>
    <w:rsid w:val="3B1564CD"/>
    <w:rsid w:val="3B8A5984"/>
    <w:rsid w:val="3BA41687"/>
    <w:rsid w:val="3BE97A7F"/>
    <w:rsid w:val="3C9F5065"/>
    <w:rsid w:val="3CA81E8E"/>
    <w:rsid w:val="3CC64D02"/>
    <w:rsid w:val="3CF6433F"/>
    <w:rsid w:val="3DA57B89"/>
    <w:rsid w:val="3DAC3BCF"/>
    <w:rsid w:val="3E69591A"/>
    <w:rsid w:val="3EC14C3B"/>
    <w:rsid w:val="3FF22CF9"/>
    <w:rsid w:val="402B46E8"/>
    <w:rsid w:val="40A22795"/>
    <w:rsid w:val="40CE4D5C"/>
    <w:rsid w:val="40D0614F"/>
    <w:rsid w:val="411E20D9"/>
    <w:rsid w:val="415006B8"/>
    <w:rsid w:val="41BD0482"/>
    <w:rsid w:val="41F953C8"/>
    <w:rsid w:val="42C024BB"/>
    <w:rsid w:val="435B43F6"/>
    <w:rsid w:val="43D80EBA"/>
    <w:rsid w:val="45B8153D"/>
    <w:rsid w:val="460C7C2A"/>
    <w:rsid w:val="463F7FFF"/>
    <w:rsid w:val="47B370DE"/>
    <w:rsid w:val="47D6229D"/>
    <w:rsid w:val="47F90DDB"/>
    <w:rsid w:val="48482A6F"/>
    <w:rsid w:val="48A56A5C"/>
    <w:rsid w:val="48A71DF0"/>
    <w:rsid w:val="492E04CB"/>
    <w:rsid w:val="49725FF6"/>
    <w:rsid w:val="498441D8"/>
    <w:rsid w:val="4A0E27FA"/>
    <w:rsid w:val="4A896855"/>
    <w:rsid w:val="4A8A58B4"/>
    <w:rsid w:val="4A944BE6"/>
    <w:rsid w:val="4AA246B9"/>
    <w:rsid w:val="4C8D1398"/>
    <w:rsid w:val="4CF16DC3"/>
    <w:rsid w:val="4D6769CD"/>
    <w:rsid w:val="4DD728CB"/>
    <w:rsid w:val="4E1333B3"/>
    <w:rsid w:val="4E4036E7"/>
    <w:rsid w:val="4E8F3FF5"/>
    <w:rsid w:val="4E977213"/>
    <w:rsid w:val="4EF16AA3"/>
    <w:rsid w:val="4F2124A6"/>
    <w:rsid w:val="4FCE5F50"/>
    <w:rsid w:val="503D6843"/>
    <w:rsid w:val="51037E7B"/>
    <w:rsid w:val="511274B5"/>
    <w:rsid w:val="51413A5A"/>
    <w:rsid w:val="51E23F34"/>
    <w:rsid w:val="52123C42"/>
    <w:rsid w:val="521A1B0C"/>
    <w:rsid w:val="52444956"/>
    <w:rsid w:val="52A336C4"/>
    <w:rsid w:val="52A35472"/>
    <w:rsid w:val="531630B7"/>
    <w:rsid w:val="53404825"/>
    <w:rsid w:val="53404CCE"/>
    <w:rsid w:val="5347092C"/>
    <w:rsid w:val="53D6759E"/>
    <w:rsid w:val="5428657B"/>
    <w:rsid w:val="545A35BB"/>
    <w:rsid w:val="54A3720B"/>
    <w:rsid w:val="54C56C43"/>
    <w:rsid w:val="54F415EE"/>
    <w:rsid w:val="55374D1D"/>
    <w:rsid w:val="557476C2"/>
    <w:rsid w:val="55B6290D"/>
    <w:rsid w:val="55CC1183"/>
    <w:rsid w:val="564570CF"/>
    <w:rsid w:val="57A005D2"/>
    <w:rsid w:val="57DA0DAE"/>
    <w:rsid w:val="585E298B"/>
    <w:rsid w:val="586F6658"/>
    <w:rsid w:val="587C1217"/>
    <w:rsid w:val="5919023C"/>
    <w:rsid w:val="59601104"/>
    <w:rsid w:val="59B91C87"/>
    <w:rsid w:val="59F1241D"/>
    <w:rsid w:val="59F60654"/>
    <w:rsid w:val="5A31712A"/>
    <w:rsid w:val="5A9164F8"/>
    <w:rsid w:val="5AC939DD"/>
    <w:rsid w:val="5AF44CA6"/>
    <w:rsid w:val="5B69666C"/>
    <w:rsid w:val="5B920076"/>
    <w:rsid w:val="5C2D3F66"/>
    <w:rsid w:val="5CF013A8"/>
    <w:rsid w:val="5D0132AC"/>
    <w:rsid w:val="5D0F6743"/>
    <w:rsid w:val="5D1900CC"/>
    <w:rsid w:val="5D333476"/>
    <w:rsid w:val="5D3947C0"/>
    <w:rsid w:val="5D4364EA"/>
    <w:rsid w:val="5D9A56C3"/>
    <w:rsid w:val="5DC117CF"/>
    <w:rsid w:val="5DD037BC"/>
    <w:rsid w:val="5E2525E9"/>
    <w:rsid w:val="5E5E1703"/>
    <w:rsid w:val="5E742C34"/>
    <w:rsid w:val="5E7F6184"/>
    <w:rsid w:val="5EC06621"/>
    <w:rsid w:val="5EEC732B"/>
    <w:rsid w:val="5EF76226"/>
    <w:rsid w:val="604F2F3E"/>
    <w:rsid w:val="606C44D6"/>
    <w:rsid w:val="60C52DFB"/>
    <w:rsid w:val="61474371"/>
    <w:rsid w:val="614E4756"/>
    <w:rsid w:val="61596A35"/>
    <w:rsid w:val="61D5307A"/>
    <w:rsid w:val="61E0462F"/>
    <w:rsid w:val="62373179"/>
    <w:rsid w:val="631F35AD"/>
    <w:rsid w:val="63212778"/>
    <w:rsid w:val="632E3B4A"/>
    <w:rsid w:val="63974ECF"/>
    <w:rsid w:val="63E92B11"/>
    <w:rsid w:val="63F85A5C"/>
    <w:rsid w:val="640A2A16"/>
    <w:rsid w:val="64B12B78"/>
    <w:rsid w:val="655D2117"/>
    <w:rsid w:val="65F91B21"/>
    <w:rsid w:val="66846F11"/>
    <w:rsid w:val="677F5C59"/>
    <w:rsid w:val="67C04559"/>
    <w:rsid w:val="6827516E"/>
    <w:rsid w:val="68A52B57"/>
    <w:rsid w:val="69355334"/>
    <w:rsid w:val="69436FFD"/>
    <w:rsid w:val="69BE7E3E"/>
    <w:rsid w:val="6A50293B"/>
    <w:rsid w:val="6A6634FD"/>
    <w:rsid w:val="6AB853DB"/>
    <w:rsid w:val="6AC542D7"/>
    <w:rsid w:val="6AD40AB5"/>
    <w:rsid w:val="6B9F4E28"/>
    <w:rsid w:val="6C467142"/>
    <w:rsid w:val="6CA636F4"/>
    <w:rsid w:val="6CA64085"/>
    <w:rsid w:val="6CD42F8D"/>
    <w:rsid w:val="6D0D7C60"/>
    <w:rsid w:val="6D1A3868"/>
    <w:rsid w:val="6D49103E"/>
    <w:rsid w:val="6D7B5291"/>
    <w:rsid w:val="6E225EE7"/>
    <w:rsid w:val="6E2C4ACE"/>
    <w:rsid w:val="6E3B25AB"/>
    <w:rsid w:val="6E4B3F3E"/>
    <w:rsid w:val="6E5D69C5"/>
    <w:rsid w:val="6E787724"/>
    <w:rsid w:val="6E914486"/>
    <w:rsid w:val="6EFC1D3A"/>
    <w:rsid w:val="6FA14630"/>
    <w:rsid w:val="70203852"/>
    <w:rsid w:val="70B41AE8"/>
    <w:rsid w:val="72766B32"/>
    <w:rsid w:val="72854C93"/>
    <w:rsid w:val="73132698"/>
    <w:rsid w:val="73974D06"/>
    <w:rsid w:val="73D11B59"/>
    <w:rsid w:val="73F80CC7"/>
    <w:rsid w:val="742A098F"/>
    <w:rsid w:val="745148D6"/>
    <w:rsid w:val="74EA5E7A"/>
    <w:rsid w:val="752A5280"/>
    <w:rsid w:val="759B0E3E"/>
    <w:rsid w:val="75A86B80"/>
    <w:rsid w:val="76323CFC"/>
    <w:rsid w:val="765F4A43"/>
    <w:rsid w:val="76A8288F"/>
    <w:rsid w:val="78615EB0"/>
    <w:rsid w:val="78D37FAF"/>
    <w:rsid w:val="791F488D"/>
    <w:rsid w:val="79790527"/>
    <w:rsid w:val="7A4E5CE2"/>
    <w:rsid w:val="7ADF18E8"/>
    <w:rsid w:val="7AE45995"/>
    <w:rsid w:val="7B414824"/>
    <w:rsid w:val="7B7A2B02"/>
    <w:rsid w:val="7C8E2FEA"/>
    <w:rsid w:val="7D1A63E2"/>
    <w:rsid w:val="7D2A7EE3"/>
    <w:rsid w:val="7D511DEB"/>
    <w:rsid w:val="7D8C54C2"/>
    <w:rsid w:val="7D965A4F"/>
    <w:rsid w:val="7DCE3215"/>
    <w:rsid w:val="7ED72EE6"/>
    <w:rsid w:val="7EFA6D80"/>
    <w:rsid w:val="7F022E10"/>
    <w:rsid w:val="7F3177DE"/>
    <w:rsid w:val="7F800D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qFormat="1" w:uiPriority="39" w:semiHidden="0" w:name="toc 9"/>
    <w:lsdException w:qFormat="1"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5"/>
    <w:next w:val="1"/>
    <w:qFormat/>
    <w:uiPriority w:val="0"/>
    <w:pPr>
      <w:keepNext/>
      <w:keepLines/>
      <w:spacing w:beforeLines="0" w:beforeAutospacing="0" w:afterLines="0" w:afterAutospacing="0" w:line="360" w:lineRule="auto"/>
      <w:ind w:firstLine="0" w:firstLineChars="0"/>
      <w:jc w:val="left"/>
      <w:outlineLvl w:val="0"/>
    </w:pPr>
    <w:rPr>
      <w:rFonts w:ascii="Times New Roman" w:hAnsi="Times New Roman" w:eastAsia="仿宋_GB2312" w:cs="Times New Roman"/>
      <w:snapToGrid w:val="0"/>
      <w:color w:val="000000"/>
      <w:sz w:val="24"/>
      <w:szCs w:val="28"/>
    </w:rPr>
  </w:style>
  <w:style w:type="paragraph" w:styleId="6">
    <w:name w:val="heading 2"/>
    <w:basedOn w:val="1"/>
    <w:next w:val="1"/>
    <w:qFormat/>
    <w:uiPriority w:val="0"/>
    <w:pPr>
      <w:keepNext/>
      <w:keepLines/>
      <w:outlineLvl w:val="1"/>
    </w:pPr>
  </w:style>
  <w:style w:type="paragraph" w:styleId="7">
    <w:name w:val="heading 3"/>
    <w:basedOn w:val="1"/>
    <w:next w:val="1"/>
    <w:qFormat/>
    <w:uiPriority w:val="0"/>
    <w:pPr>
      <w:keepNext/>
      <w:keepLines/>
      <w:spacing w:line="240" w:lineRule="auto"/>
      <w:ind w:firstLine="0" w:firstLineChars="0"/>
      <w:jc w:val="center"/>
      <w:outlineLvl w:val="2"/>
    </w:pPr>
    <w:rPr>
      <w:b/>
    </w:rPr>
  </w:style>
  <w:style w:type="paragraph" w:styleId="8">
    <w:name w:val="heading 4"/>
    <w:basedOn w:val="1"/>
    <w:next w:val="1"/>
    <w:unhideWhenUsed/>
    <w:qFormat/>
    <w:uiPriority w:val="9"/>
    <w:pPr>
      <w:keepNext/>
      <w:spacing w:line="440" w:lineRule="exact"/>
      <w:jc w:val="center"/>
      <w:outlineLvl w:val="3"/>
    </w:pPr>
    <w:rPr>
      <w:rFonts w:ascii="宋体" w:hAnsi="宋体"/>
      <w:b/>
      <w:szCs w:val="20"/>
    </w:rPr>
  </w:style>
  <w:style w:type="character" w:default="1" w:styleId="35">
    <w:name w:val="Default Paragraph Font"/>
    <w:semiHidden/>
    <w:qFormat/>
    <w:uiPriority w:val="0"/>
  </w:style>
  <w:style w:type="table" w:default="1" w:styleId="33">
    <w:name w:val="Normal Table"/>
    <w:semiHidden/>
    <w:qFormat/>
    <w:uiPriority w:val="0"/>
    <w:tblPr>
      <w:tblCellMar>
        <w:top w:w="0" w:type="dxa"/>
        <w:left w:w="108" w:type="dxa"/>
        <w:bottom w:w="0" w:type="dxa"/>
        <w:right w:w="108" w:type="dxa"/>
      </w:tblCellMar>
    </w:tblPr>
  </w:style>
  <w:style w:type="paragraph" w:customStyle="1" w:styleId="2">
    <w:name w:val="Default"/>
    <w:basedOn w:val="3"/>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3">
    <w:name w:val="标题2"/>
    <w:basedOn w:val="1"/>
    <w:next w:val="1"/>
    <w:qFormat/>
    <w:uiPriority w:val="99"/>
    <w:pPr>
      <w:spacing w:line="360" w:lineRule="auto"/>
      <w:ind w:firstLine="0" w:firstLineChars="0"/>
      <w:jc w:val="left"/>
    </w:pPr>
    <w:rPr>
      <w:b/>
      <w:sz w:val="28"/>
    </w:rPr>
  </w:style>
  <w:style w:type="paragraph" w:styleId="5">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9">
    <w:name w:val="List 3"/>
    <w:basedOn w:val="1"/>
    <w:qFormat/>
    <w:uiPriority w:val="0"/>
    <w:pPr>
      <w:adjustRightInd/>
      <w:spacing w:line="240" w:lineRule="auto"/>
      <w:ind w:left="0" w:leftChars="0" w:firstLine="0" w:firstLineChars="0"/>
      <w:textAlignment w:val="auto"/>
    </w:pPr>
    <w:rPr>
      <w:sz w:val="21"/>
    </w:rPr>
  </w:style>
  <w:style w:type="paragraph" w:styleId="10">
    <w:name w:val="toc 7"/>
    <w:next w:val="1"/>
    <w:qFormat/>
    <w:uiPriority w:val="0"/>
    <w:pPr>
      <w:widowControl w:val="0"/>
      <w:jc w:val="center"/>
    </w:pPr>
    <w:rPr>
      <w:rFonts w:ascii="Times New Roman" w:hAnsi="Times New Roman" w:eastAsia="宋体" w:cs="Times New Roman"/>
      <w:kern w:val="2"/>
      <w:sz w:val="21"/>
      <w:szCs w:val="21"/>
      <w:lang w:val="en-US" w:eastAsia="zh-CN" w:bidi="ar-SA"/>
    </w:rPr>
  </w:style>
  <w:style w:type="paragraph" w:styleId="11">
    <w:name w:val="Normal Indent"/>
    <w:basedOn w:val="1"/>
    <w:next w:val="8"/>
    <w:unhideWhenUsed/>
    <w:qFormat/>
    <w:uiPriority w:val="99"/>
    <w:pPr>
      <w:adjustRightInd w:val="0"/>
      <w:spacing w:line="360" w:lineRule="auto"/>
      <w:ind w:firstLine="600" w:firstLineChars="200"/>
      <w:jc w:val="left"/>
    </w:pPr>
    <w:rPr>
      <w:rFonts w:ascii="Times New Roman" w:hAnsi="Times New Roman" w:eastAsia="宋体"/>
      <w:sz w:val="24"/>
    </w:rPr>
  </w:style>
  <w:style w:type="paragraph" w:styleId="12">
    <w:name w:val="caption"/>
    <w:basedOn w:val="1"/>
    <w:next w:val="1"/>
    <w:semiHidden/>
    <w:unhideWhenUsed/>
    <w:qFormat/>
    <w:uiPriority w:val="0"/>
    <w:rPr>
      <w:rFonts w:ascii="Arial" w:hAnsi="Arial" w:eastAsia="黑体"/>
      <w:sz w:val="20"/>
    </w:rPr>
  </w:style>
  <w:style w:type="paragraph" w:styleId="13">
    <w:name w:val="index 5"/>
    <w:basedOn w:val="1"/>
    <w:next w:val="1"/>
    <w:qFormat/>
    <w:uiPriority w:val="0"/>
    <w:pPr>
      <w:ind w:left="1680"/>
    </w:pPr>
  </w:style>
  <w:style w:type="paragraph" w:styleId="14">
    <w:name w:val="annotation text"/>
    <w:basedOn w:val="1"/>
    <w:semiHidden/>
    <w:qFormat/>
    <w:uiPriority w:val="0"/>
    <w:pPr>
      <w:jc w:val="left"/>
    </w:pPr>
    <w:rPr>
      <w:kern w:val="0"/>
      <w:sz w:val="24"/>
      <w:szCs w:val="20"/>
    </w:rPr>
  </w:style>
  <w:style w:type="paragraph" w:styleId="15">
    <w:name w:val="Salutation"/>
    <w:basedOn w:val="1"/>
    <w:next w:val="1"/>
    <w:qFormat/>
    <w:uiPriority w:val="0"/>
    <w:pPr>
      <w:spacing w:line="240" w:lineRule="auto"/>
      <w:ind w:firstLine="0" w:firstLineChars="0"/>
    </w:pPr>
    <w:rPr>
      <w:sz w:val="28"/>
      <w:szCs w:val="20"/>
    </w:rPr>
  </w:style>
  <w:style w:type="paragraph" w:styleId="16">
    <w:name w:val="Body Text"/>
    <w:basedOn w:val="1"/>
    <w:qFormat/>
    <w:uiPriority w:val="0"/>
    <w:pPr>
      <w:widowControl/>
      <w:snapToGrid w:val="0"/>
      <w:spacing w:line="240" w:lineRule="auto"/>
      <w:ind w:firstLine="0" w:firstLineChars="0"/>
      <w:jc w:val="center"/>
    </w:pPr>
    <w:rPr>
      <w:kern w:val="0"/>
      <w:szCs w:val="20"/>
    </w:rPr>
  </w:style>
  <w:style w:type="paragraph" w:styleId="17">
    <w:name w:val="Body Text Indent"/>
    <w:basedOn w:val="1"/>
    <w:next w:val="18"/>
    <w:qFormat/>
    <w:uiPriority w:val="0"/>
    <w:pPr>
      <w:spacing w:after="120"/>
      <w:ind w:left="420" w:leftChars="200"/>
    </w:pPr>
    <w:rPr>
      <w:kern w:val="0"/>
      <w:sz w:val="24"/>
      <w:szCs w:val="20"/>
    </w:rPr>
  </w:style>
  <w:style w:type="paragraph" w:styleId="18">
    <w:name w:val="Body Text Indent 2"/>
    <w:basedOn w:val="1"/>
    <w:next w:val="19"/>
    <w:qFormat/>
    <w:uiPriority w:val="0"/>
    <w:pPr>
      <w:ind w:firstLine="573"/>
      <w:jc w:val="left"/>
    </w:pPr>
  </w:style>
  <w:style w:type="paragraph" w:styleId="19">
    <w:name w:val="Body Text First Indent 2"/>
    <w:basedOn w:val="17"/>
    <w:next w:val="1"/>
    <w:qFormat/>
    <w:uiPriority w:val="99"/>
    <w:pPr>
      <w:ind w:firstLine="420"/>
    </w:pPr>
  </w:style>
  <w:style w:type="paragraph" w:styleId="20">
    <w:name w:val="Block Text"/>
    <w:basedOn w:val="1"/>
    <w:next w:val="1"/>
    <w:unhideWhenUsed/>
    <w:qFormat/>
    <w:uiPriority w:val="0"/>
    <w:pPr>
      <w:adjustRightInd w:val="0"/>
      <w:snapToGrid w:val="0"/>
      <w:spacing w:line="500" w:lineRule="exact"/>
      <w:ind w:left="147" w:leftChars="70" w:right="160" w:rightChars="76" w:firstLine="480" w:firstLineChars="200"/>
    </w:pPr>
    <w:rPr>
      <w:rFonts w:ascii="宋体" w:hAnsi="宋体"/>
      <w:sz w:val="24"/>
    </w:rPr>
  </w:style>
  <w:style w:type="paragraph" w:styleId="21">
    <w:name w:val="Plain Text"/>
    <w:basedOn w:val="1"/>
    <w:next w:val="15"/>
    <w:qFormat/>
    <w:uiPriority w:val="99"/>
    <w:rPr>
      <w:rFonts w:ascii="宋体" w:hAnsi="Courier New"/>
      <w:sz w:val="21"/>
    </w:rPr>
  </w:style>
  <w:style w:type="paragraph" w:styleId="22">
    <w:name w:val="List Bullet 5"/>
    <w:basedOn w:val="1"/>
    <w:qFormat/>
    <w:uiPriority w:val="0"/>
    <w:pPr>
      <w:numPr>
        <w:ilvl w:val="0"/>
        <w:numId w:val="1"/>
      </w:numPr>
    </w:pPr>
  </w:style>
  <w:style w:type="paragraph" w:styleId="23">
    <w:name w:val="footer"/>
    <w:basedOn w:val="1"/>
    <w:qFormat/>
    <w:uiPriority w:val="99"/>
    <w:pPr>
      <w:tabs>
        <w:tab w:val="center" w:pos="4153"/>
        <w:tab w:val="right" w:pos="8306"/>
      </w:tabs>
      <w:snapToGrid w:val="0"/>
      <w:jc w:val="left"/>
    </w:pPr>
    <w:rPr>
      <w:kern w:val="0"/>
      <w:sz w:val="18"/>
      <w:szCs w:val="20"/>
    </w:rPr>
  </w:style>
  <w:style w:type="paragraph" w:styleId="24">
    <w:name w:val="envelope return"/>
    <w:basedOn w:val="1"/>
    <w:qFormat/>
    <w:uiPriority w:val="0"/>
    <w:pPr>
      <w:snapToGrid w:val="0"/>
    </w:pPr>
    <w:rPr>
      <w:rFonts w:ascii="Arial" w:hAnsi="Arial"/>
    </w:rPr>
  </w:style>
  <w:style w:type="paragraph" w:styleId="25">
    <w:name w:val="header"/>
    <w:basedOn w:val="1"/>
    <w:qFormat/>
    <w:uiPriority w:val="0"/>
    <w:pPr>
      <w:pBdr>
        <w:bottom w:val="single" w:color="auto" w:sz="6" w:space="1"/>
      </w:pBdr>
      <w:tabs>
        <w:tab w:val="center" w:pos="4153"/>
        <w:tab w:val="right" w:pos="8306"/>
      </w:tabs>
      <w:snapToGrid w:val="0"/>
      <w:jc w:val="center"/>
    </w:pPr>
    <w:rPr>
      <w:kern w:val="0"/>
      <w:sz w:val="18"/>
      <w:szCs w:val="20"/>
    </w:rPr>
  </w:style>
  <w:style w:type="paragraph" w:styleId="26">
    <w:name w:val="index heading"/>
    <w:basedOn w:val="1"/>
    <w:next w:val="27"/>
    <w:semiHidden/>
    <w:qFormat/>
    <w:uiPriority w:val="0"/>
    <w:rPr>
      <w:rFonts w:ascii="Arial" w:hAnsi="Arial" w:cs="Arial"/>
      <w:b/>
      <w:bCs/>
    </w:rPr>
  </w:style>
  <w:style w:type="paragraph" w:styleId="27">
    <w:name w:val="index 1"/>
    <w:basedOn w:val="1"/>
    <w:next w:val="1"/>
    <w:qFormat/>
    <w:uiPriority w:val="0"/>
    <w:pPr>
      <w:spacing w:line="500" w:lineRule="exact"/>
      <w:jc w:val="center"/>
    </w:pPr>
    <w:rPr>
      <w:rFonts w:eastAsia="仿宋_GB2312"/>
      <w:sz w:val="24"/>
      <w:szCs w:val="20"/>
    </w:rPr>
  </w:style>
  <w:style w:type="paragraph" w:styleId="28">
    <w:name w:val="List"/>
    <w:basedOn w:val="1"/>
    <w:qFormat/>
    <w:uiPriority w:val="99"/>
    <w:pPr>
      <w:spacing w:line="320" w:lineRule="exact"/>
      <w:ind w:firstLine="0" w:firstLineChars="0"/>
      <w:jc w:val="center"/>
    </w:pPr>
    <w:rPr>
      <w:sz w:val="22"/>
    </w:rPr>
  </w:style>
  <w:style w:type="paragraph" w:styleId="29">
    <w:name w:val="toc 9"/>
    <w:basedOn w:val="1"/>
    <w:next w:val="1"/>
    <w:unhideWhenUsed/>
    <w:qFormat/>
    <w:uiPriority w:val="39"/>
    <w:pPr>
      <w:ind w:left="3360" w:leftChars="1600"/>
    </w:pPr>
    <w:rPr>
      <w:rFonts w:ascii="Calibri" w:hAnsi="Calibri"/>
      <w:szCs w:val="22"/>
    </w:rPr>
  </w:style>
  <w:style w:type="paragraph" w:styleId="30">
    <w:name w:val="Body Text 2"/>
    <w:basedOn w:val="1"/>
    <w:next w:val="1"/>
    <w:qFormat/>
    <w:uiPriority w:val="0"/>
    <w:pPr>
      <w:spacing w:after="120" w:line="480" w:lineRule="auto"/>
    </w:pPr>
    <w:rPr>
      <w:kern w:val="0"/>
      <w:sz w:val="20"/>
    </w:rPr>
  </w:style>
  <w:style w:type="paragraph" w:styleId="3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2">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34">
    <w:name w:val="Table Grid"/>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0"/>
    <w:rPr>
      <w:b/>
    </w:rPr>
  </w:style>
  <w:style w:type="character" w:styleId="37">
    <w:name w:val="page number"/>
    <w:qFormat/>
    <w:uiPriority w:val="0"/>
    <w:rPr>
      <w:rFonts w:ascii="Times New Roman" w:hAnsi="Times New Roman" w:eastAsia="宋体" w:cs="Times New Roman"/>
    </w:rPr>
  </w:style>
  <w:style w:type="character" w:styleId="38">
    <w:name w:val="Hyperlink"/>
    <w:basedOn w:val="35"/>
    <w:qFormat/>
    <w:uiPriority w:val="0"/>
    <w:rPr>
      <w:color w:val="0000FF"/>
      <w:u w:val="single"/>
    </w:rPr>
  </w:style>
  <w:style w:type="character" w:styleId="39">
    <w:name w:val="annotation reference"/>
    <w:qFormat/>
    <w:uiPriority w:val="0"/>
    <w:rPr>
      <w:rFonts w:ascii="Times New Roman" w:hAnsi="Times New Roman" w:eastAsia="宋体" w:cs="Times New Roman"/>
      <w:sz w:val="21"/>
    </w:rPr>
  </w:style>
  <w:style w:type="paragraph" w:customStyle="1" w:styleId="40">
    <w:name w:val="表格"/>
    <w:basedOn w:val="11"/>
    <w:next w:val="1"/>
    <w:qFormat/>
    <w:uiPriority w:val="0"/>
    <w:pPr>
      <w:adjustRightInd w:val="0"/>
      <w:snapToGrid w:val="0"/>
      <w:spacing w:beforeLines="10" w:afterLines="10" w:line="259" w:lineRule="auto"/>
      <w:jc w:val="center"/>
    </w:pPr>
    <w:rPr>
      <w:rFonts w:ascii="宋体"/>
      <w:kern w:val="0"/>
      <w:szCs w:val="20"/>
    </w:rPr>
  </w:style>
  <w:style w:type="paragraph" w:customStyle="1" w:styleId="41">
    <w:name w:val="表头"/>
    <w:basedOn w:val="42"/>
    <w:next w:val="1"/>
    <w:qFormat/>
    <w:uiPriority w:val="0"/>
    <w:pPr>
      <w:adjustRightInd w:val="0"/>
      <w:snapToGrid w:val="0"/>
      <w:spacing w:line="240" w:lineRule="auto"/>
      <w:jc w:val="center"/>
    </w:pPr>
    <w:rPr>
      <w:rFonts w:eastAsia="黑体"/>
      <w:kern w:val="0"/>
      <w:sz w:val="21"/>
      <w:szCs w:val="20"/>
    </w:rPr>
  </w:style>
  <w:style w:type="paragraph" w:customStyle="1" w:styleId="42">
    <w:name w:val="11111111111"/>
    <w:basedOn w:val="1"/>
    <w:qFormat/>
    <w:uiPriority w:val="0"/>
    <w:pPr>
      <w:spacing w:line="480" w:lineRule="exact"/>
      <w:jc w:val="center"/>
    </w:pPr>
    <w:rPr>
      <w:b/>
    </w:rPr>
  </w:style>
  <w:style w:type="paragraph" w:customStyle="1" w:styleId="43">
    <w:name w:val="表格内容"/>
    <w:basedOn w:val="21"/>
    <w:next w:val="1"/>
    <w:qFormat/>
    <w:uiPriority w:val="0"/>
    <w:pPr>
      <w:spacing w:line="240" w:lineRule="atLeast"/>
      <w:jc w:val="center"/>
    </w:pPr>
    <w:rPr>
      <w:kern w:val="0"/>
      <w:szCs w:val="20"/>
    </w:rPr>
  </w:style>
  <w:style w:type="paragraph" w:customStyle="1" w:styleId="44">
    <w:name w:val="文本"/>
    <w:basedOn w:val="1"/>
    <w:next w:val="1"/>
    <w:qFormat/>
    <w:uiPriority w:val="0"/>
    <w:pPr>
      <w:autoSpaceDE w:val="0"/>
      <w:autoSpaceDN w:val="0"/>
      <w:ind w:firstLine="480"/>
    </w:pPr>
    <w:rPr>
      <w:szCs w:val="24"/>
      <w:lang w:val="zh-CN"/>
    </w:rPr>
  </w:style>
  <w:style w:type="paragraph" w:customStyle="1" w:styleId="45">
    <w:name w:val="水保一级标题"/>
    <w:basedOn w:val="4"/>
    <w:next w:val="4"/>
    <w:qFormat/>
    <w:uiPriority w:val="0"/>
    <w:pPr>
      <w:spacing w:line="480" w:lineRule="auto"/>
    </w:pPr>
    <w:rPr>
      <w:rFonts w:hint="eastAsia" w:ascii="Times New Roman" w:hAnsi="Times New Roman" w:cs="Times New Roman"/>
    </w:rPr>
  </w:style>
  <w:style w:type="paragraph" w:customStyle="1" w:styleId="46">
    <w:name w:val="图示"/>
    <w:basedOn w:val="47"/>
    <w:qFormat/>
    <w:uiPriority w:val="0"/>
    <w:pPr>
      <w:spacing w:before="62" w:beforeLines="20" w:after="62" w:afterLines="20"/>
    </w:pPr>
    <w:rPr>
      <w:rFonts w:eastAsia="黑体"/>
      <w:sz w:val="21"/>
    </w:rPr>
  </w:style>
  <w:style w:type="paragraph" w:customStyle="1" w:styleId="47">
    <w:name w:val="居中"/>
    <w:basedOn w:val="1"/>
    <w:qFormat/>
    <w:uiPriority w:val="0"/>
    <w:pPr>
      <w:spacing w:line="240" w:lineRule="auto"/>
      <w:ind w:firstLine="0" w:firstLineChars="0"/>
      <w:jc w:val="center"/>
    </w:pPr>
  </w:style>
  <w:style w:type="paragraph" w:customStyle="1" w:styleId="48">
    <w:name w:val="样式35"/>
    <w:basedOn w:val="1"/>
    <w:qFormat/>
    <w:uiPriority w:val="0"/>
    <w:pPr>
      <w:adjustRightInd w:val="0"/>
      <w:spacing w:line="312" w:lineRule="auto"/>
      <w:ind w:firstLine="567"/>
    </w:pPr>
    <w:rPr>
      <w:rFonts w:ascii="宋体"/>
      <w:kern w:val="0"/>
      <w:sz w:val="28"/>
    </w:rPr>
  </w:style>
  <w:style w:type="paragraph" w:customStyle="1" w:styleId="49">
    <w:name w:val="纯文本1"/>
    <w:basedOn w:val="1"/>
    <w:qFormat/>
    <w:uiPriority w:val="0"/>
    <w:pPr>
      <w:adjustRightInd w:val="0"/>
      <w:ind w:firstLine="0"/>
      <w:jc w:val="center"/>
      <w:textAlignment w:val="baseline"/>
    </w:pPr>
    <w:rPr>
      <w:rFonts w:ascii="宋体"/>
    </w:rPr>
  </w:style>
  <w:style w:type="paragraph" w:customStyle="1" w:styleId="50">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51">
    <w:name w:val="样式1"/>
    <w:basedOn w:val="26"/>
    <w:next w:val="20"/>
    <w:qFormat/>
    <w:uiPriority w:val="0"/>
    <w:pPr>
      <w:spacing w:line="360" w:lineRule="auto"/>
      <w:jc w:val="center"/>
    </w:pPr>
    <w:rPr>
      <w:rFonts w:ascii="宋体"/>
      <w:b w:val="0"/>
      <w:bCs w:val="0"/>
      <w:color w:val="000000"/>
      <w:szCs w:val="20"/>
    </w:rPr>
  </w:style>
  <w:style w:type="paragraph" w:customStyle="1" w:styleId="52">
    <w:name w:val="reader-word-layer reader-word-s46-2"/>
    <w:basedOn w:val="1"/>
    <w:next w:val="53"/>
    <w:qFormat/>
    <w:uiPriority w:val="0"/>
    <w:pPr>
      <w:widowControl/>
      <w:spacing w:before="280" w:after="280" w:line="240" w:lineRule="auto"/>
    </w:pPr>
    <w:rPr>
      <w:rFonts w:ascii="宋体"/>
      <w:sz w:val="24"/>
    </w:rPr>
  </w:style>
  <w:style w:type="paragraph" w:customStyle="1" w:styleId="53">
    <w:name w:val="xl35"/>
    <w:basedOn w:val="1"/>
    <w:next w:val="1"/>
    <w:qFormat/>
    <w:uiPriority w:val="0"/>
    <w:pPr>
      <w:widowControl/>
      <w:shd w:val="clear" w:color="FFFFFF" w:fill="FFFFFF"/>
      <w:spacing w:before="280" w:after="280" w:line="240" w:lineRule="auto"/>
    </w:pPr>
    <w:rPr>
      <w:rFonts w:ascii="Arial Unicode MS" w:eastAsia="Arial Unicode MS"/>
      <w:sz w:val="24"/>
    </w:rPr>
  </w:style>
  <w:style w:type="paragraph" w:customStyle="1" w:styleId="54">
    <w:name w:val="xl27"/>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等线 Light" w:eastAsia="等线 Light"/>
      <w:kern w:val="0"/>
      <w:sz w:val="16"/>
      <w:szCs w:val="16"/>
      <w:lang w:eastAsia="zh-TW"/>
    </w:rPr>
  </w:style>
  <w:style w:type="paragraph" w:customStyle="1" w:styleId="55">
    <w:name w:val="正文文本首行缩进 21"/>
    <w:basedOn w:val="17"/>
    <w:next w:val="1"/>
    <w:qFormat/>
    <w:uiPriority w:val="0"/>
    <w:pPr>
      <w:ind w:firstLine="420"/>
    </w:pPr>
  </w:style>
  <w:style w:type="paragraph" w:customStyle="1" w:styleId="56">
    <w:name w:val="Table Text"/>
    <w:basedOn w:val="1"/>
    <w:semiHidden/>
    <w:qFormat/>
    <w:uiPriority w:val="0"/>
    <w:rPr>
      <w:rFonts w:ascii="宋体" w:hAnsi="宋体" w:eastAsia="宋体" w:cs="宋体"/>
      <w:sz w:val="20"/>
      <w:szCs w:val="20"/>
      <w:lang w:val="en-US" w:eastAsia="en-US" w:bidi="ar-SA"/>
    </w:r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报告表正文"/>
    <w:basedOn w:val="1"/>
    <w:qFormat/>
    <w:uiPriority w:val="99"/>
    <w:pPr>
      <w:spacing w:line="360" w:lineRule="auto"/>
      <w:ind w:firstLine="200"/>
    </w:pPr>
    <w:rPr>
      <w:rFonts w:ascii="Calibri" w:hAnsi="Calibri"/>
      <w:kern w:val="0"/>
      <w:sz w:val="20"/>
      <w:szCs w:val="20"/>
      <w:lang w:val="zh-CN"/>
    </w:rPr>
  </w:style>
  <w:style w:type="paragraph" w:customStyle="1" w:styleId="59">
    <w:name w:val="Table Paragraph"/>
    <w:basedOn w:val="1"/>
    <w:qFormat/>
    <w:uiPriority w:val="1"/>
    <w:pPr>
      <w:jc w:val="center"/>
    </w:pPr>
    <w:rPr>
      <w:rFonts w:ascii="宋体" w:hAnsi="宋体" w:eastAsia="宋体" w:cs="宋体"/>
    </w:rPr>
  </w:style>
  <w:style w:type="paragraph" w:customStyle="1" w:styleId="60">
    <w:name w:val="样式 样式 Arial 四号1 + 首行缩进:  2 字符"/>
    <w:qFormat/>
    <w:uiPriority w:val="99"/>
    <w:pPr>
      <w:ind w:firstLine="566" w:firstLineChars="236"/>
    </w:pPr>
    <w:rPr>
      <w:rFonts w:ascii="宋体" w:hAnsi="宋体" w:eastAsia="宋体" w:cs="Times New Roman"/>
      <w:lang w:val="en-US" w:eastAsia="zh-CN" w:bidi="ar-SA"/>
    </w:rPr>
  </w:style>
  <w:style w:type="paragraph" w:customStyle="1" w:styleId="61">
    <w:name w:val="正文 + 仿宋_GB2312"/>
    <w:basedOn w:val="1"/>
    <w:qFormat/>
    <w:uiPriority w:val="0"/>
    <w:pPr>
      <w:ind w:firstLine="480" w:firstLineChars="200"/>
    </w:pPr>
    <w:rPr>
      <w:rFonts w:ascii="仿宋_GB2312" w:eastAsia="仿宋_GB2312"/>
      <w:sz w:val="24"/>
    </w:rPr>
  </w:style>
  <w:style w:type="paragraph" w:customStyle="1" w:styleId="62">
    <w:name w:val="11正文"/>
    <w:qFormat/>
    <w:uiPriority w:val="0"/>
    <w:pPr>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63">
    <w:name w:val="表格标题"/>
    <w:basedOn w:val="1"/>
    <w:next w:val="1"/>
    <w:qFormat/>
    <w:uiPriority w:val="0"/>
    <w:pPr>
      <w:jc w:val="center"/>
    </w:pPr>
    <w:rPr>
      <w:b/>
      <w:kern w:val="0"/>
    </w:rPr>
  </w:style>
  <w:style w:type="paragraph" w:customStyle="1" w:styleId="64">
    <w:name w:val="报告表-表格内文字"/>
    <w:basedOn w:val="1"/>
    <w:qFormat/>
    <w:uiPriority w:val="0"/>
    <w:pPr>
      <w:keepNext w:val="0"/>
      <w:keepLines w:val="0"/>
      <w:widowControl w:val="0"/>
      <w:suppressLineNumbers w:val="0"/>
      <w:spacing w:before="0" w:beforeAutospacing="0" w:after="0" w:afterAutospacing="0"/>
      <w:ind w:left="0" w:right="0"/>
      <w:jc w:val="center"/>
    </w:pPr>
    <w:rPr>
      <w:rFonts w:hint="default" w:ascii="Times New Roman" w:hAnsi="Times New Roman" w:eastAsia="宋体" w:cs="Times New Roman"/>
      <w:kern w:val="2"/>
      <w:sz w:val="18"/>
      <w:szCs w:val="18"/>
      <w:lang w:val="en-US" w:eastAsia="zh-CN" w:bidi="ar"/>
    </w:rPr>
  </w:style>
  <w:style w:type="paragraph" w:customStyle="1" w:styleId="65">
    <w:name w:val="Default1"/>
    <w:basedOn w:val="66"/>
    <w:next w:val="1"/>
    <w:qFormat/>
    <w:uiPriority w:val="0"/>
    <w:pPr>
      <w:widowControl w:val="0"/>
      <w:autoSpaceDE w:val="0"/>
      <w:autoSpaceDN w:val="0"/>
      <w:adjustRightInd w:val="0"/>
      <w:spacing w:line="360" w:lineRule="auto"/>
      <w:ind w:firstLine="720" w:firstLineChars="200"/>
      <w:jc w:val="left"/>
    </w:pPr>
    <w:rPr>
      <w:rFonts w:ascii="Times New Roman" w:hAnsi="Times New Roman" w:eastAsia="宋体" w:cs="宋体"/>
      <w:bCs/>
      <w:color w:val="000000"/>
      <w:sz w:val="24"/>
      <w:szCs w:val="21"/>
      <w:lang w:val="en-US" w:eastAsia="zh-CN" w:bidi="ar-SA"/>
    </w:rPr>
  </w:style>
  <w:style w:type="paragraph" w:customStyle="1" w:styleId="66">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67">
    <w:name w:val="表格正文"/>
    <w:basedOn w:val="1"/>
    <w:next w:val="1"/>
    <w:qFormat/>
    <w:uiPriority w:val="0"/>
    <w:pPr>
      <w:spacing w:line="360" w:lineRule="exact"/>
      <w:jc w:val="center"/>
    </w:pPr>
  </w:style>
  <w:style w:type="character" w:customStyle="1" w:styleId="68">
    <w:name w:val="font81"/>
    <w:basedOn w:val="35"/>
    <w:qFormat/>
    <w:uiPriority w:val="0"/>
    <w:rPr>
      <w:rFonts w:ascii="黑体" w:hAnsi="宋体" w:eastAsia="黑体" w:cs="黑体"/>
      <w:color w:val="000000"/>
      <w:sz w:val="18"/>
      <w:szCs w:val="18"/>
      <w:u w:val="none"/>
    </w:rPr>
  </w:style>
  <w:style w:type="character" w:customStyle="1" w:styleId="69">
    <w:name w:val="font91"/>
    <w:basedOn w:val="35"/>
    <w:qFormat/>
    <w:uiPriority w:val="0"/>
    <w:rPr>
      <w:rFonts w:ascii="宋体" w:hAnsi="宋体" w:eastAsia="宋体" w:cs="宋体"/>
      <w:color w:val="000000"/>
      <w:sz w:val="16"/>
      <w:szCs w:val="16"/>
      <w:u w:val="none"/>
    </w:rPr>
  </w:style>
  <w:style w:type="character" w:customStyle="1" w:styleId="70">
    <w:name w:val="font101"/>
    <w:basedOn w:val="35"/>
    <w:qFormat/>
    <w:uiPriority w:val="0"/>
    <w:rPr>
      <w:rFonts w:ascii="黑体" w:hAnsi="宋体" w:eastAsia="黑体" w:cs="黑体"/>
      <w:b/>
      <w:bCs/>
      <w:color w:val="000000"/>
      <w:sz w:val="18"/>
      <w:szCs w:val="18"/>
      <w:u w:val="none"/>
    </w:rPr>
  </w:style>
  <w:style w:type="character" w:customStyle="1" w:styleId="71">
    <w:name w:val="font112"/>
    <w:basedOn w:val="35"/>
    <w:qFormat/>
    <w:uiPriority w:val="0"/>
    <w:rPr>
      <w:rFonts w:ascii="宋体" w:hAnsi="宋体" w:eastAsia="宋体" w:cs="宋体"/>
      <w:color w:val="000000"/>
      <w:sz w:val="14"/>
      <w:szCs w:val="14"/>
      <w:u w:val="none"/>
    </w:rPr>
  </w:style>
  <w:style w:type="character" w:customStyle="1" w:styleId="72">
    <w:name w:val="font121"/>
    <w:basedOn w:val="35"/>
    <w:qFormat/>
    <w:uiPriority w:val="0"/>
    <w:rPr>
      <w:rFonts w:ascii="宋体" w:hAnsi="宋体" w:eastAsia="宋体" w:cs="宋体"/>
      <w:b/>
      <w:bCs/>
      <w:color w:val="000000"/>
      <w:sz w:val="14"/>
      <w:szCs w:val="14"/>
      <w:u w:val="none"/>
    </w:rPr>
  </w:style>
  <w:style w:type="character" w:customStyle="1" w:styleId="73">
    <w:name w:val="font131"/>
    <w:basedOn w:val="35"/>
    <w:qFormat/>
    <w:uiPriority w:val="0"/>
    <w:rPr>
      <w:rFonts w:ascii="宋体" w:hAnsi="宋体" w:eastAsia="宋体" w:cs="宋体"/>
      <w:b/>
      <w:bCs/>
      <w:color w:val="000000"/>
      <w:sz w:val="16"/>
      <w:szCs w:val="16"/>
      <w:u w:val="none"/>
    </w:rPr>
  </w:style>
  <w:style w:type="character" w:customStyle="1" w:styleId="74">
    <w:name w:val="font141"/>
    <w:basedOn w:val="35"/>
    <w:qFormat/>
    <w:uiPriority w:val="0"/>
    <w:rPr>
      <w:rFonts w:ascii="宋体" w:hAnsi="宋体" w:eastAsia="宋体" w:cs="宋体"/>
      <w:color w:val="000000"/>
      <w:sz w:val="10"/>
      <w:szCs w:val="10"/>
      <w:u w:val="none"/>
    </w:rPr>
  </w:style>
  <w:style w:type="character" w:customStyle="1" w:styleId="75">
    <w:name w:val="font31"/>
    <w:basedOn w:val="35"/>
    <w:qFormat/>
    <w:uiPriority w:val="0"/>
    <w:rPr>
      <w:rFonts w:ascii="宋体" w:hAnsi="宋体" w:eastAsia="宋体" w:cs="宋体"/>
      <w:color w:val="000000"/>
      <w:sz w:val="14"/>
      <w:szCs w:val="14"/>
      <w:u w:val="none"/>
    </w:rPr>
  </w:style>
  <w:style w:type="character" w:customStyle="1" w:styleId="76">
    <w:name w:val="font41"/>
    <w:basedOn w:val="35"/>
    <w:qFormat/>
    <w:uiPriority w:val="0"/>
    <w:rPr>
      <w:rFonts w:ascii="宋体" w:hAnsi="宋体" w:eastAsia="宋体" w:cs="宋体"/>
      <w:b/>
      <w:bCs/>
      <w:color w:val="000000"/>
      <w:sz w:val="14"/>
      <w:szCs w:val="14"/>
      <w:u w:val="none"/>
    </w:rPr>
  </w:style>
  <w:style w:type="character" w:customStyle="1" w:styleId="77">
    <w:name w:val="font51"/>
    <w:basedOn w:val="35"/>
    <w:qFormat/>
    <w:uiPriority w:val="0"/>
    <w:rPr>
      <w:rFonts w:ascii="宋体" w:hAnsi="宋体" w:eastAsia="宋体" w:cs="宋体"/>
      <w:b/>
      <w:bCs/>
      <w:color w:val="000000"/>
      <w:sz w:val="16"/>
      <w:szCs w:val="16"/>
      <w:u w:val="none"/>
    </w:rPr>
  </w:style>
  <w:style w:type="character" w:customStyle="1" w:styleId="78">
    <w:name w:val="font61"/>
    <w:basedOn w:val="35"/>
    <w:qFormat/>
    <w:uiPriority w:val="0"/>
    <w:rPr>
      <w:rFonts w:ascii="宋体" w:hAnsi="宋体" w:eastAsia="宋体" w:cs="宋体"/>
      <w:color w:val="000000"/>
      <w:sz w:val="10"/>
      <w:szCs w:val="10"/>
      <w:u w:val="none"/>
    </w:rPr>
  </w:style>
  <w:style w:type="paragraph" w:customStyle="1" w:styleId="79">
    <w:name w:val="表格文字"/>
    <w:basedOn w:val="16"/>
    <w:qFormat/>
    <w:uiPriority w:val="0"/>
    <w:pPr>
      <w:adjustRightInd w:val="0"/>
      <w:snapToGrid w:val="0"/>
      <w:spacing w:line="240" w:lineRule="auto"/>
      <w:jc w:val="center"/>
    </w:pPr>
    <w:rPr>
      <w:spacing w:val="0"/>
      <w:sz w:val="21"/>
    </w:rPr>
  </w:style>
  <w:style w:type="paragraph" w:customStyle="1" w:styleId="80">
    <w:name w:val="24磅正文"/>
    <w:basedOn w:val="1"/>
    <w:qFormat/>
    <w:uiPriority w:val="0"/>
    <w:pPr>
      <w:spacing w:line="480" w:lineRule="exact"/>
      <w:ind w:firstLine="480" w:firstLineChars="200"/>
    </w:pPr>
    <w:rPr>
      <w:szCs w:val="21"/>
    </w:rPr>
  </w:style>
  <w:style w:type="character" w:customStyle="1" w:styleId="81">
    <w:name w:val="font11"/>
    <w:basedOn w:val="35"/>
    <w:qFormat/>
    <w:uiPriority w:val="0"/>
    <w:rPr>
      <w:rFonts w:hint="eastAsia" w:ascii="宋体" w:hAnsi="宋体" w:eastAsia="宋体" w:cs="宋体"/>
      <w:b/>
      <w:bCs/>
      <w:color w:val="000000"/>
      <w:sz w:val="24"/>
      <w:szCs w:val="24"/>
      <w:u w:val="none"/>
    </w:rPr>
  </w:style>
  <w:style w:type="character" w:customStyle="1" w:styleId="82">
    <w:name w:val="font21"/>
    <w:basedOn w:val="35"/>
    <w:qFormat/>
    <w:uiPriority w:val="0"/>
    <w:rPr>
      <w:rFonts w:hint="default" w:ascii="Times New Roman" w:hAnsi="Times New Roman" w:cs="Times New Roman"/>
      <w:b/>
      <w:bCs/>
      <w:color w:val="000000"/>
      <w:sz w:val="24"/>
      <w:szCs w:val="24"/>
      <w:u w:val="none"/>
    </w:rPr>
  </w:style>
  <w:style w:type="character" w:customStyle="1" w:styleId="83">
    <w:name w:val="font71"/>
    <w:basedOn w:val="35"/>
    <w:qFormat/>
    <w:uiPriority w:val="0"/>
    <w:rPr>
      <w:rFonts w:hint="default" w:ascii="Times New Roman" w:hAnsi="Times New Roman" w:cs="Times New Roman"/>
      <w:b/>
      <w:bCs/>
      <w:color w:val="000000"/>
      <w:sz w:val="21"/>
      <w:szCs w:val="21"/>
      <w:u w:val="none"/>
      <w:vertAlign w:val="superscript"/>
    </w:rPr>
  </w:style>
  <w:style w:type="character" w:customStyle="1" w:styleId="84">
    <w:name w:val="font221"/>
    <w:basedOn w:val="35"/>
    <w:qFormat/>
    <w:uiPriority w:val="0"/>
    <w:rPr>
      <w:rFonts w:ascii="宋体" w:hAnsi="宋体" w:eastAsia="宋体" w:cs="宋体"/>
      <w:color w:val="000000"/>
      <w:sz w:val="14"/>
      <w:szCs w:val="14"/>
      <w:u w:val="none"/>
    </w:rPr>
  </w:style>
  <w:style w:type="character" w:customStyle="1" w:styleId="85">
    <w:name w:val="font151"/>
    <w:basedOn w:val="35"/>
    <w:qFormat/>
    <w:uiPriority w:val="0"/>
    <w:rPr>
      <w:rFonts w:ascii="宋体" w:hAnsi="宋体" w:eastAsia="宋体" w:cs="宋体"/>
      <w:color w:val="607070"/>
      <w:sz w:val="14"/>
      <w:szCs w:val="14"/>
      <w:u w:val="none"/>
    </w:rPr>
  </w:style>
  <w:style w:type="character" w:customStyle="1" w:styleId="86">
    <w:name w:val="font161"/>
    <w:basedOn w:val="35"/>
    <w:qFormat/>
    <w:uiPriority w:val="0"/>
    <w:rPr>
      <w:rFonts w:ascii="宋体" w:hAnsi="宋体" w:eastAsia="宋体" w:cs="宋体"/>
      <w:color w:val="404040"/>
      <w:sz w:val="14"/>
      <w:szCs w:val="14"/>
      <w:u w:val="none"/>
    </w:rPr>
  </w:style>
  <w:style w:type="character" w:customStyle="1" w:styleId="87">
    <w:name w:val="font171"/>
    <w:basedOn w:val="35"/>
    <w:qFormat/>
    <w:uiPriority w:val="0"/>
    <w:rPr>
      <w:rFonts w:ascii="宋体" w:hAnsi="宋体" w:eastAsia="宋体" w:cs="宋体"/>
      <w:color w:val="606080"/>
      <w:sz w:val="14"/>
      <w:szCs w:val="14"/>
      <w:u w:val="none"/>
    </w:rPr>
  </w:style>
  <w:style w:type="character" w:customStyle="1" w:styleId="88">
    <w:name w:val="font181"/>
    <w:basedOn w:val="35"/>
    <w:qFormat/>
    <w:uiPriority w:val="0"/>
    <w:rPr>
      <w:rFonts w:ascii="宋体" w:hAnsi="宋体" w:eastAsia="宋体" w:cs="宋体"/>
      <w:color w:val="304040"/>
      <w:sz w:val="14"/>
      <w:szCs w:val="14"/>
      <w:u w:val="none"/>
    </w:rPr>
  </w:style>
  <w:style w:type="character" w:customStyle="1" w:styleId="89">
    <w:name w:val="font191"/>
    <w:basedOn w:val="35"/>
    <w:qFormat/>
    <w:uiPriority w:val="0"/>
    <w:rPr>
      <w:rFonts w:ascii="宋体" w:hAnsi="宋体" w:eastAsia="宋体" w:cs="宋体"/>
      <w:color w:val="808080"/>
      <w:sz w:val="14"/>
      <w:szCs w:val="14"/>
      <w:u w:val="none"/>
    </w:rPr>
  </w:style>
  <w:style w:type="character" w:customStyle="1" w:styleId="90">
    <w:name w:val="font201"/>
    <w:basedOn w:val="35"/>
    <w:qFormat/>
    <w:uiPriority w:val="0"/>
    <w:rPr>
      <w:rFonts w:ascii="宋体" w:hAnsi="宋体" w:eastAsia="宋体" w:cs="宋体"/>
      <w:color w:val="909080"/>
      <w:sz w:val="14"/>
      <w:szCs w:val="14"/>
      <w:u w:val="none"/>
    </w:rPr>
  </w:style>
  <w:style w:type="character" w:customStyle="1" w:styleId="91">
    <w:name w:val="font212"/>
    <w:basedOn w:val="35"/>
    <w:qFormat/>
    <w:uiPriority w:val="0"/>
    <w:rPr>
      <w:rFonts w:ascii="宋体" w:hAnsi="宋体" w:eastAsia="宋体" w:cs="宋体"/>
      <w:color w:val="808070"/>
      <w:sz w:val="14"/>
      <w:szCs w:val="14"/>
      <w:u w:val="none"/>
    </w:rPr>
  </w:style>
  <w:style w:type="paragraph" w:customStyle="1" w:styleId="92">
    <w:name w:val="1正文段落"/>
    <w:basedOn w:val="1"/>
    <w:qFormat/>
    <w:uiPriority w:val="0"/>
    <w:pPr>
      <w:spacing w:line="360" w:lineRule="auto"/>
      <w:ind w:firstLine="200" w:firstLineChars="200"/>
    </w:pPr>
    <w:rPr>
      <w:rFonts w:ascii="Times New Roman" w:hAnsi="Times New Roman" w:eastAsia="宋体" w:cs="Times New Roman"/>
      <w:snapToGrid w:val="0"/>
      <w:kern w:val="0"/>
      <w:sz w:val="24"/>
      <w:szCs w:val="21"/>
    </w:rPr>
  </w:style>
  <w:style w:type="paragraph" w:customStyle="1" w:styleId="93">
    <w:name w:val="表格5号"/>
    <w:basedOn w:val="1"/>
    <w:qFormat/>
    <w:uiPriority w:val="0"/>
    <w:pPr>
      <w:spacing w:line="240" w:lineRule="auto"/>
      <w:ind w:firstLine="0" w:firstLineChars="0"/>
      <w:jc w:val="center"/>
    </w:pPr>
    <w:rPr>
      <w:rFonts w:ascii="Times New Roman" w:hAnsi="Times New Roman" w:eastAsia="宋体"/>
      <w:sz w:val="21"/>
    </w:rPr>
  </w:style>
  <w:style w:type="paragraph" w:customStyle="1" w:styleId="94">
    <w:name w:val="4级标题-书"/>
    <w:next w:val="95"/>
    <w:qFormat/>
    <w:uiPriority w:val="0"/>
    <w:pPr>
      <w:spacing w:line="360" w:lineRule="auto"/>
      <w:ind w:firstLine="200" w:firstLineChars="200"/>
      <w:outlineLvl w:val="3"/>
    </w:pPr>
    <w:rPr>
      <w:rFonts w:ascii="Times New Roman" w:hAnsi="Times New Roman" w:eastAsia="宋体" w:cs="Times New Roman"/>
      <w:b/>
      <w:sz w:val="24"/>
      <w:szCs w:val="22"/>
      <w:lang w:val="en-US" w:eastAsia="zh-CN" w:bidi="ar-SA"/>
    </w:rPr>
  </w:style>
  <w:style w:type="paragraph" w:customStyle="1" w:styleId="95">
    <w:name w:val="11正文-书"/>
    <w:qFormat/>
    <w:uiPriority w:val="0"/>
    <w:pPr>
      <w:spacing w:line="360" w:lineRule="auto"/>
      <w:ind w:firstLine="200" w:firstLineChars="200"/>
      <w:jc w:val="both"/>
    </w:pPr>
    <w:rPr>
      <w:rFonts w:ascii="Times New Roman" w:hAnsi="Times New Roman" w:eastAsia="宋体" w:cs="Times New Roman"/>
      <w:sz w:val="24"/>
      <w:szCs w:val="24"/>
      <w:lang w:val="en-US" w:eastAsia="zh-CN" w:bidi="ar-SA"/>
    </w:rPr>
  </w:style>
  <w:style w:type="paragraph" w:customStyle="1" w:styleId="96">
    <w:name w:val="表格标题（新）"/>
    <w:basedOn w:val="1"/>
    <w:qFormat/>
    <w:uiPriority w:val="0"/>
    <w:pPr>
      <w:widowControl/>
      <w:spacing w:line="360" w:lineRule="auto"/>
      <w:jc w:val="center"/>
    </w:pPr>
    <w:rPr>
      <w:b/>
      <w:bCs/>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ECB019B1-382A-4266-B25C-5B523AA43C14-1">
      <extobjdata type="ECB019B1-382A-4266-B25C-5B523AA43C14" data="ewoJIkZpbGVJZCIgOiAiNDE4MDUzNDQzMTgyIiwKCSJHcm91cElkIiA6ICIxMTMzNjczMDcxIiwKCSJJbWFnZSIgOiAiaVZCT1J3MEtHZ29BQUFBTlNVaEVVZ0FBQWlNQUFBTXdDQVlBQUFEeUgyQXdBQUFBQVhOU1IwSUFyczRjNlFBQUlBQkpSRUZVZUp6czNYbDhYRlg1UC9EUGMrNWtKMTFDS1Z1QklOR1VsRTd1dllOQThhZklqZ2dJQWw4MkVZUit4Y3FPZ2lDeUtJb2dtNnhDcFZTV2Zzc3Fzb3NJQ2xpZ3dNeWRUTnEweFVDRGhFSVhRcHMwelRaem45OGZtWW1UeWFSTlNwSko0UE4rdlhpOU11ZWVlKzl6VXpMenpEM25QQmN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13339</Words>
  <Characters>14320</Characters>
  <Lines>0</Lines>
  <Paragraphs>0</Paragraphs>
  <TotalTime>3</TotalTime>
  <ScaleCrop>false</ScaleCrop>
  <LinksUpToDate>false</LinksUpToDate>
  <CharactersWithSpaces>14387</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2024-05-13T08:49:00Z</dcterms:created>
  <dc:creator>愿诚董心</dc:creator>
  <cp:lastModifiedBy>ze123456</cp:lastModifiedBy>
  <dcterms:modified xsi:type="dcterms:W3CDTF">2026-02-03T17:22:58Z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6E04E06CC05446FFB5FEE3619734962B_13</vt:lpwstr>
  </property>
  <property fmtid="{D5CDD505-2E9C-101B-9397-08002B2CF9AE}" pid="4" name="KSOTemplateDocerSaveRecord">
    <vt:lpwstr>eyJoZGlkIjoiODlhZmY0MDU3YmNhYjcwYTRhNjYyYjQyNmNiOWI0NjUiLCJ1c2VySWQiOiI4Njg3MzU3MzIifQ==</vt:lpwstr>
  </property>
</Properties>
</file>