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969311">
      <w:pPr>
        <w:rPr>
          <w:rFonts w:eastAsia="仿宋_GB2312"/>
          <w:color w:val="auto"/>
          <w:sz w:val="36"/>
          <w:szCs w:val="36"/>
        </w:rPr>
      </w:pPr>
    </w:p>
    <w:p w14:paraId="32A88B6E">
      <w:pPr>
        <w:rPr>
          <w:rFonts w:eastAsia="仿宋_GB2312"/>
          <w:color w:val="auto"/>
          <w:sz w:val="36"/>
          <w:szCs w:val="36"/>
        </w:rPr>
      </w:pPr>
    </w:p>
    <w:p w14:paraId="3C2CCC9A">
      <w:pPr>
        <w:rPr>
          <w:rFonts w:eastAsia="仿宋_GB2312"/>
          <w:color w:val="auto"/>
          <w:sz w:val="36"/>
          <w:szCs w:val="36"/>
        </w:rPr>
      </w:pPr>
    </w:p>
    <w:p w14:paraId="415ECE75">
      <w:pPr>
        <w:rPr>
          <w:rFonts w:eastAsia="仿宋_GB2312"/>
          <w:color w:val="auto"/>
          <w:sz w:val="36"/>
          <w:szCs w:val="36"/>
        </w:rPr>
      </w:pPr>
    </w:p>
    <w:p w14:paraId="4D584BDF">
      <w:pPr>
        <w:rPr>
          <w:rFonts w:eastAsia="仿宋_GB2312"/>
          <w:color w:val="auto"/>
          <w:sz w:val="36"/>
          <w:szCs w:val="36"/>
        </w:rPr>
      </w:pPr>
    </w:p>
    <w:p w14:paraId="418C894D">
      <w:pPr>
        <w:adjustRightInd w:val="0"/>
        <w:snapToGrid w:val="0"/>
        <w:jc w:val="center"/>
        <w:outlineLvl w:val="0"/>
        <w:rPr>
          <w:rFonts w:hint="eastAsia" w:ascii="黑体" w:hAnsi="黑体" w:eastAsia="黑体" w:cs="黑体"/>
          <w:b/>
          <w:bCs w:val="0"/>
          <w:color w:val="auto"/>
          <w:sz w:val="72"/>
          <w:szCs w:val="72"/>
        </w:rPr>
      </w:pPr>
      <w:r>
        <w:rPr>
          <w:rFonts w:hint="eastAsia" w:ascii="黑体" w:hAnsi="黑体" w:eastAsia="黑体" w:cs="黑体"/>
          <w:b/>
          <w:bCs w:val="0"/>
          <w:color w:val="auto"/>
          <w:sz w:val="72"/>
          <w:szCs w:val="72"/>
        </w:rPr>
        <w:t>建设项目环境影响报告表</w:t>
      </w:r>
    </w:p>
    <w:p w14:paraId="7A7C691A">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6F9C932B">
      <w:pPr>
        <w:adjustRightInd w:val="0"/>
        <w:snapToGrid w:val="0"/>
        <w:spacing w:line="288" w:lineRule="auto"/>
        <w:jc w:val="center"/>
        <w:outlineLvl w:val="0"/>
        <w:rPr>
          <w:rFonts w:eastAsia="华文仿宋"/>
          <w:color w:val="auto"/>
          <w:kern w:val="44"/>
          <w:sz w:val="44"/>
          <w:szCs w:val="44"/>
        </w:rPr>
      </w:pPr>
    </w:p>
    <w:p w14:paraId="0BB5F36C">
      <w:pPr>
        <w:jc w:val="center"/>
        <w:rPr>
          <w:rFonts w:eastAsia="仿宋"/>
          <w:color w:val="auto"/>
          <w:sz w:val="52"/>
          <w:szCs w:val="52"/>
        </w:rPr>
      </w:pPr>
    </w:p>
    <w:p w14:paraId="25E77E1C">
      <w:pPr>
        <w:ind w:firstLine="1040"/>
        <w:rPr>
          <w:rFonts w:eastAsia="仿宋"/>
          <w:color w:val="auto"/>
          <w:sz w:val="44"/>
          <w:szCs w:val="44"/>
        </w:rPr>
      </w:pPr>
    </w:p>
    <w:p w14:paraId="64FC4F45">
      <w:pPr>
        <w:ind w:firstLine="1040"/>
        <w:rPr>
          <w:rFonts w:eastAsia="仿宋"/>
          <w:color w:val="auto"/>
          <w:sz w:val="44"/>
          <w:szCs w:val="44"/>
        </w:rPr>
      </w:pPr>
    </w:p>
    <w:p w14:paraId="0EB5B674">
      <w:pPr>
        <w:ind w:firstLine="1040"/>
        <w:rPr>
          <w:rFonts w:eastAsia="仿宋"/>
          <w:color w:val="auto"/>
          <w:sz w:val="44"/>
          <w:szCs w:val="44"/>
        </w:rPr>
      </w:pPr>
    </w:p>
    <w:p w14:paraId="58659CC5">
      <w:pPr>
        <w:ind w:firstLine="1040"/>
        <w:rPr>
          <w:rFonts w:eastAsia="仿宋"/>
          <w:color w:val="auto"/>
          <w:sz w:val="44"/>
          <w:szCs w:val="44"/>
        </w:rPr>
      </w:pPr>
    </w:p>
    <w:p w14:paraId="7EA0F49F">
      <w:pPr>
        <w:adjustRightInd w:val="0"/>
        <w:snapToGrid w:val="0"/>
        <w:spacing w:line="288" w:lineRule="auto"/>
        <w:ind w:firstLine="1040"/>
        <w:jc w:val="left"/>
        <w:rPr>
          <w:rFonts w:eastAsia="仿宋_GB2312"/>
          <w:color w:val="auto"/>
          <w:sz w:val="32"/>
          <w:szCs w:val="32"/>
          <w:u w:val="single"/>
        </w:rPr>
      </w:pPr>
      <w:r>
        <w:rPr>
          <w:rFonts w:eastAsia="仿宋_GB2312"/>
          <w:color w:val="auto"/>
          <w:sz w:val="32"/>
          <w:szCs w:val="32"/>
        </w:rPr>
        <w:t>项目名称：</w:t>
      </w:r>
      <w:r>
        <w:rPr>
          <w:rFonts w:hint="eastAsia" w:eastAsia="仿宋_GB2312"/>
          <w:color w:val="auto"/>
          <w:sz w:val="32"/>
          <w:szCs w:val="32"/>
          <w:u w:val="single"/>
          <w:lang w:eastAsia="zh-CN"/>
        </w:rPr>
        <w:t>年加工2万吨毛竹高效资源利用项目</w:t>
      </w:r>
      <w:r>
        <w:rPr>
          <w:rFonts w:hint="eastAsia" w:eastAsia="仿宋_GB2312"/>
          <w:color w:val="auto"/>
          <w:sz w:val="32"/>
          <w:szCs w:val="32"/>
          <w:u w:val="single"/>
          <w:lang w:val="en-US" w:eastAsia="zh-CN"/>
        </w:rPr>
        <w:t xml:space="preserve">   </w:t>
      </w:r>
      <w:r>
        <w:rPr>
          <w:rFonts w:hint="eastAsia" w:eastAsia="仿宋_GB2312"/>
          <w:color w:val="auto"/>
          <w:sz w:val="32"/>
          <w:szCs w:val="32"/>
          <w:u w:val="single"/>
        </w:rPr>
        <w:t xml:space="preserve"> </w:t>
      </w:r>
    </w:p>
    <w:p w14:paraId="29949920">
      <w:pPr>
        <w:adjustRightInd w:val="0"/>
        <w:snapToGrid w:val="0"/>
        <w:spacing w:line="288" w:lineRule="auto"/>
        <w:ind w:firstLine="1040"/>
        <w:rPr>
          <w:rFonts w:eastAsia="仿宋_GB2312"/>
          <w:color w:val="auto"/>
          <w:sz w:val="32"/>
          <w:szCs w:val="32"/>
          <w:u w:val="single"/>
        </w:rPr>
      </w:pPr>
      <w:r>
        <w:rPr>
          <w:rFonts w:eastAsia="仿宋_GB2312"/>
          <w:color w:val="auto"/>
          <w:sz w:val="32"/>
          <w:szCs w:val="32"/>
        </w:rPr>
        <w:t>建设单位（盖章）</w:t>
      </w:r>
      <w:r>
        <w:rPr>
          <w:rFonts w:hint="eastAsia" w:eastAsia="仿宋_GB2312"/>
          <w:color w:val="auto"/>
          <w:sz w:val="32"/>
          <w:szCs w:val="32"/>
          <w:lang w:eastAsia="zh-CN"/>
        </w:rPr>
        <w:t>：</w:t>
      </w:r>
      <w:r>
        <w:rPr>
          <w:rFonts w:hint="eastAsia" w:eastAsia="仿宋_GB2312"/>
          <w:color w:val="auto"/>
          <w:sz w:val="32"/>
          <w:szCs w:val="32"/>
          <w:u w:val="single"/>
        </w:rPr>
        <w:t xml:space="preserve"> </w:t>
      </w:r>
      <w:r>
        <w:rPr>
          <w:rFonts w:hint="eastAsia" w:eastAsia="仿宋_GB2312"/>
          <w:color w:val="auto"/>
          <w:sz w:val="32"/>
          <w:szCs w:val="32"/>
          <w:u w:val="single"/>
          <w:lang w:val="en-US" w:eastAsia="zh-CN"/>
        </w:rPr>
        <w:t xml:space="preserve">金寨恒仁竹木科技有限公司  </w:t>
      </w:r>
      <w:r>
        <w:rPr>
          <w:rFonts w:eastAsia="仿宋_GB2312"/>
          <w:color w:val="auto"/>
          <w:sz w:val="32"/>
          <w:szCs w:val="32"/>
          <w:u w:val="single"/>
        </w:rPr>
        <w:t xml:space="preserve"> </w:t>
      </w:r>
    </w:p>
    <w:p w14:paraId="1E3D7A1E">
      <w:pPr>
        <w:adjustRightInd w:val="0"/>
        <w:snapToGrid w:val="0"/>
        <w:spacing w:line="288" w:lineRule="auto"/>
        <w:ind w:firstLine="1040"/>
        <w:rPr>
          <w:rFonts w:eastAsia="仿宋_GB2312"/>
          <w:color w:val="auto"/>
          <w:sz w:val="32"/>
          <w:szCs w:val="32"/>
          <w:u w:val="single"/>
        </w:rPr>
      </w:pPr>
      <w:r>
        <w:rPr>
          <w:rFonts w:eastAsia="仿宋_GB2312"/>
          <w:color w:val="auto"/>
          <w:sz w:val="32"/>
          <w:szCs w:val="32"/>
        </w:rPr>
        <w:t>编制日期：</w:t>
      </w:r>
      <w:r>
        <w:rPr>
          <w:rFonts w:eastAsia="仿宋_GB2312"/>
          <w:color w:val="auto"/>
          <w:sz w:val="32"/>
          <w:szCs w:val="32"/>
          <w:u w:val="single"/>
        </w:rPr>
        <w:t xml:space="preserve">           </w:t>
      </w:r>
      <w:r>
        <w:rPr>
          <w:rFonts w:hint="eastAsia" w:eastAsia="仿宋_GB2312"/>
          <w:color w:val="auto"/>
          <w:sz w:val="32"/>
          <w:szCs w:val="32"/>
          <w:u w:val="single"/>
          <w:lang w:val="en-US" w:eastAsia="zh-CN"/>
        </w:rPr>
        <w:t>2026</w:t>
      </w:r>
      <w:r>
        <w:rPr>
          <w:rFonts w:eastAsia="仿宋_GB2312"/>
          <w:color w:val="auto"/>
          <w:sz w:val="32"/>
          <w:szCs w:val="32"/>
          <w:u w:val="single"/>
        </w:rPr>
        <w:t>年</w:t>
      </w:r>
      <w:r>
        <w:rPr>
          <w:rFonts w:hint="eastAsia" w:eastAsia="仿宋_GB2312"/>
          <w:color w:val="auto"/>
          <w:sz w:val="32"/>
          <w:szCs w:val="32"/>
          <w:u w:val="single"/>
          <w:lang w:val="en-US" w:eastAsia="zh-CN"/>
        </w:rPr>
        <w:t>1</w:t>
      </w:r>
      <w:r>
        <w:rPr>
          <w:rFonts w:hint="eastAsia" w:eastAsia="仿宋_GB2312"/>
          <w:color w:val="auto"/>
          <w:sz w:val="32"/>
          <w:szCs w:val="32"/>
          <w:u w:val="single"/>
        </w:rPr>
        <w:t>月</w:t>
      </w:r>
      <w:r>
        <w:rPr>
          <w:rFonts w:hint="eastAsia" w:eastAsia="仿宋_GB2312"/>
          <w:color w:val="auto"/>
          <w:sz w:val="32"/>
          <w:szCs w:val="32"/>
          <w:u w:val="single"/>
          <w:lang w:val="en-US" w:eastAsia="zh-CN"/>
        </w:rPr>
        <w:t xml:space="preserve">   </w:t>
      </w:r>
      <w:r>
        <w:rPr>
          <w:rFonts w:eastAsia="仿宋_GB2312"/>
          <w:color w:val="auto"/>
          <w:sz w:val="32"/>
          <w:szCs w:val="32"/>
          <w:u w:val="single"/>
        </w:rPr>
        <w:t xml:space="preserve">      </w:t>
      </w:r>
      <w:r>
        <w:rPr>
          <w:rFonts w:hint="eastAsia" w:eastAsia="仿宋_GB2312"/>
          <w:color w:val="auto"/>
          <w:sz w:val="32"/>
          <w:szCs w:val="32"/>
          <w:u w:val="single"/>
          <w:lang w:val="en-US" w:eastAsia="zh-CN"/>
        </w:rPr>
        <w:t xml:space="preserve">     </w:t>
      </w:r>
      <w:r>
        <w:rPr>
          <w:rFonts w:eastAsia="仿宋_GB2312"/>
          <w:color w:val="auto"/>
          <w:sz w:val="32"/>
          <w:szCs w:val="32"/>
          <w:u w:val="single"/>
        </w:rPr>
        <w:t xml:space="preserve"> </w:t>
      </w:r>
    </w:p>
    <w:p w14:paraId="403E308A">
      <w:pPr>
        <w:adjustRightInd w:val="0"/>
        <w:snapToGrid w:val="0"/>
        <w:spacing w:line="288" w:lineRule="auto"/>
        <w:ind w:firstLine="1040"/>
        <w:rPr>
          <w:rFonts w:eastAsia="仿宋_GB2312"/>
          <w:color w:val="auto"/>
          <w:sz w:val="36"/>
          <w:szCs w:val="36"/>
          <w:u w:val="single"/>
        </w:rPr>
      </w:pPr>
      <w:bookmarkStart w:id="0" w:name="_Hlk57884087"/>
    </w:p>
    <w:p w14:paraId="0923007D">
      <w:pPr>
        <w:adjustRightInd w:val="0"/>
        <w:snapToGrid w:val="0"/>
        <w:spacing w:line="288" w:lineRule="auto"/>
        <w:ind w:firstLine="1040"/>
        <w:rPr>
          <w:rFonts w:eastAsia="仿宋_GB2312"/>
          <w:color w:val="auto"/>
          <w:sz w:val="36"/>
          <w:szCs w:val="36"/>
        </w:rPr>
      </w:pPr>
    </w:p>
    <w:p w14:paraId="2DFE5C5C">
      <w:pPr>
        <w:adjustRightInd w:val="0"/>
        <w:snapToGrid w:val="0"/>
        <w:spacing w:line="288" w:lineRule="auto"/>
        <w:ind w:firstLine="1040"/>
        <w:rPr>
          <w:rFonts w:eastAsia="仿宋_GB2312"/>
          <w:color w:val="auto"/>
          <w:sz w:val="36"/>
          <w:szCs w:val="36"/>
        </w:rPr>
      </w:pPr>
    </w:p>
    <w:p w14:paraId="3B5DB540">
      <w:pPr>
        <w:adjustRightInd w:val="0"/>
        <w:snapToGrid w:val="0"/>
        <w:spacing w:line="288" w:lineRule="auto"/>
        <w:ind w:firstLine="1040"/>
        <w:rPr>
          <w:rFonts w:eastAsia="仿宋_GB2312"/>
          <w:color w:val="auto"/>
          <w:sz w:val="36"/>
          <w:szCs w:val="36"/>
        </w:rPr>
      </w:pPr>
    </w:p>
    <w:bookmarkEnd w:id="0"/>
    <w:p w14:paraId="71B91FCB">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70D140EB">
      <w:pPr>
        <w:adjustRightInd w:val="0"/>
        <w:snapToGrid w:val="0"/>
        <w:spacing w:line="288" w:lineRule="auto"/>
        <w:jc w:val="center"/>
        <w:rPr>
          <w:rFonts w:eastAsia="楷体_GB2312"/>
          <w:color w:val="auto"/>
          <w:sz w:val="36"/>
          <w:szCs w:val="36"/>
        </w:rPr>
      </w:pPr>
    </w:p>
    <w:p w14:paraId="087D6D77">
      <w:pPr>
        <w:adjustRightInd w:val="0"/>
        <w:snapToGrid w:val="0"/>
        <w:spacing w:line="288" w:lineRule="auto"/>
        <w:jc w:val="center"/>
        <w:rPr>
          <w:rFonts w:eastAsia="楷体_GB2312"/>
          <w:color w:val="auto"/>
          <w:sz w:val="36"/>
          <w:szCs w:val="36"/>
        </w:rPr>
      </w:pPr>
    </w:p>
    <w:p w14:paraId="60CA1D21">
      <w:pPr>
        <w:adjustRightInd w:val="0"/>
        <w:snapToGrid w:val="0"/>
        <w:spacing w:line="288" w:lineRule="auto"/>
        <w:jc w:val="center"/>
        <w:rPr>
          <w:rFonts w:eastAsia="楷体_GB2312"/>
          <w:color w:val="auto"/>
          <w:sz w:val="36"/>
          <w:szCs w:val="36"/>
        </w:rPr>
        <w:sectPr>
          <w:footerReference r:id="rId3" w:type="default"/>
          <w:footerReference r:id="rId4" w:type="even"/>
          <w:pgSz w:w="11905" w:h="16838"/>
          <w:pgMar w:top="1417" w:right="1417" w:bottom="1417" w:left="1417" w:header="851" w:footer="1077" w:gutter="0"/>
          <w:pgBorders>
            <w:top w:val="none" w:sz="0" w:space="0"/>
            <w:left w:val="none" w:sz="0" w:space="0"/>
            <w:bottom w:val="none" w:sz="0" w:space="0"/>
            <w:right w:val="none" w:sz="0" w:space="0"/>
          </w:pgBorders>
          <w:pgNumType w:start="3"/>
          <w:cols w:space="0" w:num="1"/>
          <w:rtlGutter w:val="0"/>
          <w:docGrid w:type="lines" w:linePitch="333" w:charSpace="0"/>
        </w:sectPr>
      </w:pPr>
    </w:p>
    <w:p w14:paraId="5EA47B3A">
      <w:pPr>
        <w:pStyle w:val="28"/>
        <w:spacing w:before="0" w:beforeAutospacing="0" w:after="0" w:afterAutospacing="0" w:line="360" w:lineRule="auto"/>
        <w:jc w:val="center"/>
        <w:outlineLvl w:val="0"/>
        <w:rPr>
          <w:rFonts w:ascii="Times New Roman" w:hAnsi="Times New Roman"/>
          <w:b/>
          <w:bCs/>
          <w:snapToGrid w:val="0"/>
          <w:color w:val="auto"/>
          <w:sz w:val="32"/>
          <w:szCs w:val="32"/>
        </w:rPr>
      </w:pPr>
      <w:r>
        <w:rPr>
          <w:rFonts w:ascii="Times New Roman" w:hAnsi="Times New Roman"/>
          <w:b/>
          <w:bCs/>
          <w:snapToGrid w:val="0"/>
          <w:color w:val="auto"/>
          <w:sz w:val="32"/>
          <w:szCs w:val="32"/>
        </w:rPr>
        <w:t>一、建设项目基本情况</w:t>
      </w:r>
    </w:p>
    <w:tbl>
      <w:tblPr>
        <w:tblStyle w:val="31"/>
        <w:tblW w:w="496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89"/>
        <w:gridCol w:w="2994"/>
        <w:gridCol w:w="1293"/>
        <w:gridCol w:w="3555"/>
      </w:tblGrid>
      <w:tr w14:paraId="6A9D8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5E259DFB">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建设项目名称</w:t>
            </w:r>
          </w:p>
        </w:tc>
        <w:tc>
          <w:tcPr>
            <w:tcW w:w="4341" w:type="pct"/>
            <w:gridSpan w:val="3"/>
            <w:vAlign w:val="center"/>
          </w:tcPr>
          <w:p w14:paraId="10A3BD4C">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年加工2万吨毛竹高效资源利用项目</w:t>
            </w:r>
          </w:p>
        </w:tc>
      </w:tr>
      <w:tr w14:paraId="6124F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76AC6590">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项目代码</w:t>
            </w:r>
          </w:p>
        </w:tc>
        <w:tc>
          <w:tcPr>
            <w:tcW w:w="4341" w:type="pct"/>
            <w:gridSpan w:val="3"/>
            <w:vAlign w:val="center"/>
          </w:tcPr>
          <w:p w14:paraId="27726BDB">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2512-341524-04-05-575460</w:t>
            </w:r>
          </w:p>
        </w:tc>
      </w:tr>
      <w:tr w14:paraId="69894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6DF2F0E8">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建设单位联系人</w:t>
            </w:r>
          </w:p>
        </w:tc>
        <w:tc>
          <w:tcPr>
            <w:tcW w:w="1657" w:type="pct"/>
            <w:vAlign w:val="center"/>
          </w:tcPr>
          <w:p w14:paraId="353C0D3D">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szCs w:val="32"/>
                <w:lang w:val="en-US" w:eastAsia="zh-CN"/>
              </w:rPr>
              <w:t>莫莉萍</w:t>
            </w:r>
          </w:p>
        </w:tc>
        <w:tc>
          <w:tcPr>
            <w:tcW w:w="716" w:type="pct"/>
            <w:vAlign w:val="center"/>
          </w:tcPr>
          <w:p w14:paraId="50F4EE0F">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联系方式</w:t>
            </w:r>
          </w:p>
        </w:tc>
        <w:tc>
          <w:tcPr>
            <w:tcW w:w="1967" w:type="pct"/>
            <w:vAlign w:val="center"/>
          </w:tcPr>
          <w:p w14:paraId="4F096E05">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szCs w:val="32"/>
                <w:lang w:val="en-US" w:eastAsia="zh-CN"/>
              </w:rPr>
              <w:t>136</w:t>
            </w:r>
            <w:r>
              <w:rPr>
                <w:rFonts w:hint="eastAsia" w:cs="Times New Roman" w:eastAsiaTheme="minorEastAsia"/>
                <w:color w:val="auto"/>
                <w:sz w:val="24"/>
                <w:szCs w:val="32"/>
                <w:lang w:val="en-US" w:eastAsia="zh-CN"/>
              </w:rPr>
              <w:t>****</w:t>
            </w:r>
            <w:bookmarkStart w:id="8" w:name="_GoBack"/>
            <w:bookmarkEnd w:id="8"/>
            <w:r>
              <w:rPr>
                <w:rFonts w:hint="default" w:ascii="Times New Roman" w:hAnsi="Times New Roman" w:cs="Times New Roman" w:eastAsiaTheme="minorEastAsia"/>
                <w:color w:val="auto"/>
                <w:sz w:val="24"/>
                <w:szCs w:val="32"/>
                <w:lang w:val="en-US" w:eastAsia="zh-CN"/>
              </w:rPr>
              <w:t>4268</w:t>
            </w:r>
          </w:p>
        </w:tc>
      </w:tr>
      <w:tr w14:paraId="32DC6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75F7703D">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建设地点</w:t>
            </w:r>
          </w:p>
        </w:tc>
        <w:tc>
          <w:tcPr>
            <w:tcW w:w="4341" w:type="pct"/>
            <w:gridSpan w:val="3"/>
            <w:vAlign w:val="center"/>
          </w:tcPr>
          <w:p w14:paraId="3234EDEA">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szCs w:val="32"/>
                <w:lang w:val="en-US" w:eastAsia="zh-CN"/>
              </w:rPr>
              <w:t>金寨县青山镇毛竹工业园</w:t>
            </w:r>
          </w:p>
        </w:tc>
      </w:tr>
      <w:tr w14:paraId="4CB1E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2767C410">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地理坐标</w:t>
            </w:r>
          </w:p>
        </w:tc>
        <w:tc>
          <w:tcPr>
            <w:tcW w:w="4341" w:type="pct"/>
            <w:gridSpan w:val="3"/>
            <w:vAlign w:val="center"/>
          </w:tcPr>
          <w:p w14:paraId="0AAF3D2B">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东经115°54'55.593"，北纬31°27'6.500"</w:t>
            </w:r>
          </w:p>
        </w:tc>
      </w:tr>
      <w:tr w14:paraId="1AC9E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2733AB56">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国民经济</w:t>
            </w:r>
          </w:p>
          <w:p w14:paraId="15BFF6BD">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行业类别</w:t>
            </w:r>
          </w:p>
        </w:tc>
        <w:tc>
          <w:tcPr>
            <w:tcW w:w="1657" w:type="pct"/>
            <w:vAlign w:val="center"/>
          </w:tcPr>
          <w:p w14:paraId="12862E1F">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eastAsia="zh-CN"/>
              </w:rPr>
              <w:t>C</w:t>
            </w:r>
            <w:r>
              <w:rPr>
                <w:rFonts w:hint="default" w:ascii="Times New Roman" w:hAnsi="Times New Roman" w:cs="Times New Roman" w:eastAsiaTheme="minorEastAsia"/>
                <w:color w:val="auto"/>
                <w:sz w:val="24"/>
                <w:lang w:val="en-US" w:eastAsia="zh-CN"/>
              </w:rPr>
              <w:t>2041 竹制品制造；</w:t>
            </w:r>
          </w:p>
          <w:p w14:paraId="1DD422A0">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D4430 热力生产和供应</w:t>
            </w:r>
          </w:p>
        </w:tc>
        <w:tc>
          <w:tcPr>
            <w:tcW w:w="716" w:type="pct"/>
            <w:vAlign w:val="center"/>
          </w:tcPr>
          <w:p w14:paraId="68EC7F2D">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bookmarkStart w:id="1" w:name="_Hlk49843745"/>
            <w:r>
              <w:rPr>
                <w:rFonts w:hint="default" w:ascii="Times New Roman" w:hAnsi="Times New Roman" w:cs="Times New Roman" w:eastAsiaTheme="minorEastAsia"/>
                <w:color w:val="auto"/>
                <w:sz w:val="24"/>
              </w:rPr>
              <w:t>建设项目</w:t>
            </w:r>
          </w:p>
          <w:p w14:paraId="2FCF2153">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行业类别</w:t>
            </w:r>
            <w:bookmarkEnd w:id="1"/>
          </w:p>
        </w:tc>
        <w:tc>
          <w:tcPr>
            <w:tcW w:w="1967" w:type="pct"/>
            <w:vAlign w:val="center"/>
          </w:tcPr>
          <w:p w14:paraId="6759E5B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十七、木材加工和木、竹、藤、棕、草制品业 20  竹、藤、棕、草等制品制造 204*；</w:t>
            </w:r>
          </w:p>
          <w:p w14:paraId="0B4CBE9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rPr>
            </w:pPr>
            <w:r>
              <w:rPr>
                <w:rFonts w:hint="default" w:ascii="Times New Roman" w:hAnsi="Times New Roman" w:cs="Times New Roman" w:eastAsiaTheme="minorEastAsia"/>
                <w:color w:val="auto"/>
                <w:sz w:val="24"/>
                <w:lang w:val="en-US" w:eastAsia="zh-CN"/>
              </w:rPr>
              <w:t xml:space="preserve">四十一、电力、热力生产和供应业 91 热力生产和供应工程 </w:t>
            </w:r>
          </w:p>
        </w:tc>
      </w:tr>
      <w:tr w14:paraId="7DE53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05470F6F">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建设性质</w:t>
            </w:r>
          </w:p>
        </w:tc>
        <w:tc>
          <w:tcPr>
            <w:tcW w:w="1657" w:type="pct"/>
            <w:vAlign w:val="center"/>
          </w:tcPr>
          <w:p w14:paraId="1BD3A486">
            <w:pPr>
              <w:keepNext w:val="0"/>
              <w:keepLines w:val="0"/>
              <w:pageBreakBefore w:val="0"/>
              <w:widowControl w:val="0"/>
              <w:kinsoku/>
              <w:wordWrap/>
              <w:overflowPunct/>
              <w:topLinePunct w:val="0"/>
              <w:bidi w:val="0"/>
              <w:adjustRightInd/>
              <w:snapToGrid/>
              <w:spacing w:line="240" w:lineRule="auto"/>
              <w:ind w:left="0" w:leftChars="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新建</w:t>
            </w:r>
          </w:p>
          <w:p w14:paraId="4872FD7E">
            <w:pPr>
              <w:keepNext w:val="0"/>
              <w:keepLines w:val="0"/>
              <w:pageBreakBefore w:val="0"/>
              <w:widowControl w:val="0"/>
              <w:kinsoku/>
              <w:wordWrap/>
              <w:overflowPunct/>
              <w:topLinePunct w:val="0"/>
              <w:bidi w:val="0"/>
              <w:adjustRightInd/>
              <w:snapToGrid/>
              <w:spacing w:line="240" w:lineRule="auto"/>
              <w:ind w:left="0" w:leftChars="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□改建</w:t>
            </w:r>
          </w:p>
          <w:p w14:paraId="2E2AE9CB">
            <w:pPr>
              <w:keepNext w:val="0"/>
              <w:keepLines w:val="0"/>
              <w:pageBreakBefore w:val="0"/>
              <w:widowControl w:val="0"/>
              <w:kinsoku/>
              <w:wordWrap/>
              <w:overflowPunct/>
              <w:topLinePunct w:val="0"/>
              <w:bidi w:val="0"/>
              <w:adjustRightInd/>
              <w:snapToGrid/>
              <w:spacing w:line="240" w:lineRule="auto"/>
              <w:ind w:left="0" w:leftChars="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扩建</w:t>
            </w:r>
          </w:p>
          <w:p w14:paraId="6D6E1417">
            <w:pPr>
              <w:keepNext w:val="0"/>
              <w:keepLines w:val="0"/>
              <w:pageBreakBefore w:val="0"/>
              <w:widowControl w:val="0"/>
              <w:kinsoku/>
              <w:wordWrap/>
              <w:overflowPunct/>
              <w:topLinePunct w:val="0"/>
              <w:bidi w:val="0"/>
              <w:adjustRightInd/>
              <w:snapToGrid/>
              <w:spacing w:line="240" w:lineRule="auto"/>
              <w:ind w:left="0" w:leftChars="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□技术改造</w:t>
            </w:r>
          </w:p>
        </w:tc>
        <w:tc>
          <w:tcPr>
            <w:tcW w:w="716" w:type="pct"/>
            <w:vAlign w:val="center"/>
          </w:tcPr>
          <w:p w14:paraId="59A39841">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建设项目</w:t>
            </w:r>
          </w:p>
          <w:p w14:paraId="67104BE2">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申报情形</w:t>
            </w:r>
          </w:p>
        </w:tc>
        <w:tc>
          <w:tcPr>
            <w:tcW w:w="1967" w:type="pct"/>
            <w:vAlign w:val="center"/>
          </w:tcPr>
          <w:p w14:paraId="4F51B134">
            <w:pPr>
              <w:keepNext w:val="0"/>
              <w:keepLines w:val="0"/>
              <w:pageBreakBefore w:val="0"/>
              <w:widowControl w:val="0"/>
              <w:kinsoku/>
              <w:wordWrap/>
              <w:overflowPunct/>
              <w:topLinePunct w:val="0"/>
              <w:bidi w:val="0"/>
              <w:adjustRightInd/>
              <w:snapToGrid/>
              <w:spacing w:line="240" w:lineRule="auto"/>
              <w:ind w:left="0" w:leftChars="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☑首次申报项目             </w:t>
            </w:r>
          </w:p>
          <w:p w14:paraId="771755C3">
            <w:pPr>
              <w:keepNext w:val="0"/>
              <w:keepLines w:val="0"/>
              <w:pageBreakBefore w:val="0"/>
              <w:widowControl w:val="0"/>
              <w:kinsoku/>
              <w:wordWrap/>
              <w:overflowPunct/>
              <w:topLinePunct w:val="0"/>
              <w:bidi w:val="0"/>
              <w:adjustRightInd/>
              <w:snapToGrid/>
              <w:spacing w:line="240" w:lineRule="auto"/>
              <w:ind w:left="0" w:leftChars="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□不予批准后再次申报项目</w:t>
            </w:r>
          </w:p>
          <w:p w14:paraId="1AA41F24">
            <w:pPr>
              <w:keepNext w:val="0"/>
              <w:keepLines w:val="0"/>
              <w:pageBreakBefore w:val="0"/>
              <w:widowControl w:val="0"/>
              <w:kinsoku/>
              <w:wordWrap/>
              <w:overflowPunct/>
              <w:topLinePunct w:val="0"/>
              <w:bidi w:val="0"/>
              <w:adjustRightInd/>
              <w:snapToGrid/>
              <w:spacing w:line="240" w:lineRule="auto"/>
              <w:ind w:left="0" w:leftChars="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 xml:space="preserve">□超五年重新审核项目     </w:t>
            </w:r>
          </w:p>
          <w:p w14:paraId="16AB9A91">
            <w:pPr>
              <w:keepNext w:val="0"/>
              <w:keepLines w:val="0"/>
              <w:pageBreakBefore w:val="0"/>
              <w:widowControl w:val="0"/>
              <w:kinsoku/>
              <w:wordWrap/>
              <w:overflowPunct/>
              <w:topLinePunct w:val="0"/>
              <w:bidi w:val="0"/>
              <w:adjustRightInd/>
              <w:snapToGrid/>
              <w:spacing w:line="240" w:lineRule="auto"/>
              <w:ind w:left="0" w:leftChars="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□重大变动重新报批项目</w:t>
            </w:r>
          </w:p>
        </w:tc>
      </w:tr>
      <w:tr w14:paraId="701F0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264074C2">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项目审批（核准/备案）部门</w:t>
            </w:r>
          </w:p>
        </w:tc>
        <w:tc>
          <w:tcPr>
            <w:tcW w:w="1657" w:type="pct"/>
            <w:vAlign w:val="center"/>
          </w:tcPr>
          <w:p w14:paraId="7C560BDF">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val="en-US" w:eastAsia="zh-CN"/>
              </w:rPr>
              <w:t>金寨县</w:t>
            </w:r>
            <w:r>
              <w:rPr>
                <w:rFonts w:hint="default" w:ascii="Times New Roman" w:hAnsi="Times New Roman" w:cs="Times New Roman" w:eastAsiaTheme="minorEastAsia"/>
                <w:color w:val="auto"/>
                <w:sz w:val="24"/>
              </w:rPr>
              <w:t>发展</w:t>
            </w:r>
            <w:r>
              <w:rPr>
                <w:rFonts w:hint="default" w:ascii="Times New Roman" w:hAnsi="Times New Roman" w:cs="Times New Roman" w:eastAsiaTheme="minorEastAsia"/>
                <w:color w:val="auto"/>
                <w:sz w:val="24"/>
                <w:lang w:val="en-US" w:eastAsia="zh-CN"/>
              </w:rPr>
              <w:t>和</w:t>
            </w:r>
            <w:r>
              <w:rPr>
                <w:rFonts w:hint="default" w:ascii="Times New Roman" w:hAnsi="Times New Roman" w:cs="Times New Roman" w:eastAsiaTheme="minorEastAsia"/>
                <w:color w:val="auto"/>
                <w:sz w:val="24"/>
              </w:rPr>
              <w:t>改革</w:t>
            </w:r>
            <w:r>
              <w:rPr>
                <w:rFonts w:hint="default" w:ascii="Times New Roman" w:hAnsi="Times New Roman" w:cs="Times New Roman" w:eastAsiaTheme="minorEastAsia"/>
                <w:color w:val="auto"/>
                <w:sz w:val="24"/>
                <w:lang w:val="en-US" w:eastAsia="zh-CN"/>
              </w:rPr>
              <w:t>委员会</w:t>
            </w:r>
          </w:p>
        </w:tc>
        <w:tc>
          <w:tcPr>
            <w:tcW w:w="716" w:type="pct"/>
            <w:vAlign w:val="center"/>
          </w:tcPr>
          <w:p w14:paraId="6A7D52B0">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项目审批（核准/备案）文号</w:t>
            </w:r>
          </w:p>
        </w:tc>
        <w:tc>
          <w:tcPr>
            <w:tcW w:w="1967" w:type="pct"/>
            <w:vAlign w:val="center"/>
          </w:tcPr>
          <w:p w14:paraId="680A4A6A">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val="en-US" w:eastAsia="zh-CN"/>
              </w:rPr>
              <w:t>/</w:t>
            </w:r>
          </w:p>
        </w:tc>
      </w:tr>
      <w:tr w14:paraId="6DCEA4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638B1604">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总投资</w:t>
            </w:r>
          </w:p>
          <w:p w14:paraId="6D4DA442">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（万元）</w:t>
            </w:r>
          </w:p>
        </w:tc>
        <w:tc>
          <w:tcPr>
            <w:tcW w:w="1657" w:type="pct"/>
            <w:vAlign w:val="center"/>
          </w:tcPr>
          <w:p w14:paraId="6DC398EA">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600</w:t>
            </w:r>
          </w:p>
        </w:tc>
        <w:tc>
          <w:tcPr>
            <w:tcW w:w="716" w:type="pct"/>
            <w:tcMar>
              <w:top w:w="16" w:type="dxa"/>
              <w:left w:w="16" w:type="dxa"/>
              <w:right w:w="16" w:type="dxa"/>
            </w:tcMar>
            <w:vAlign w:val="center"/>
          </w:tcPr>
          <w:p w14:paraId="1D87EB91">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环保投资</w:t>
            </w:r>
          </w:p>
          <w:p w14:paraId="03267B64">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（万元）</w:t>
            </w:r>
          </w:p>
        </w:tc>
        <w:tc>
          <w:tcPr>
            <w:tcW w:w="1967" w:type="pct"/>
            <w:vAlign w:val="center"/>
          </w:tcPr>
          <w:p w14:paraId="6E23F55A">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42</w:t>
            </w:r>
          </w:p>
        </w:tc>
      </w:tr>
      <w:tr w14:paraId="5EE0D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0DDE0C36">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环保投资占比（%）</w:t>
            </w:r>
          </w:p>
        </w:tc>
        <w:tc>
          <w:tcPr>
            <w:tcW w:w="1657" w:type="pct"/>
            <w:vAlign w:val="center"/>
          </w:tcPr>
          <w:p w14:paraId="69E408A0">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0.7%</w:t>
            </w:r>
          </w:p>
        </w:tc>
        <w:tc>
          <w:tcPr>
            <w:tcW w:w="716" w:type="pct"/>
            <w:tcMar>
              <w:top w:w="16" w:type="dxa"/>
              <w:left w:w="16" w:type="dxa"/>
              <w:right w:w="16" w:type="dxa"/>
            </w:tcMar>
            <w:vAlign w:val="center"/>
          </w:tcPr>
          <w:p w14:paraId="51000B30">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施工工期</w:t>
            </w:r>
          </w:p>
        </w:tc>
        <w:tc>
          <w:tcPr>
            <w:tcW w:w="1967" w:type="pct"/>
            <w:vAlign w:val="center"/>
          </w:tcPr>
          <w:p w14:paraId="715B3947">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val="en-US" w:eastAsia="zh-CN"/>
              </w:rPr>
              <w:t>3</w:t>
            </w:r>
            <w:r>
              <w:rPr>
                <w:rFonts w:hint="default" w:ascii="Times New Roman" w:hAnsi="Times New Roman" w:cs="Times New Roman" w:eastAsiaTheme="minorEastAsia"/>
                <w:color w:val="auto"/>
                <w:sz w:val="24"/>
              </w:rPr>
              <w:t>个月</w:t>
            </w:r>
          </w:p>
        </w:tc>
      </w:tr>
      <w:tr w14:paraId="4E6C0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tcMar>
              <w:top w:w="16" w:type="dxa"/>
              <w:left w:w="16" w:type="dxa"/>
              <w:right w:w="16" w:type="dxa"/>
            </w:tcMar>
            <w:vAlign w:val="center"/>
          </w:tcPr>
          <w:p w14:paraId="3B3E5F5F">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是否开工建设</w:t>
            </w:r>
          </w:p>
        </w:tc>
        <w:tc>
          <w:tcPr>
            <w:tcW w:w="1657" w:type="pct"/>
            <w:vAlign w:val="center"/>
          </w:tcPr>
          <w:p w14:paraId="69700928">
            <w:pPr>
              <w:keepNext w:val="0"/>
              <w:keepLines w:val="0"/>
              <w:pageBreakBefore w:val="0"/>
              <w:widowControl w:val="0"/>
              <w:kinsoku/>
              <w:wordWrap/>
              <w:overflowPunct/>
              <w:topLinePunct w:val="0"/>
              <w:bidi w:val="0"/>
              <w:adjustRightInd/>
              <w:snapToGrid/>
              <w:spacing w:line="240" w:lineRule="auto"/>
              <w:ind w:left="0" w:leftChars="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否</w:t>
            </w:r>
          </w:p>
          <w:p w14:paraId="65B1D343">
            <w:pPr>
              <w:keepNext w:val="0"/>
              <w:keepLines w:val="0"/>
              <w:pageBreakBefore w:val="0"/>
              <w:widowControl w:val="0"/>
              <w:kinsoku/>
              <w:wordWrap/>
              <w:overflowPunct/>
              <w:topLinePunct w:val="0"/>
              <w:bidi w:val="0"/>
              <w:adjustRightInd/>
              <w:snapToGrid/>
              <w:spacing w:line="240" w:lineRule="auto"/>
              <w:ind w:left="0" w:leftChars="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是：</w:t>
            </w:r>
          </w:p>
        </w:tc>
        <w:tc>
          <w:tcPr>
            <w:tcW w:w="716" w:type="pct"/>
            <w:tcMar>
              <w:top w:w="16" w:type="dxa"/>
              <w:left w:w="16" w:type="dxa"/>
              <w:right w:w="16" w:type="dxa"/>
            </w:tcMar>
            <w:vAlign w:val="center"/>
          </w:tcPr>
          <w:p w14:paraId="1E50DE49">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pacing w:val="-6"/>
                <w:sz w:val="24"/>
              </w:rPr>
            </w:pPr>
            <w:r>
              <w:rPr>
                <w:rFonts w:hint="default" w:ascii="Times New Roman" w:hAnsi="Times New Roman" w:cs="Times New Roman" w:eastAsiaTheme="minorEastAsia"/>
                <w:color w:val="auto"/>
                <w:spacing w:val="-6"/>
                <w:sz w:val="24"/>
              </w:rPr>
              <w:t>用地（用海）</w:t>
            </w:r>
          </w:p>
          <w:p w14:paraId="09F5CD95">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pacing w:val="-6"/>
                <w:sz w:val="24"/>
              </w:rPr>
              <w:t>面积</w:t>
            </w:r>
          </w:p>
        </w:tc>
        <w:tc>
          <w:tcPr>
            <w:tcW w:w="1967" w:type="pct"/>
            <w:vAlign w:val="center"/>
          </w:tcPr>
          <w:p w14:paraId="3892F5A5">
            <w:pPr>
              <w:keepNext w:val="0"/>
              <w:keepLines w:val="0"/>
              <w:pageBreakBefore w:val="0"/>
              <w:widowControl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13334m</w:t>
            </w:r>
            <w:r>
              <w:rPr>
                <w:rFonts w:hint="default" w:ascii="Times New Roman" w:hAnsi="Times New Roman" w:cs="Times New Roman" w:eastAsiaTheme="minorEastAsia"/>
                <w:color w:val="auto"/>
                <w:sz w:val="24"/>
                <w:vertAlign w:val="superscript"/>
                <w:lang w:val="en-US" w:eastAsia="zh-CN"/>
              </w:rPr>
              <w:t>2</w:t>
            </w:r>
            <w:r>
              <w:rPr>
                <w:rFonts w:hint="default" w:ascii="Times New Roman" w:hAnsi="Times New Roman" w:cs="Times New Roman" w:eastAsiaTheme="minorEastAsia"/>
                <w:color w:val="auto"/>
                <w:sz w:val="24"/>
                <w:lang w:val="en-US" w:eastAsia="zh-CN"/>
              </w:rPr>
              <w:t>（20亩）</w:t>
            </w:r>
          </w:p>
        </w:tc>
      </w:tr>
      <w:tr w14:paraId="671A6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pct"/>
            <w:vAlign w:val="center"/>
          </w:tcPr>
          <w:p w14:paraId="5480001E">
            <w:pPr>
              <w:keepNext w:val="0"/>
              <w:keepLines w:val="0"/>
              <w:pageBreakBefore w:val="0"/>
              <w:widowControl w:val="0"/>
              <w:kinsoku/>
              <w:wordWrap/>
              <w:overflowPunct/>
              <w:topLinePunct w:val="0"/>
              <w:autoSpaceDE w:val="0"/>
              <w:autoSpaceDN w:val="0"/>
              <w:bidi w:val="0"/>
              <w:adjustRightInd/>
              <w:snapToGrid/>
              <w:spacing w:line="240" w:lineRule="auto"/>
              <w:ind w:left="0" w:leftChars="0"/>
              <w:jc w:val="center"/>
              <w:textAlignment w:val="auto"/>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专项评价设置情况</w:t>
            </w:r>
          </w:p>
        </w:tc>
        <w:tc>
          <w:tcPr>
            <w:tcW w:w="4341" w:type="pct"/>
            <w:gridSpan w:val="3"/>
            <w:vAlign w:val="center"/>
          </w:tcPr>
          <w:p w14:paraId="37F5692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422" w:firstLineChars="200"/>
              <w:jc w:val="left"/>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本项目专项评价设置情况见表1-1：</w:t>
            </w:r>
          </w:p>
          <w:p w14:paraId="59037AE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422" w:firstLineChars="20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eastAsia="宋体" w:cs="Times New Roman"/>
                <w:b/>
                <w:bCs/>
                <w:color w:val="auto"/>
                <w:kern w:val="0"/>
                <w:sz w:val="21"/>
                <w:szCs w:val="21"/>
                <w:lang w:val="en-US" w:eastAsia="zh-CN"/>
              </w:rPr>
              <w:t xml:space="preserve">表1-1 </w:t>
            </w:r>
            <w:r>
              <w:rPr>
                <w:rFonts w:hint="default" w:ascii="Times New Roman" w:hAnsi="Times New Roman" w:eastAsia="宋体" w:cs="Times New Roman"/>
                <w:b/>
                <w:bCs/>
                <w:color w:val="auto"/>
                <w:kern w:val="0"/>
                <w:sz w:val="21"/>
                <w:szCs w:val="21"/>
              </w:rPr>
              <w:t>专项评价设置情况</w:t>
            </w:r>
            <w:r>
              <w:rPr>
                <w:rFonts w:hint="eastAsia" w:ascii="Times New Roman" w:hAnsi="Times New Roman" w:eastAsia="宋体" w:cs="Times New Roman"/>
                <w:b/>
                <w:bCs/>
                <w:color w:val="auto"/>
                <w:kern w:val="0"/>
                <w:sz w:val="21"/>
                <w:szCs w:val="21"/>
                <w:lang w:eastAsia="zh-CN"/>
              </w:rPr>
              <w:t>判定表</w:t>
            </w:r>
          </w:p>
          <w:tbl>
            <w:tblPr>
              <w:tblStyle w:val="32"/>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3562"/>
              <w:gridCol w:w="2611"/>
              <w:gridCol w:w="694"/>
            </w:tblGrid>
            <w:tr w14:paraId="5D8E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pct"/>
                  <w:tcBorders>
                    <w:tl2br w:val="nil"/>
                  </w:tcBorders>
                  <w:noWrap w:val="0"/>
                  <w:vAlign w:val="center"/>
                </w:tcPr>
                <w:p w14:paraId="6426A273">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要素</w:t>
                  </w:r>
                </w:p>
              </w:tc>
              <w:tc>
                <w:tcPr>
                  <w:tcW w:w="2338" w:type="pct"/>
                  <w:noWrap w:val="0"/>
                  <w:vAlign w:val="center"/>
                </w:tcPr>
                <w:p w14:paraId="3C60B610">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判定依据</w:t>
                  </w:r>
                </w:p>
              </w:tc>
              <w:tc>
                <w:tcPr>
                  <w:tcW w:w="1714" w:type="pct"/>
                  <w:noWrap w:val="0"/>
                  <w:vAlign w:val="center"/>
                </w:tcPr>
                <w:p w14:paraId="36AE55E3">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判定过程</w:t>
                  </w:r>
                </w:p>
              </w:tc>
              <w:tc>
                <w:tcPr>
                  <w:tcW w:w="455" w:type="pct"/>
                  <w:noWrap w:val="0"/>
                  <w:vAlign w:val="center"/>
                </w:tcPr>
                <w:p w14:paraId="058C7AD1">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判定结果</w:t>
                  </w:r>
                </w:p>
              </w:tc>
            </w:tr>
            <w:tr w14:paraId="5DE9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pct"/>
                  <w:noWrap w:val="0"/>
                  <w:vAlign w:val="center"/>
                </w:tcPr>
                <w:p w14:paraId="1FC69CA6">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大气环境</w:t>
                  </w:r>
                </w:p>
              </w:tc>
              <w:tc>
                <w:tcPr>
                  <w:tcW w:w="2338" w:type="pct"/>
                  <w:noWrap w:val="0"/>
                  <w:vAlign w:val="center"/>
                </w:tcPr>
                <w:p w14:paraId="4409DD0B">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left"/>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排放废气含有毒有害污染物、二噁英、苯并[a]芘、氰化物、氯气且厂界外500米范围内有环境空气保护目标的建设项目</w:t>
                  </w:r>
                </w:p>
              </w:tc>
              <w:tc>
                <w:tcPr>
                  <w:tcW w:w="1714" w:type="pct"/>
                  <w:noWrap w:val="0"/>
                  <w:vAlign w:val="center"/>
                </w:tcPr>
                <w:p w14:paraId="5C58228A">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left"/>
                    <w:textAlignment w:val="center"/>
                    <w:rPr>
                      <w:rFonts w:hint="default" w:ascii="Times New Roman" w:hAnsi="Times New Roman" w:eastAsia="宋体" w:cs="Times New Roman"/>
                      <w:b w:val="0"/>
                      <w:color w:val="auto"/>
                      <w:sz w:val="21"/>
                      <w:szCs w:val="21"/>
                      <w:highlight w:val="none"/>
                      <w:shd w:val="clear" w:color="auto" w:fill="auto"/>
                      <w:lang w:eastAsia="zh-CN"/>
                    </w:rPr>
                  </w:pPr>
                  <w:r>
                    <w:rPr>
                      <w:rFonts w:hint="default" w:ascii="Times New Roman" w:hAnsi="Times New Roman" w:eastAsia="宋体" w:cs="Times New Roman"/>
                      <w:b w:val="0"/>
                      <w:color w:val="auto"/>
                      <w:sz w:val="21"/>
                      <w:szCs w:val="21"/>
                      <w:highlight w:val="none"/>
                      <w:shd w:val="clear" w:color="auto" w:fill="auto"/>
                      <w:lang w:val="en-US" w:eastAsia="zh-CN"/>
                    </w:rPr>
                    <w:t>本项目</w:t>
                  </w:r>
                  <w:r>
                    <w:rPr>
                      <w:rFonts w:hint="default" w:ascii="Times New Roman" w:hAnsi="Times New Roman" w:eastAsia="宋体" w:cs="Times New Roman"/>
                      <w:b w:val="0"/>
                      <w:color w:val="auto"/>
                      <w:sz w:val="21"/>
                      <w:szCs w:val="21"/>
                      <w:highlight w:val="none"/>
                      <w:shd w:val="clear" w:color="auto" w:fill="auto"/>
                    </w:rPr>
                    <w:t>排放废气</w:t>
                  </w:r>
                  <w:r>
                    <w:rPr>
                      <w:rFonts w:hint="default" w:ascii="Times New Roman" w:hAnsi="Times New Roman" w:eastAsia="宋体" w:cs="Times New Roman"/>
                      <w:b w:val="0"/>
                      <w:color w:val="auto"/>
                      <w:sz w:val="21"/>
                      <w:szCs w:val="21"/>
                      <w:highlight w:val="none"/>
                      <w:shd w:val="clear" w:color="auto" w:fill="auto"/>
                      <w:lang w:val="en-US" w:eastAsia="zh-CN"/>
                    </w:rPr>
                    <w:t>不</w:t>
                  </w:r>
                  <w:r>
                    <w:rPr>
                      <w:rFonts w:hint="default" w:ascii="Times New Roman" w:hAnsi="Times New Roman" w:eastAsia="宋体" w:cs="Times New Roman"/>
                      <w:b w:val="0"/>
                      <w:color w:val="auto"/>
                      <w:sz w:val="21"/>
                      <w:szCs w:val="21"/>
                      <w:highlight w:val="none"/>
                      <w:shd w:val="clear" w:color="auto" w:fill="auto"/>
                    </w:rPr>
                    <w:t>含有毒有害污染物、二噁英、苯并[a]芘、氰化物、氯气</w:t>
                  </w:r>
                </w:p>
              </w:tc>
              <w:tc>
                <w:tcPr>
                  <w:tcW w:w="455" w:type="pct"/>
                  <w:noWrap w:val="0"/>
                  <w:vAlign w:val="center"/>
                </w:tcPr>
                <w:p w14:paraId="2BB7ED95">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lang w:eastAsia="zh-CN"/>
                    </w:rPr>
                    <w:t>无须设置</w:t>
                  </w:r>
                </w:p>
              </w:tc>
            </w:tr>
            <w:tr w14:paraId="2271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pct"/>
                  <w:noWrap w:val="0"/>
                  <w:vAlign w:val="center"/>
                </w:tcPr>
                <w:p w14:paraId="3A3382B1">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地表水环境</w:t>
                  </w:r>
                </w:p>
              </w:tc>
              <w:tc>
                <w:tcPr>
                  <w:tcW w:w="2338" w:type="pct"/>
                  <w:noWrap w:val="0"/>
                  <w:vAlign w:val="center"/>
                </w:tcPr>
                <w:p w14:paraId="783980DC">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left"/>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新增工业废水直排建设项目（槽罐车外送污水处理厂的除外）；新增废水直排的污水集中处理厂</w:t>
                  </w:r>
                </w:p>
              </w:tc>
              <w:tc>
                <w:tcPr>
                  <w:tcW w:w="1714" w:type="pct"/>
                  <w:noWrap w:val="0"/>
                  <w:vAlign w:val="center"/>
                </w:tcPr>
                <w:p w14:paraId="1F56D850">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both"/>
                    <w:textAlignment w:val="center"/>
                    <w:rPr>
                      <w:rFonts w:hint="eastAsia" w:ascii="Times New Roman" w:hAnsi="Times New Roman" w:eastAsia="宋体" w:cs="Times New Roman"/>
                      <w:b w:val="0"/>
                      <w:color w:val="auto"/>
                      <w:sz w:val="21"/>
                      <w:szCs w:val="21"/>
                      <w:highlight w:val="none"/>
                      <w:shd w:val="clear" w:color="auto" w:fill="auto"/>
                      <w:lang w:eastAsia="zh-CN"/>
                    </w:rPr>
                  </w:pPr>
                  <w:r>
                    <w:rPr>
                      <w:rFonts w:hint="default" w:ascii="Times New Roman" w:hAnsi="Times New Roman" w:eastAsia="宋体" w:cs="Times New Roman"/>
                      <w:b w:val="0"/>
                      <w:color w:val="auto"/>
                      <w:sz w:val="21"/>
                      <w:szCs w:val="21"/>
                      <w:highlight w:val="none"/>
                      <w:shd w:val="clear" w:color="auto" w:fill="auto"/>
                    </w:rPr>
                    <w:t>本项目</w:t>
                  </w:r>
                  <w:r>
                    <w:rPr>
                      <w:rFonts w:hint="eastAsia" w:cs="Times New Roman"/>
                      <w:b w:val="0"/>
                      <w:color w:val="auto"/>
                      <w:sz w:val="21"/>
                      <w:szCs w:val="21"/>
                      <w:highlight w:val="none"/>
                      <w:shd w:val="clear" w:color="auto" w:fill="auto"/>
                      <w:lang w:eastAsia="zh-CN"/>
                    </w:rPr>
                    <w:t>生活</w:t>
                  </w:r>
                  <w:r>
                    <w:rPr>
                      <w:rFonts w:hint="eastAsia" w:ascii="Times New Roman" w:hAnsi="Times New Roman" w:eastAsia="宋体" w:cs="Times New Roman"/>
                      <w:b w:val="0"/>
                      <w:color w:val="auto"/>
                      <w:sz w:val="21"/>
                      <w:szCs w:val="21"/>
                      <w:highlight w:val="none"/>
                      <w:shd w:val="clear" w:color="auto" w:fill="auto"/>
                      <w:lang w:val="en-US" w:eastAsia="zh-CN"/>
                    </w:rPr>
                    <w:t>废</w:t>
                  </w:r>
                  <w:r>
                    <w:rPr>
                      <w:rFonts w:hint="default" w:ascii="Times New Roman" w:hAnsi="Times New Roman" w:eastAsia="宋体" w:cs="Times New Roman"/>
                      <w:b w:val="0"/>
                      <w:color w:val="auto"/>
                      <w:sz w:val="21"/>
                      <w:szCs w:val="21"/>
                      <w:highlight w:val="none"/>
                      <w:shd w:val="clear" w:color="auto" w:fill="auto"/>
                      <w:lang w:val="en-US" w:eastAsia="zh-CN"/>
                    </w:rPr>
                    <w:t>水</w:t>
                  </w:r>
                  <w:r>
                    <w:rPr>
                      <w:rFonts w:hint="default" w:ascii="Times New Roman" w:hAnsi="Times New Roman" w:eastAsia="宋体" w:cs="Times New Roman"/>
                      <w:b w:val="0"/>
                      <w:color w:val="auto"/>
                      <w:sz w:val="21"/>
                      <w:szCs w:val="21"/>
                      <w:highlight w:val="none"/>
                      <w:shd w:val="clear" w:color="auto" w:fill="auto"/>
                    </w:rPr>
                    <w:t>处理后</w:t>
                  </w:r>
                  <w:r>
                    <w:rPr>
                      <w:rFonts w:hint="eastAsia" w:cs="Times New Roman"/>
                      <w:b w:val="0"/>
                      <w:color w:val="auto"/>
                      <w:sz w:val="21"/>
                      <w:szCs w:val="21"/>
                      <w:highlight w:val="none"/>
                      <w:shd w:val="clear" w:color="auto" w:fill="auto"/>
                      <w:lang w:eastAsia="zh-CN"/>
                    </w:rPr>
                    <w:t>定期清掏用作周边农田施肥，不外排</w:t>
                  </w:r>
                </w:p>
              </w:tc>
              <w:tc>
                <w:tcPr>
                  <w:tcW w:w="455" w:type="pct"/>
                  <w:noWrap w:val="0"/>
                  <w:vAlign w:val="center"/>
                </w:tcPr>
                <w:p w14:paraId="5FC55CAB">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lang w:eastAsia="zh-CN"/>
                    </w:rPr>
                    <w:t>无须设置</w:t>
                  </w:r>
                </w:p>
              </w:tc>
            </w:tr>
            <w:tr w14:paraId="1705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pct"/>
                  <w:noWrap w:val="0"/>
                  <w:vAlign w:val="center"/>
                </w:tcPr>
                <w:p w14:paraId="593F4B86">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地下水环境</w:t>
                  </w:r>
                </w:p>
              </w:tc>
              <w:tc>
                <w:tcPr>
                  <w:tcW w:w="2338" w:type="pct"/>
                  <w:noWrap w:val="0"/>
                  <w:vAlign w:val="center"/>
                </w:tcPr>
                <w:p w14:paraId="1BEFB419">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left"/>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涉及集中式饮用水水源和热水、矿泉水、温泉等特殊地下水资源保护区</w:t>
                  </w:r>
                </w:p>
              </w:tc>
              <w:tc>
                <w:tcPr>
                  <w:tcW w:w="1714" w:type="pct"/>
                  <w:noWrap w:val="0"/>
                  <w:vAlign w:val="center"/>
                </w:tcPr>
                <w:p w14:paraId="3B884BC6">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left"/>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本项目不涉及集中式饮用水水源和热水、矿泉水、温泉等特殊地下水资源保护区</w:t>
                  </w:r>
                </w:p>
              </w:tc>
              <w:tc>
                <w:tcPr>
                  <w:tcW w:w="455" w:type="pct"/>
                  <w:noWrap w:val="0"/>
                  <w:vAlign w:val="center"/>
                </w:tcPr>
                <w:p w14:paraId="43F78FB5">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lang w:eastAsia="zh-CN"/>
                    </w:rPr>
                    <w:t>无须设置</w:t>
                  </w:r>
                </w:p>
              </w:tc>
            </w:tr>
            <w:tr w14:paraId="305B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91" w:type="pct"/>
                  <w:noWrap w:val="0"/>
                  <w:vAlign w:val="center"/>
                </w:tcPr>
                <w:p w14:paraId="1F0242BB">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生态环境</w:t>
                  </w:r>
                </w:p>
              </w:tc>
              <w:tc>
                <w:tcPr>
                  <w:tcW w:w="2338" w:type="pct"/>
                  <w:noWrap w:val="0"/>
                  <w:vAlign w:val="center"/>
                </w:tcPr>
                <w:p w14:paraId="015CE91F">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left"/>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取水口下游500米范围内有重要水生</w:t>
                  </w:r>
                  <w:r>
                    <w:rPr>
                      <w:rFonts w:hint="default" w:ascii="Times New Roman" w:hAnsi="Times New Roman" w:eastAsia="宋体" w:cs="Times New Roman"/>
                      <w:b w:val="0"/>
                      <w:bCs w:val="0"/>
                      <w:color w:val="auto"/>
                      <w:sz w:val="21"/>
                      <w:szCs w:val="21"/>
                      <w:highlight w:val="none"/>
                      <w:shd w:val="clear" w:color="auto" w:fill="auto"/>
                    </w:rPr>
                    <w:t>生物的自然产卵场、索饵场、越冬场和洄</w:t>
                  </w:r>
                  <w:r>
                    <w:rPr>
                      <w:rFonts w:hint="default" w:ascii="Times New Roman" w:hAnsi="Times New Roman" w:eastAsia="宋体" w:cs="Times New Roman"/>
                      <w:b w:val="0"/>
                      <w:color w:val="auto"/>
                      <w:sz w:val="21"/>
                      <w:szCs w:val="21"/>
                      <w:highlight w:val="none"/>
                      <w:shd w:val="clear" w:color="auto" w:fill="auto"/>
                    </w:rPr>
                    <w:t>游通道的新增河道取水的污染类建设项目</w:t>
                  </w:r>
                </w:p>
              </w:tc>
              <w:tc>
                <w:tcPr>
                  <w:tcW w:w="1714" w:type="pct"/>
                  <w:noWrap w:val="0"/>
                  <w:vAlign w:val="center"/>
                </w:tcPr>
                <w:p w14:paraId="5893FA55">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left"/>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本项目不设置取水口</w:t>
                  </w:r>
                </w:p>
              </w:tc>
              <w:tc>
                <w:tcPr>
                  <w:tcW w:w="455" w:type="pct"/>
                  <w:noWrap w:val="0"/>
                  <w:vAlign w:val="center"/>
                </w:tcPr>
                <w:p w14:paraId="6228E9E3">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lang w:eastAsia="zh-CN"/>
                    </w:rPr>
                    <w:t>无须设置</w:t>
                  </w:r>
                </w:p>
              </w:tc>
            </w:tr>
            <w:tr w14:paraId="2532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pct"/>
                  <w:noWrap w:val="0"/>
                  <w:vAlign w:val="center"/>
                </w:tcPr>
                <w:p w14:paraId="4CA25770">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环境风险</w:t>
                  </w:r>
                </w:p>
              </w:tc>
              <w:tc>
                <w:tcPr>
                  <w:tcW w:w="2338" w:type="pct"/>
                  <w:noWrap w:val="0"/>
                  <w:vAlign w:val="center"/>
                </w:tcPr>
                <w:p w14:paraId="1CB1A55C">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left"/>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有毒有害和易燃易爆危险物质存储量超过临界量的建设项目</w:t>
                  </w:r>
                </w:p>
              </w:tc>
              <w:tc>
                <w:tcPr>
                  <w:tcW w:w="1714" w:type="pct"/>
                  <w:noWrap w:val="0"/>
                  <w:vAlign w:val="center"/>
                </w:tcPr>
                <w:p w14:paraId="4A0010D9">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jc w:val="left"/>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项目Q＜1，详见项目环境风险分析章节</w:t>
                  </w:r>
                </w:p>
              </w:tc>
              <w:tc>
                <w:tcPr>
                  <w:tcW w:w="455" w:type="pct"/>
                  <w:noWrap w:val="0"/>
                  <w:vAlign w:val="center"/>
                </w:tcPr>
                <w:p w14:paraId="2D677858">
                  <w:pPr>
                    <w:pStyle w:val="109"/>
                    <w:keepNext w:val="0"/>
                    <w:keepLines w:val="0"/>
                    <w:pageBreakBefore w:val="0"/>
                    <w:widowControl w:val="0"/>
                    <w:kinsoku/>
                    <w:wordWrap/>
                    <w:overflowPunct/>
                    <w:topLinePunct/>
                    <w:autoSpaceDE/>
                    <w:autoSpaceDN/>
                    <w:bidi w:val="0"/>
                    <w:adjustRightInd/>
                    <w:snapToGrid/>
                    <w:spacing w:beforeAutospacing="0" w:afterAutospacing="0" w:line="240" w:lineRule="exact"/>
                    <w:ind w:left="0" w:leftChars="0" w:right="0" w:rightChars="0"/>
                    <w:textAlignment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lang w:eastAsia="zh-CN"/>
                    </w:rPr>
                    <w:t>无须设置</w:t>
                  </w:r>
                </w:p>
              </w:tc>
            </w:tr>
          </w:tbl>
          <w:p w14:paraId="3DBF4D1D">
            <w:pPr>
              <w:keepNext w:val="0"/>
              <w:keepLines w:val="0"/>
              <w:pageBreakBefore w:val="0"/>
              <w:widowControl w:val="0"/>
              <w:kinsoku/>
              <w:wordWrap/>
              <w:overflowPunct/>
              <w:topLinePunct/>
              <w:autoSpaceDE/>
              <w:autoSpaceDN/>
              <w:bidi w:val="0"/>
              <w:adjustRightInd/>
              <w:snapToGrid/>
              <w:spacing w:beforeAutospacing="0" w:afterAutospacing="0" w:line="360" w:lineRule="auto"/>
              <w:ind w:right="0" w:rightChars="0" w:firstLine="420" w:firstLineChars="20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根据《建设项目环境影响报告表编制技术指南（污染影响类）（试行）》：</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土壤、声环境不开展专项评价。地下水原则上不开展专项评价，涉及集中式饮用水水源和热水、矿泉水、温泉等特殊地下水资源保护区的开展地下水专项评价工作。</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本项目建设范围内不涉及集中式饮用水水源和热水、矿泉水、温泉等特殊地下水资源保护区</w:t>
            </w:r>
            <w:r>
              <w:rPr>
                <w:rFonts w:hint="eastAsia" w:cs="Times New Roman"/>
                <w:color w:val="auto"/>
                <w:kern w:val="0"/>
                <w:sz w:val="21"/>
                <w:szCs w:val="21"/>
                <w:lang w:val="en-US" w:eastAsia="zh-CN"/>
              </w:rPr>
              <w:t>；</w:t>
            </w:r>
            <w:r>
              <w:rPr>
                <w:rFonts w:hint="default" w:ascii="Times New Roman" w:hAnsi="Times New Roman" w:eastAsia="宋体" w:cs="Times New Roman"/>
                <w:b w:val="0"/>
                <w:color w:val="auto"/>
                <w:sz w:val="21"/>
                <w:szCs w:val="21"/>
                <w:highlight w:val="none"/>
                <w:shd w:val="clear" w:color="auto" w:fill="auto"/>
              </w:rPr>
              <w:t>排放废气</w:t>
            </w:r>
            <w:r>
              <w:rPr>
                <w:rFonts w:hint="default" w:ascii="Times New Roman" w:hAnsi="Times New Roman" w:eastAsia="宋体" w:cs="Times New Roman"/>
                <w:b w:val="0"/>
                <w:color w:val="auto"/>
                <w:sz w:val="21"/>
                <w:szCs w:val="21"/>
                <w:highlight w:val="none"/>
                <w:shd w:val="clear" w:color="auto" w:fill="auto"/>
                <w:lang w:val="en-US" w:eastAsia="zh-CN"/>
              </w:rPr>
              <w:t>不</w:t>
            </w:r>
            <w:r>
              <w:rPr>
                <w:rFonts w:hint="default" w:ascii="Times New Roman" w:hAnsi="Times New Roman" w:eastAsia="宋体" w:cs="Times New Roman"/>
                <w:b w:val="0"/>
                <w:color w:val="auto"/>
                <w:sz w:val="21"/>
                <w:szCs w:val="21"/>
                <w:highlight w:val="none"/>
                <w:shd w:val="clear" w:color="auto" w:fill="auto"/>
              </w:rPr>
              <w:t>含有毒有害污染物、二噁英、苯并[a]芘、氰化物、氯气</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因此无需开展</w:t>
            </w:r>
            <w:r>
              <w:rPr>
                <w:rFonts w:hint="eastAsia" w:cs="Times New Roman"/>
                <w:color w:val="auto"/>
                <w:kern w:val="0"/>
                <w:sz w:val="21"/>
                <w:szCs w:val="21"/>
                <w:lang w:val="en-US" w:eastAsia="zh-CN"/>
              </w:rPr>
              <w:t>大气、</w:t>
            </w:r>
            <w:r>
              <w:rPr>
                <w:rFonts w:hint="default" w:ascii="Times New Roman" w:hAnsi="Times New Roman" w:eastAsia="宋体" w:cs="Times New Roman"/>
                <w:color w:val="auto"/>
                <w:kern w:val="0"/>
                <w:sz w:val="21"/>
                <w:szCs w:val="21"/>
                <w:lang w:val="en-US" w:eastAsia="zh-CN"/>
              </w:rPr>
              <w:t>土壤、声环境、地下水专项评价。</w:t>
            </w:r>
          </w:p>
          <w:p w14:paraId="3B0C2B76">
            <w:pPr>
              <w:keepNext w:val="0"/>
              <w:keepLines w:val="0"/>
              <w:pageBreakBefore w:val="0"/>
              <w:widowControl w:val="0"/>
              <w:kinsoku/>
              <w:wordWrap/>
              <w:overflowPunct/>
              <w:topLinePunct w:val="0"/>
              <w:bidi w:val="0"/>
              <w:adjustRightInd/>
              <w:snapToGrid/>
              <w:spacing w:line="240" w:lineRule="auto"/>
              <w:ind w:left="0" w:leftChars="0" w:firstLine="420"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eastAsia="宋体" w:cs="Times New Roman"/>
                <w:color w:val="auto"/>
                <w:kern w:val="0"/>
                <w:sz w:val="21"/>
                <w:szCs w:val="21"/>
                <w:lang w:val="en-US" w:eastAsia="zh-CN"/>
              </w:rPr>
              <w:t>综上，本项目无需设置专项评价。</w:t>
            </w:r>
          </w:p>
        </w:tc>
      </w:tr>
      <w:tr w14:paraId="0C345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pct"/>
            <w:vAlign w:val="center"/>
          </w:tcPr>
          <w:p w14:paraId="39FFA226">
            <w:pPr>
              <w:keepNext w:val="0"/>
              <w:keepLines w:val="0"/>
              <w:pageBreakBefore w:val="0"/>
              <w:widowControl w:val="0"/>
              <w:kinsoku/>
              <w:wordWrap/>
              <w:overflowPunct/>
              <w:topLinePunct w:val="0"/>
              <w:bidi w:val="0"/>
              <w:adjustRightInd/>
              <w:snapToGrid/>
              <w:spacing w:line="240" w:lineRule="auto"/>
              <w:ind w:left="0" w:leftChars="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规划情况</w:t>
            </w:r>
          </w:p>
        </w:tc>
        <w:tc>
          <w:tcPr>
            <w:tcW w:w="4341" w:type="pct"/>
            <w:gridSpan w:val="3"/>
            <w:vAlign w:val="center"/>
          </w:tcPr>
          <w:p w14:paraId="3ABC42E8">
            <w:pPr>
              <w:pStyle w:val="107"/>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default" w:ascii="Times New Roman" w:hAnsi="Times New Roman" w:cs="Times New Roman" w:eastAsiaTheme="minorEastAsia"/>
                <w:color w:val="auto"/>
                <w:kern w:val="2"/>
                <w:sz w:val="24"/>
                <w:szCs w:val="24"/>
                <w:lang w:val="zh-CN" w:eastAsia="zh-CN" w:bidi="ar-SA"/>
              </w:rPr>
            </w:pPr>
            <w:r>
              <w:rPr>
                <w:rFonts w:hint="default" w:ascii="Times New Roman" w:hAnsi="Times New Roman" w:cs="Times New Roman" w:eastAsiaTheme="minorEastAsia"/>
                <w:color w:val="auto"/>
                <w:kern w:val="2"/>
                <w:sz w:val="24"/>
                <w:szCs w:val="24"/>
                <w:lang w:val="zh-CN" w:eastAsia="zh-CN" w:bidi="ar-SA"/>
              </w:rPr>
              <w:t xml:space="preserve">规划名称：金寨县国土空间总体规划（2021—2035 年） </w:t>
            </w:r>
          </w:p>
          <w:p w14:paraId="4C7D0B0B">
            <w:pPr>
              <w:pStyle w:val="107"/>
              <w:keepNext w:val="0"/>
              <w:keepLines w:val="0"/>
              <w:pageBreakBefore w:val="0"/>
              <w:widowControl w:val="0"/>
              <w:kinsoku/>
              <w:wordWrap/>
              <w:overflowPunct/>
              <w:topLinePunct w:val="0"/>
              <w:autoSpaceDE/>
              <w:autoSpaceDN/>
              <w:bidi w:val="0"/>
              <w:adjustRightInd/>
              <w:snapToGrid/>
              <w:spacing w:line="360" w:lineRule="auto"/>
              <w:ind w:left="0" w:leftChars="0" w:right="0"/>
              <w:jc w:val="left"/>
              <w:textAlignment w:val="auto"/>
              <w:rPr>
                <w:rFonts w:hint="default" w:ascii="Times New Roman" w:hAnsi="Times New Roman" w:cs="Times New Roman" w:eastAsiaTheme="minorEastAsia"/>
                <w:color w:val="auto"/>
                <w:kern w:val="2"/>
                <w:sz w:val="24"/>
                <w:szCs w:val="24"/>
                <w:lang w:val="zh-CN" w:eastAsia="zh-CN" w:bidi="ar-SA"/>
              </w:rPr>
            </w:pPr>
            <w:r>
              <w:rPr>
                <w:rFonts w:hint="default" w:ascii="Times New Roman" w:hAnsi="Times New Roman" w:cs="Times New Roman" w:eastAsiaTheme="minorEastAsia"/>
                <w:color w:val="auto"/>
                <w:kern w:val="2"/>
                <w:sz w:val="24"/>
                <w:szCs w:val="24"/>
                <w:lang w:val="zh-CN" w:eastAsia="zh-CN" w:bidi="ar-SA"/>
              </w:rPr>
              <w:t>审批机关：六安市人民政府</w:t>
            </w:r>
          </w:p>
          <w:p w14:paraId="1ADECADB">
            <w:pPr>
              <w:keepNext w:val="0"/>
              <w:keepLines w:val="0"/>
              <w:pageBreakBefore w:val="0"/>
              <w:widowControl w:val="0"/>
              <w:kinsoku/>
              <w:wordWrap/>
              <w:overflowPunct/>
              <w:topLinePunct w:val="0"/>
              <w:bidi w:val="0"/>
              <w:adjustRightInd/>
              <w:snapToGrid/>
              <w:spacing w:line="360" w:lineRule="auto"/>
              <w:ind w:left="0" w:leftChars="0"/>
              <w:jc w:val="left"/>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zh-CN" w:eastAsia="zh-CN" w:bidi="ar-SA"/>
              </w:rPr>
              <w:t>审批</w:t>
            </w:r>
            <w:r>
              <w:rPr>
                <w:rFonts w:hint="default" w:ascii="Times New Roman" w:hAnsi="Times New Roman" w:cs="Times New Roman" w:eastAsiaTheme="minorEastAsia"/>
                <w:color w:val="auto"/>
                <w:kern w:val="2"/>
                <w:sz w:val="24"/>
                <w:szCs w:val="24"/>
                <w:lang w:val="en-US" w:eastAsia="zh-CN" w:bidi="ar-SA"/>
              </w:rPr>
              <w:t>文件及</w:t>
            </w:r>
            <w:r>
              <w:rPr>
                <w:rFonts w:hint="default" w:ascii="Times New Roman" w:hAnsi="Times New Roman" w:cs="Times New Roman" w:eastAsiaTheme="minorEastAsia"/>
                <w:color w:val="auto"/>
                <w:kern w:val="2"/>
                <w:sz w:val="24"/>
                <w:szCs w:val="24"/>
                <w:lang w:val="zh-CN" w:eastAsia="zh-CN" w:bidi="ar-SA"/>
              </w:rPr>
              <w:t>文号：六安市人民政府关于《金寨县国土空间总体规划（2021</w:t>
            </w:r>
            <w:r>
              <w:rPr>
                <w:rFonts w:hint="default" w:ascii="Times New Roman" w:hAnsi="Times New Roman" w:cs="Times New Roman" w:eastAsiaTheme="minorEastAsia"/>
                <w:color w:val="auto"/>
                <w:kern w:val="2"/>
                <w:sz w:val="24"/>
                <w:szCs w:val="24"/>
                <w:lang w:val="en-US" w:eastAsia="zh-CN" w:bidi="ar-SA"/>
              </w:rPr>
              <w:t xml:space="preserve"> </w:t>
            </w:r>
            <w:r>
              <w:rPr>
                <w:rFonts w:hint="default" w:ascii="Times New Roman" w:hAnsi="Times New Roman" w:cs="Times New Roman" w:eastAsiaTheme="minorEastAsia"/>
                <w:color w:val="auto"/>
                <w:kern w:val="2"/>
                <w:sz w:val="24"/>
                <w:szCs w:val="24"/>
                <w:lang w:val="zh-CN" w:eastAsia="zh-CN" w:bidi="ar-SA"/>
              </w:rPr>
              <w:t>-2035年）》的批复</w:t>
            </w:r>
            <w:r>
              <w:rPr>
                <w:rFonts w:hint="default" w:ascii="Times New Roman" w:hAnsi="Times New Roman" w:cs="Times New Roman" w:eastAsiaTheme="minorEastAsia"/>
                <w:color w:val="auto"/>
                <w:kern w:val="2"/>
                <w:sz w:val="24"/>
                <w:szCs w:val="24"/>
                <w:lang w:val="en-US" w:eastAsia="zh-CN" w:bidi="ar-SA"/>
              </w:rPr>
              <w:t>（六政秘〔2024〕71 号）</w:t>
            </w:r>
          </w:p>
          <w:p w14:paraId="03CB263A">
            <w:pPr>
              <w:pStyle w:val="13"/>
              <w:rPr>
                <w:rFonts w:hint="default" w:ascii="Times New Roman" w:hAnsi="Times New Roman" w:cs="Times New Roman" w:eastAsiaTheme="minorEastAsia"/>
                <w:color w:val="auto"/>
                <w:kern w:val="2"/>
                <w:sz w:val="24"/>
                <w:szCs w:val="24"/>
                <w:lang w:val="zh-CN" w:eastAsia="zh-CN" w:bidi="ar-SA"/>
              </w:rPr>
            </w:pPr>
            <w:r>
              <w:rPr>
                <w:rFonts w:hint="default" w:ascii="Times New Roman" w:hAnsi="Times New Roman" w:cs="Times New Roman" w:eastAsiaTheme="minorEastAsia"/>
                <w:color w:val="auto"/>
                <w:kern w:val="2"/>
                <w:sz w:val="24"/>
                <w:szCs w:val="24"/>
                <w:lang w:val="zh-CN" w:eastAsia="zh-CN" w:bidi="ar-SA"/>
              </w:rPr>
              <w:t>规划名称：</w:t>
            </w:r>
            <w:r>
              <w:rPr>
                <w:rFonts w:hint="eastAsia" w:cs="Times New Roman" w:eastAsiaTheme="minorEastAsia"/>
                <w:color w:val="auto"/>
                <w:kern w:val="2"/>
                <w:sz w:val="24"/>
                <w:szCs w:val="24"/>
                <w:lang w:val="zh-CN" w:eastAsia="zh-CN" w:bidi="ar-SA"/>
              </w:rPr>
              <w:t>《</w:t>
            </w:r>
            <w:r>
              <w:rPr>
                <w:rFonts w:hint="default" w:ascii="Times New Roman" w:hAnsi="Times New Roman" w:cs="Times New Roman" w:eastAsiaTheme="minorEastAsia"/>
                <w:color w:val="auto"/>
                <w:kern w:val="2"/>
                <w:sz w:val="24"/>
                <w:szCs w:val="24"/>
                <w:lang w:val="zh-CN" w:eastAsia="zh-CN" w:bidi="ar-SA"/>
              </w:rPr>
              <w:t>青山镇国土空间总体规划（2021-2035年）》</w:t>
            </w:r>
          </w:p>
          <w:p w14:paraId="5FEC9D91">
            <w:pPr>
              <w:pStyle w:val="13"/>
              <w:rPr>
                <w:rFonts w:hint="eastAsia" w:cs="Times New Roman" w:eastAsiaTheme="minorEastAsia"/>
                <w:color w:val="auto"/>
                <w:kern w:val="2"/>
                <w:sz w:val="24"/>
                <w:szCs w:val="24"/>
                <w:lang w:val="zh-CN" w:eastAsia="zh-CN" w:bidi="ar-SA"/>
              </w:rPr>
            </w:pPr>
            <w:r>
              <w:rPr>
                <w:rFonts w:hint="default" w:ascii="Times New Roman" w:hAnsi="Times New Roman" w:cs="Times New Roman" w:eastAsiaTheme="minorEastAsia"/>
                <w:color w:val="auto"/>
                <w:kern w:val="2"/>
                <w:sz w:val="24"/>
                <w:szCs w:val="24"/>
                <w:lang w:val="zh-CN" w:eastAsia="zh-CN" w:bidi="ar-SA"/>
              </w:rPr>
              <w:t>审批机关：</w:t>
            </w:r>
            <w:r>
              <w:rPr>
                <w:rFonts w:hint="eastAsia" w:cs="Times New Roman" w:eastAsiaTheme="minorEastAsia"/>
                <w:color w:val="auto"/>
                <w:kern w:val="2"/>
                <w:sz w:val="24"/>
                <w:szCs w:val="24"/>
                <w:lang w:val="zh-CN" w:eastAsia="zh-CN" w:bidi="ar-SA"/>
              </w:rPr>
              <w:t>金寨县人民政府</w:t>
            </w:r>
          </w:p>
          <w:p w14:paraId="70E255A5">
            <w:pPr>
              <w:rPr>
                <w:rFonts w:hint="default" w:ascii="Times New Roman" w:hAnsi="Times New Roman" w:cs="Times New Roman" w:eastAsiaTheme="minorEastAsia"/>
                <w:color w:val="auto"/>
                <w:kern w:val="2"/>
                <w:sz w:val="24"/>
                <w:szCs w:val="24"/>
                <w:lang w:val="zh-CN" w:eastAsia="zh-CN" w:bidi="ar-SA"/>
              </w:rPr>
            </w:pPr>
            <w:r>
              <w:rPr>
                <w:rFonts w:hint="default" w:ascii="Times New Roman" w:hAnsi="Times New Roman" w:cs="Times New Roman" w:eastAsiaTheme="minorEastAsia"/>
                <w:color w:val="auto"/>
                <w:kern w:val="2"/>
                <w:sz w:val="24"/>
                <w:szCs w:val="24"/>
                <w:lang w:val="zh-CN" w:eastAsia="zh-CN" w:bidi="ar-SA"/>
              </w:rPr>
              <w:t>审批</w:t>
            </w:r>
            <w:r>
              <w:rPr>
                <w:rFonts w:hint="default" w:ascii="Times New Roman" w:hAnsi="Times New Roman" w:cs="Times New Roman" w:eastAsiaTheme="minorEastAsia"/>
                <w:color w:val="auto"/>
                <w:kern w:val="2"/>
                <w:sz w:val="24"/>
                <w:szCs w:val="24"/>
                <w:lang w:val="en-US" w:eastAsia="zh-CN" w:bidi="ar-SA"/>
              </w:rPr>
              <w:t>文件及</w:t>
            </w:r>
            <w:r>
              <w:rPr>
                <w:rFonts w:hint="default" w:ascii="Times New Roman" w:hAnsi="Times New Roman" w:cs="Times New Roman" w:eastAsiaTheme="minorEastAsia"/>
                <w:color w:val="auto"/>
                <w:kern w:val="2"/>
                <w:sz w:val="24"/>
                <w:szCs w:val="24"/>
                <w:lang w:val="zh-CN" w:eastAsia="zh-CN" w:bidi="ar-SA"/>
              </w:rPr>
              <w:t>文号：金寨县人民政府关于《青山镇国土空间总体规划（2021-2035年）》的批复</w:t>
            </w:r>
          </w:p>
          <w:p w14:paraId="1F1E6A5E">
            <w:pPr>
              <w:rPr>
                <w:rFonts w:hint="default"/>
                <w:color w:val="auto"/>
                <w:lang w:val="en-US" w:eastAsia="zh-CN"/>
              </w:rPr>
            </w:pPr>
          </w:p>
        </w:tc>
      </w:tr>
      <w:tr w14:paraId="1AC68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pct"/>
            <w:vAlign w:val="center"/>
          </w:tcPr>
          <w:p w14:paraId="38BD88A5">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规划环境影响评价情况</w:t>
            </w:r>
          </w:p>
        </w:tc>
        <w:tc>
          <w:tcPr>
            <w:tcW w:w="4341" w:type="pct"/>
            <w:gridSpan w:val="3"/>
            <w:vAlign w:val="center"/>
          </w:tcPr>
          <w:p w14:paraId="4453F8AB">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val="en-US" w:eastAsia="zh-CN"/>
              </w:rPr>
              <w:t>无</w:t>
            </w:r>
          </w:p>
        </w:tc>
      </w:tr>
      <w:tr w14:paraId="0C977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pct"/>
            <w:vAlign w:val="center"/>
          </w:tcPr>
          <w:p w14:paraId="31F9A721">
            <w:pPr>
              <w:keepNext w:val="0"/>
              <w:keepLines w:val="0"/>
              <w:pageBreakBefore w:val="0"/>
              <w:widowControl w:val="0"/>
              <w:kinsoku/>
              <w:wordWrap/>
              <w:overflowPunct/>
              <w:autoSpaceDE w:val="0"/>
              <w:autoSpaceDN w:val="0"/>
              <w:bidi w:val="0"/>
              <w:adjustRightInd/>
              <w:snapToGrid/>
              <w:spacing w:line="240" w:lineRule="auto"/>
              <w:ind w:left="0" w:leftChars="0"/>
              <w:jc w:val="center"/>
              <w:textAlignment w:val="auto"/>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规划及规划环境影响评价符合性分析</w:t>
            </w:r>
          </w:p>
        </w:tc>
        <w:tc>
          <w:tcPr>
            <w:tcW w:w="4341" w:type="pct"/>
            <w:gridSpan w:val="3"/>
            <w:vAlign w:val="center"/>
          </w:tcPr>
          <w:p w14:paraId="557D154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1、与</w:t>
            </w:r>
            <w:r>
              <w:rPr>
                <w:rFonts w:hint="default" w:ascii="Times New Roman" w:hAnsi="Times New Roman" w:cs="Times New Roman" w:eastAsiaTheme="minorEastAsia"/>
                <w:b/>
                <w:color w:val="auto"/>
                <w:kern w:val="0"/>
                <w:sz w:val="24"/>
                <w:lang w:val="zh-CN" w:eastAsia="zh-CN"/>
              </w:rPr>
              <w:t>金寨县国土空间</w:t>
            </w:r>
            <w:r>
              <w:rPr>
                <w:rFonts w:hint="default" w:ascii="Times New Roman" w:hAnsi="Times New Roman" w:cs="Times New Roman" w:eastAsiaTheme="minorEastAsia"/>
                <w:b/>
                <w:color w:val="auto"/>
                <w:kern w:val="0"/>
                <w:sz w:val="24"/>
              </w:rPr>
              <w:t>总体规划相符性分析</w:t>
            </w:r>
          </w:p>
          <w:p w14:paraId="2676617B">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hint="default" w:ascii="Times New Roman" w:hAnsi="Times New Roman" w:cs="Times New Roman" w:eastAsiaTheme="minorEastAsia"/>
                <w:bCs/>
                <w:color w:val="auto"/>
                <w:kern w:val="0"/>
                <w:sz w:val="24"/>
                <w:lang w:val="en-US" w:eastAsia="zh-CN"/>
              </w:rPr>
            </w:pPr>
            <w:r>
              <w:rPr>
                <w:rFonts w:hint="default" w:ascii="Times New Roman" w:hAnsi="Times New Roman" w:cs="Times New Roman" w:eastAsiaTheme="minorEastAsia"/>
                <w:bCs/>
                <w:color w:val="auto"/>
                <w:kern w:val="0"/>
                <w:sz w:val="24"/>
              </w:rPr>
              <w:t>根据《</w:t>
            </w:r>
            <w:r>
              <w:rPr>
                <w:rFonts w:hint="default" w:ascii="Times New Roman" w:hAnsi="Times New Roman" w:cs="Times New Roman" w:eastAsiaTheme="minorEastAsia"/>
                <w:color w:val="auto"/>
                <w:kern w:val="2"/>
                <w:sz w:val="24"/>
                <w:szCs w:val="24"/>
                <w:lang w:val="zh-CN" w:eastAsia="zh-CN" w:bidi="ar-SA"/>
              </w:rPr>
              <w:t>金寨县国土空间总体规划</w:t>
            </w:r>
            <w:r>
              <w:rPr>
                <w:rFonts w:hint="default" w:ascii="Times New Roman" w:hAnsi="Times New Roman" w:cs="Times New Roman" w:eastAsiaTheme="minorEastAsia"/>
                <w:bCs/>
                <w:color w:val="auto"/>
                <w:kern w:val="0"/>
                <w:sz w:val="24"/>
              </w:rPr>
              <w:t>》（</w:t>
            </w:r>
            <w:r>
              <w:rPr>
                <w:rFonts w:hint="default" w:ascii="Times New Roman" w:hAnsi="Times New Roman" w:cs="Times New Roman" w:eastAsiaTheme="minorEastAsia"/>
                <w:bCs/>
                <w:color w:val="auto"/>
                <w:kern w:val="0"/>
                <w:sz w:val="24"/>
                <w:lang w:val="en-US" w:eastAsia="zh-CN"/>
              </w:rPr>
              <w:t>2021</w:t>
            </w:r>
            <w:r>
              <w:rPr>
                <w:rFonts w:hint="default" w:ascii="Times New Roman" w:hAnsi="Times New Roman" w:cs="Times New Roman" w:eastAsiaTheme="minorEastAsia"/>
                <w:bCs/>
                <w:color w:val="auto"/>
                <w:kern w:val="0"/>
                <w:sz w:val="24"/>
              </w:rPr>
              <w:t>-203</w:t>
            </w:r>
            <w:r>
              <w:rPr>
                <w:rFonts w:hint="default" w:ascii="Times New Roman" w:hAnsi="Times New Roman" w:cs="Times New Roman" w:eastAsiaTheme="minorEastAsia"/>
                <w:bCs/>
                <w:color w:val="auto"/>
                <w:kern w:val="0"/>
                <w:sz w:val="24"/>
                <w:lang w:val="en-US" w:eastAsia="zh-CN"/>
              </w:rPr>
              <w:t>5</w:t>
            </w:r>
            <w:r>
              <w:rPr>
                <w:rFonts w:hint="default" w:ascii="Times New Roman" w:hAnsi="Times New Roman" w:cs="Times New Roman" w:eastAsiaTheme="minorEastAsia"/>
                <w:bCs/>
                <w:color w:val="auto"/>
                <w:kern w:val="0"/>
                <w:sz w:val="24"/>
              </w:rPr>
              <w:t>）</w:t>
            </w:r>
            <w:r>
              <w:rPr>
                <w:rFonts w:hint="default" w:ascii="Times New Roman" w:hAnsi="Times New Roman" w:cs="Times New Roman" w:eastAsiaTheme="minorEastAsia"/>
                <w:bCs/>
                <w:color w:val="auto"/>
                <w:kern w:val="0"/>
                <w:sz w:val="24"/>
                <w:lang w:eastAsia="zh-CN"/>
              </w:rPr>
              <w:t>中优化产业空间布局。保障新能源及清洁能源产业基地、电子信息产业基地、高端装备制造产业基地、农产品加工暨生物医药大健康产业基地、纺织服装产业基地和建材及新材料产业基地等六大产业基地建设的空间需求，保障钼基新材料深加工产业园建设空间需求。依托现有项目和企业，加大招商引资力度，支持建设培育绿色照明制造产业集群、磁性材料加工产业集群、电动车(汽车)零部件集群、机械部件加工集群、农产品深加工产业集群、新材料及包装材料产业集群、绿色建材产业集群、节能环保产业集群等八大产业集群。</w:t>
            </w:r>
            <w:r>
              <w:rPr>
                <w:rFonts w:hint="default" w:ascii="Times New Roman" w:hAnsi="Times New Roman" w:cs="Times New Roman" w:eastAsiaTheme="minorEastAsia"/>
                <w:bCs/>
                <w:color w:val="auto"/>
                <w:kern w:val="0"/>
                <w:sz w:val="24"/>
                <w:lang w:val="en-US" w:eastAsia="zh-CN"/>
              </w:rPr>
              <w:t xml:space="preserve"> </w:t>
            </w:r>
          </w:p>
          <w:p w14:paraId="08EB9D6E">
            <w:pPr>
              <w:keepNext w:val="0"/>
              <w:keepLines w:val="0"/>
              <w:pageBreakBefore w:val="0"/>
              <w:widowControl w:val="0"/>
              <w:kinsoku/>
              <w:wordWrap/>
              <w:overflowPunct/>
              <w:bidi w:val="0"/>
              <w:adjustRightInd/>
              <w:snapToGrid/>
              <w:spacing w:line="360" w:lineRule="auto"/>
              <w:ind w:left="0" w:leftChars="0" w:firstLine="480"/>
              <w:textAlignment w:val="auto"/>
              <w:rPr>
                <w:rFonts w:hint="default" w:ascii="Times New Roman" w:hAnsi="Times New Roman" w:cs="Times New Roman" w:eastAsiaTheme="minorEastAsia"/>
                <w:bCs/>
                <w:color w:val="auto"/>
                <w:kern w:val="0"/>
                <w:sz w:val="24"/>
                <w:lang w:val="en-US" w:eastAsia="zh-CN"/>
              </w:rPr>
            </w:pPr>
            <w:r>
              <w:rPr>
                <w:rFonts w:hint="default" w:ascii="Times New Roman" w:hAnsi="Times New Roman" w:cs="Times New Roman" w:eastAsiaTheme="minorEastAsia"/>
                <w:bCs/>
                <w:color w:val="auto"/>
                <w:kern w:val="0"/>
                <w:sz w:val="24"/>
                <w:lang w:val="en-US" w:eastAsia="zh-CN"/>
              </w:rPr>
              <w:t>划定工业用地控制线。按照"保规模、促集聚、优布局、强管控"原则划定工业用地控制线，保障产业长远发展。</w:t>
            </w:r>
          </w:p>
          <w:p w14:paraId="74A524F3">
            <w:pPr>
              <w:keepNext w:val="0"/>
              <w:keepLines w:val="0"/>
              <w:pageBreakBefore w:val="0"/>
              <w:widowControl w:val="0"/>
              <w:kinsoku/>
              <w:wordWrap/>
              <w:overflowPunct/>
              <w:bidi w:val="0"/>
              <w:adjustRightInd/>
              <w:snapToGrid/>
              <w:spacing w:line="360" w:lineRule="auto"/>
              <w:ind w:left="0" w:leftChars="0" w:firstLine="480"/>
              <w:textAlignment w:val="auto"/>
              <w:rPr>
                <w:rFonts w:hint="default" w:ascii="Times New Roman" w:hAnsi="Times New Roman" w:cs="Times New Roman" w:eastAsiaTheme="minorEastAsia"/>
                <w:bCs/>
                <w:color w:val="auto"/>
                <w:kern w:val="0"/>
                <w:sz w:val="24"/>
              </w:rPr>
            </w:pPr>
            <w:r>
              <w:rPr>
                <w:rFonts w:hint="default" w:ascii="Times New Roman" w:hAnsi="Times New Roman" w:cs="Times New Roman" w:eastAsiaTheme="minorEastAsia"/>
                <w:bCs/>
                <w:color w:val="auto"/>
                <w:kern w:val="0"/>
                <w:sz w:val="24"/>
              </w:rPr>
              <w:t>对照《国民经济行业分类（GB/T4754-2017）》（2019年修改版），行业类别属于</w:t>
            </w:r>
            <w:r>
              <w:rPr>
                <w:rFonts w:hint="default" w:ascii="Times New Roman" w:hAnsi="Times New Roman" w:cs="Times New Roman" w:eastAsiaTheme="minorEastAsia"/>
                <w:color w:val="auto"/>
                <w:sz w:val="24"/>
                <w:lang w:eastAsia="zh-CN"/>
              </w:rPr>
              <w:t>C</w:t>
            </w:r>
            <w:r>
              <w:rPr>
                <w:rFonts w:hint="default" w:ascii="Times New Roman" w:hAnsi="Times New Roman" w:cs="Times New Roman" w:eastAsiaTheme="minorEastAsia"/>
                <w:color w:val="auto"/>
                <w:sz w:val="24"/>
                <w:lang w:val="en-US" w:eastAsia="zh-CN"/>
              </w:rPr>
              <w:t>2041 竹制品制造</w:t>
            </w:r>
            <w:r>
              <w:rPr>
                <w:rFonts w:hint="default" w:ascii="Times New Roman" w:hAnsi="Times New Roman" w:cs="Times New Roman" w:eastAsiaTheme="minorEastAsia"/>
                <w:bCs/>
                <w:color w:val="auto"/>
                <w:kern w:val="0"/>
                <w:sz w:val="24"/>
              </w:rPr>
              <w:t>，属于</w:t>
            </w:r>
            <w:r>
              <w:rPr>
                <w:rFonts w:hint="default" w:ascii="Times New Roman" w:hAnsi="Times New Roman" w:cs="Times New Roman" w:eastAsiaTheme="minorEastAsia"/>
                <w:bCs/>
                <w:color w:val="auto"/>
                <w:kern w:val="0"/>
                <w:sz w:val="24"/>
                <w:lang w:eastAsia="zh-CN"/>
              </w:rPr>
              <w:t>节能环保产业。同时，项目位于</w:t>
            </w:r>
            <w:r>
              <w:rPr>
                <w:rFonts w:hint="default" w:ascii="Times New Roman" w:hAnsi="Times New Roman" w:cs="Times New Roman" w:eastAsiaTheme="minorEastAsia"/>
                <w:color w:val="auto"/>
                <w:sz w:val="24"/>
                <w:szCs w:val="32"/>
                <w:lang w:val="en-US" w:eastAsia="zh-CN"/>
              </w:rPr>
              <w:t>金寨县青山镇毛竹工业园，用地属于工业用地，</w:t>
            </w:r>
            <w:r>
              <w:rPr>
                <w:rFonts w:hint="default" w:ascii="Times New Roman" w:hAnsi="Times New Roman" w:cs="Times New Roman" w:eastAsiaTheme="minorEastAsia"/>
                <w:bCs/>
                <w:color w:val="auto"/>
                <w:kern w:val="0"/>
                <w:sz w:val="24"/>
              </w:rPr>
              <w:t>与《</w:t>
            </w:r>
            <w:r>
              <w:rPr>
                <w:rFonts w:hint="default" w:ascii="Times New Roman" w:hAnsi="Times New Roman" w:cs="Times New Roman" w:eastAsiaTheme="minorEastAsia"/>
                <w:color w:val="auto"/>
                <w:kern w:val="2"/>
                <w:sz w:val="24"/>
                <w:szCs w:val="24"/>
                <w:lang w:val="zh-CN" w:eastAsia="zh-CN" w:bidi="ar-SA"/>
              </w:rPr>
              <w:t>金寨县国土空间总体规划</w:t>
            </w:r>
            <w:r>
              <w:rPr>
                <w:rFonts w:hint="default" w:ascii="Times New Roman" w:hAnsi="Times New Roman" w:cs="Times New Roman" w:eastAsiaTheme="minorEastAsia"/>
                <w:bCs/>
                <w:color w:val="auto"/>
                <w:kern w:val="0"/>
                <w:sz w:val="24"/>
              </w:rPr>
              <w:t>》（</w:t>
            </w:r>
            <w:r>
              <w:rPr>
                <w:rFonts w:hint="default" w:ascii="Times New Roman" w:hAnsi="Times New Roman" w:cs="Times New Roman" w:eastAsiaTheme="minorEastAsia"/>
                <w:bCs/>
                <w:color w:val="auto"/>
                <w:kern w:val="0"/>
                <w:sz w:val="24"/>
                <w:lang w:val="en-US" w:eastAsia="zh-CN"/>
              </w:rPr>
              <w:t>2021</w:t>
            </w:r>
            <w:r>
              <w:rPr>
                <w:rFonts w:hint="default" w:ascii="Times New Roman" w:hAnsi="Times New Roman" w:cs="Times New Roman" w:eastAsiaTheme="minorEastAsia"/>
                <w:bCs/>
                <w:color w:val="auto"/>
                <w:kern w:val="0"/>
                <w:sz w:val="24"/>
              </w:rPr>
              <w:t>-203</w:t>
            </w:r>
            <w:r>
              <w:rPr>
                <w:rFonts w:hint="default" w:ascii="Times New Roman" w:hAnsi="Times New Roman" w:cs="Times New Roman" w:eastAsiaTheme="minorEastAsia"/>
                <w:bCs/>
                <w:color w:val="auto"/>
                <w:kern w:val="0"/>
                <w:sz w:val="24"/>
                <w:lang w:val="en-US" w:eastAsia="zh-CN"/>
              </w:rPr>
              <w:t>5</w:t>
            </w:r>
            <w:r>
              <w:rPr>
                <w:rFonts w:hint="default" w:ascii="Times New Roman" w:hAnsi="Times New Roman" w:cs="Times New Roman" w:eastAsiaTheme="minorEastAsia"/>
                <w:bCs/>
                <w:color w:val="auto"/>
                <w:kern w:val="0"/>
                <w:sz w:val="24"/>
              </w:rPr>
              <w:t>）相符。</w:t>
            </w:r>
          </w:p>
          <w:p w14:paraId="4F658919">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eastAsiaTheme="minorEastAsia"/>
                <w:b/>
                <w:color w:val="auto"/>
                <w:kern w:val="0"/>
                <w:sz w:val="24"/>
              </w:rPr>
            </w:pPr>
            <w:r>
              <w:rPr>
                <w:rFonts w:hint="eastAsia" w:cs="Times New Roman" w:eastAsiaTheme="minorEastAsia"/>
                <w:b/>
                <w:color w:val="auto"/>
                <w:kern w:val="0"/>
                <w:sz w:val="24"/>
                <w:lang w:val="en-US" w:eastAsia="zh-CN"/>
              </w:rPr>
              <w:t>2</w:t>
            </w:r>
            <w:r>
              <w:rPr>
                <w:rFonts w:hint="default" w:ascii="Times New Roman" w:hAnsi="Times New Roman" w:cs="Times New Roman" w:eastAsiaTheme="minorEastAsia"/>
                <w:b/>
                <w:color w:val="auto"/>
                <w:kern w:val="0"/>
                <w:sz w:val="24"/>
              </w:rPr>
              <w:t>、与</w:t>
            </w:r>
            <w:r>
              <w:rPr>
                <w:rFonts w:hint="default" w:ascii="Times New Roman" w:hAnsi="Times New Roman" w:cs="Times New Roman" w:eastAsiaTheme="minorEastAsia"/>
                <w:b/>
                <w:color w:val="auto"/>
                <w:kern w:val="0"/>
                <w:sz w:val="24"/>
                <w:lang w:val="zh-CN" w:eastAsia="zh-CN"/>
              </w:rPr>
              <w:t>青山镇国土空间总体规划</w:t>
            </w:r>
            <w:r>
              <w:rPr>
                <w:rFonts w:hint="default" w:ascii="Times New Roman" w:hAnsi="Times New Roman" w:cs="Times New Roman" w:eastAsiaTheme="minorEastAsia"/>
                <w:b/>
                <w:color w:val="auto"/>
                <w:kern w:val="0"/>
                <w:sz w:val="24"/>
              </w:rPr>
              <w:t>相符性分析</w:t>
            </w:r>
          </w:p>
          <w:p w14:paraId="3A045292">
            <w:pPr>
              <w:pStyle w:val="13"/>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cs="Times New Roman" w:eastAsiaTheme="minorEastAsia"/>
                <w:color w:val="auto"/>
                <w:kern w:val="2"/>
                <w:sz w:val="24"/>
                <w:szCs w:val="32"/>
                <w:lang w:val="en-US" w:eastAsia="zh-CN" w:bidi="ar-SA"/>
              </w:rPr>
            </w:pPr>
            <w:r>
              <w:rPr>
                <w:rFonts w:hint="default" w:ascii="Times New Roman" w:hAnsi="Times New Roman" w:cs="Times New Roman" w:eastAsiaTheme="minorEastAsia"/>
                <w:color w:val="auto"/>
                <w:kern w:val="2"/>
                <w:sz w:val="24"/>
                <w:szCs w:val="32"/>
                <w:lang w:val="en-US" w:eastAsia="zh-CN" w:bidi="ar-SA"/>
              </w:rPr>
              <w:t>根据</w:t>
            </w:r>
            <w:r>
              <w:rPr>
                <w:rFonts w:hint="default" w:ascii="Times New Roman" w:hAnsi="Times New Roman" w:cs="Times New Roman" w:eastAsiaTheme="minorEastAsia"/>
                <w:color w:val="auto"/>
                <w:kern w:val="2"/>
                <w:sz w:val="24"/>
                <w:szCs w:val="32"/>
                <w:lang w:val="zh-CN" w:eastAsia="zh-CN" w:bidi="ar-SA"/>
              </w:rPr>
              <w:t>《青山镇国土空间总体规划（2021-2035年）》</w:t>
            </w:r>
            <w:r>
              <w:rPr>
                <w:rFonts w:hint="default" w:ascii="Times New Roman" w:hAnsi="Times New Roman" w:cs="Times New Roman" w:eastAsiaTheme="minorEastAsia"/>
                <w:color w:val="auto"/>
                <w:kern w:val="2"/>
                <w:sz w:val="24"/>
                <w:szCs w:val="32"/>
                <w:lang w:val="en-US" w:eastAsia="zh-CN" w:bidi="ar-SA"/>
              </w:rPr>
              <w:t>中</w:t>
            </w:r>
            <w:r>
              <w:rPr>
                <w:rFonts w:hint="eastAsia" w:ascii="Times New Roman" w:hAnsi="Times New Roman" w:cs="Times New Roman" w:eastAsiaTheme="minorEastAsia"/>
                <w:color w:val="auto"/>
                <w:kern w:val="2"/>
                <w:sz w:val="24"/>
                <w:szCs w:val="32"/>
                <w:lang w:val="en-US" w:eastAsia="zh-CN" w:bidi="ar-SA"/>
              </w:rPr>
              <w:t>内容可知：</w:t>
            </w:r>
          </w:p>
          <w:p w14:paraId="190D8326">
            <w:pPr>
              <w:pStyle w:val="13"/>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eastAsiaTheme="minorEastAsia"/>
                <w:color w:val="auto"/>
                <w:kern w:val="2"/>
                <w:sz w:val="24"/>
                <w:szCs w:val="32"/>
                <w:lang w:val="en-US" w:eastAsia="zh-CN" w:bidi="ar-SA"/>
              </w:rPr>
            </w:pPr>
            <w:r>
              <w:rPr>
                <w:rFonts w:hint="default" w:ascii="Times New Roman" w:hAnsi="Times New Roman" w:cs="Times New Roman" w:eastAsiaTheme="minorEastAsia"/>
                <w:color w:val="auto"/>
                <w:kern w:val="2"/>
                <w:sz w:val="24"/>
                <w:szCs w:val="32"/>
                <w:lang w:val="en-US" w:eastAsia="zh-CN" w:bidi="ar-SA"/>
              </w:rPr>
              <w:t xml:space="preserve">截至2021年，青山镇生产总值197亿元，一二三产稳步发展，第三产业发展势头显著。其中，第一产业主要有水稻、玉米、小麦、油菜等传统农作物；茶叶、毛竹、中药材、油茶、山核桃、无公害果蔬等特色农作物；黑毛猪、羊、鸡、鸭、鹅等家禽养殖。第二产业主要有竹制品加工厂、茶叶加工厂、豆腐加工厂、手工艺加工厂。第三产业优势突出，主要有十里溪景区、抱儿山茶海、映山蓝谷、竹影南山等。 </w:t>
            </w:r>
          </w:p>
          <w:p w14:paraId="6D768A8E">
            <w:pPr>
              <w:pStyle w:val="13"/>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cs="Times New Roman" w:eastAsiaTheme="minorEastAsia"/>
                <w:color w:val="auto"/>
                <w:kern w:val="2"/>
                <w:sz w:val="24"/>
                <w:szCs w:val="32"/>
                <w:lang w:val="en-US" w:eastAsia="zh-CN" w:bidi="ar-SA"/>
              </w:rPr>
            </w:pPr>
            <w:r>
              <w:rPr>
                <w:rFonts w:hint="eastAsia" w:ascii="Times New Roman" w:hAnsi="Times New Roman" w:cs="Times New Roman" w:eastAsiaTheme="minorEastAsia"/>
                <w:color w:val="auto"/>
                <w:kern w:val="2"/>
                <w:sz w:val="24"/>
                <w:szCs w:val="32"/>
                <w:lang w:val="en-US" w:eastAsia="zh-CN" w:bidi="ar-SA"/>
              </w:rPr>
              <w:t>城镇职能要求：依托毛竹、茶叶、豆制品等特色物产资源大力发展特色加工业，加强竹制品加工业整合，提升茶旅综合开发水平，重点打造“抱儿山茶”品牌，建设生态富镇、旅游强镇。</w:t>
            </w:r>
          </w:p>
          <w:p w14:paraId="05BB5A16">
            <w:pPr>
              <w:pStyle w:val="13"/>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cs="Times New Roman" w:eastAsiaTheme="minorEastAsia"/>
                <w:color w:val="auto"/>
                <w:kern w:val="2"/>
                <w:sz w:val="24"/>
                <w:szCs w:val="32"/>
                <w:lang w:val="en-US" w:eastAsia="zh-CN" w:bidi="ar-SA"/>
              </w:rPr>
            </w:pPr>
            <w:r>
              <w:rPr>
                <w:rFonts w:hint="eastAsia" w:ascii="Times New Roman" w:hAnsi="Times New Roman" w:cs="Times New Roman" w:eastAsiaTheme="minorEastAsia"/>
                <w:color w:val="auto"/>
                <w:kern w:val="2"/>
                <w:sz w:val="24"/>
                <w:szCs w:val="32"/>
                <w:lang w:val="en-US" w:eastAsia="zh-CN" w:bidi="ar-SA"/>
              </w:rPr>
              <w:t>同时，根据</w:t>
            </w:r>
            <w:r>
              <w:rPr>
                <w:rFonts w:hint="default" w:ascii="Times New Roman" w:hAnsi="Times New Roman" w:cs="Times New Roman" w:eastAsiaTheme="minorEastAsia"/>
                <w:color w:val="auto"/>
                <w:kern w:val="2"/>
                <w:sz w:val="24"/>
                <w:szCs w:val="32"/>
                <w:lang w:val="zh-CN" w:eastAsia="zh-CN" w:bidi="ar-SA"/>
              </w:rPr>
              <w:t>《青山镇国土空间总体规划（2021-2035年）》</w:t>
            </w:r>
            <w:r>
              <w:rPr>
                <w:rFonts w:hint="default" w:ascii="Times New Roman" w:hAnsi="Times New Roman" w:cs="Times New Roman" w:eastAsiaTheme="minorEastAsia"/>
                <w:color w:val="auto"/>
                <w:kern w:val="2"/>
                <w:sz w:val="24"/>
                <w:szCs w:val="32"/>
                <w:lang w:val="en-US" w:eastAsia="zh-CN" w:bidi="ar-SA"/>
              </w:rPr>
              <w:t>中</w:t>
            </w:r>
            <w:r>
              <w:rPr>
                <w:rFonts w:hint="eastAsia" w:ascii="Times New Roman" w:hAnsi="Times New Roman" w:cs="Times New Roman" w:eastAsiaTheme="minorEastAsia"/>
                <w:color w:val="auto"/>
                <w:kern w:val="2"/>
                <w:sz w:val="24"/>
                <w:szCs w:val="32"/>
                <w:lang w:val="en-US" w:eastAsia="zh-CN" w:bidi="ar-SA"/>
              </w:rPr>
              <w:t>附表17 重点建设项目表可知</w:t>
            </w:r>
            <w:r>
              <w:rPr>
                <w:rFonts w:hint="eastAsia" w:cs="Times New Roman" w:eastAsiaTheme="minorEastAsia"/>
                <w:color w:val="auto"/>
                <w:kern w:val="2"/>
                <w:sz w:val="24"/>
                <w:szCs w:val="32"/>
                <w:lang w:val="en-US" w:eastAsia="zh-CN" w:bidi="ar-SA"/>
              </w:rPr>
              <w:t>，</w:t>
            </w:r>
            <w:r>
              <w:rPr>
                <w:rFonts w:hint="eastAsia" w:ascii="Times New Roman" w:hAnsi="Times New Roman" w:cs="Times New Roman" w:eastAsiaTheme="minorEastAsia"/>
                <w:color w:val="auto"/>
                <w:kern w:val="2"/>
                <w:sz w:val="24"/>
                <w:szCs w:val="32"/>
                <w:lang w:val="en-US" w:eastAsia="zh-CN" w:bidi="ar-SA"/>
              </w:rPr>
              <w:t>青山镇竹产业园建设属于青山镇重点项目</w:t>
            </w:r>
            <w:r>
              <w:rPr>
                <w:rFonts w:hint="eastAsia" w:cs="Times New Roman" w:eastAsiaTheme="minorEastAsia"/>
                <w:color w:val="auto"/>
                <w:kern w:val="2"/>
                <w:sz w:val="24"/>
                <w:szCs w:val="32"/>
                <w:lang w:val="en-US" w:eastAsia="zh-CN" w:bidi="ar-SA"/>
              </w:rPr>
              <w:t>。</w:t>
            </w:r>
          </w:p>
          <w:p w14:paraId="55F97AAB">
            <w:pPr>
              <w:keepNext w:val="0"/>
              <w:keepLines w:val="0"/>
              <w:pageBreakBefore w:val="0"/>
              <w:widowControl w:val="0"/>
              <w:kinsoku/>
              <w:wordWrap/>
              <w:overflowPunct/>
              <w:bidi w:val="0"/>
              <w:adjustRightInd/>
              <w:snapToGrid/>
              <w:spacing w:line="360" w:lineRule="auto"/>
              <w:ind w:left="0" w:leftChars="0" w:firstLine="480"/>
              <w:textAlignment w:val="auto"/>
              <w:rPr>
                <w:rFonts w:hint="default" w:ascii="Times New Roman" w:hAnsi="Times New Roman" w:cs="Times New Roman" w:eastAsiaTheme="minorEastAsia"/>
                <w:bCs/>
                <w:color w:val="auto"/>
                <w:kern w:val="0"/>
                <w:sz w:val="24"/>
              </w:rPr>
            </w:pPr>
            <w:r>
              <w:rPr>
                <w:rFonts w:hint="eastAsia" w:cs="Times New Roman" w:eastAsiaTheme="minorEastAsia"/>
                <w:bCs/>
                <w:color w:val="auto"/>
                <w:kern w:val="0"/>
                <w:sz w:val="24"/>
                <w:lang w:eastAsia="zh-CN"/>
              </w:rPr>
              <w:t>本项目</w:t>
            </w:r>
            <w:r>
              <w:rPr>
                <w:rFonts w:hint="default" w:ascii="Times New Roman" w:hAnsi="Times New Roman" w:cs="Times New Roman" w:eastAsiaTheme="minorEastAsia"/>
                <w:bCs/>
                <w:color w:val="auto"/>
                <w:kern w:val="0"/>
                <w:sz w:val="24"/>
              </w:rPr>
              <w:t>行业类别属于</w:t>
            </w:r>
            <w:r>
              <w:rPr>
                <w:rFonts w:hint="default" w:ascii="Times New Roman" w:hAnsi="Times New Roman" w:cs="Times New Roman" w:eastAsiaTheme="minorEastAsia"/>
                <w:color w:val="auto"/>
                <w:sz w:val="24"/>
                <w:lang w:eastAsia="zh-CN"/>
              </w:rPr>
              <w:t>C</w:t>
            </w:r>
            <w:r>
              <w:rPr>
                <w:rFonts w:hint="default" w:ascii="Times New Roman" w:hAnsi="Times New Roman" w:cs="Times New Roman" w:eastAsiaTheme="minorEastAsia"/>
                <w:color w:val="auto"/>
                <w:sz w:val="24"/>
                <w:lang w:val="en-US" w:eastAsia="zh-CN"/>
              </w:rPr>
              <w:t>2041 竹制品制造</w:t>
            </w:r>
            <w:r>
              <w:rPr>
                <w:rFonts w:hint="default" w:ascii="Times New Roman" w:hAnsi="Times New Roman" w:cs="Times New Roman" w:eastAsiaTheme="minorEastAsia"/>
                <w:bCs/>
                <w:color w:val="auto"/>
                <w:kern w:val="0"/>
                <w:sz w:val="24"/>
                <w:lang w:eastAsia="zh-CN"/>
              </w:rPr>
              <w:t>，项目位于</w:t>
            </w:r>
            <w:r>
              <w:rPr>
                <w:rFonts w:hint="default" w:ascii="Times New Roman" w:hAnsi="Times New Roman" w:cs="Times New Roman" w:eastAsiaTheme="minorEastAsia"/>
                <w:color w:val="auto"/>
                <w:sz w:val="24"/>
                <w:szCs w:val="32"/>
                <w:lang w:val="en-US" w:eastAsia="zh-CN"/>
              </w:rPr>
              <w:t>金寨县青山镇毛竹工业园，用地属于工业用地，</w:t>
            </w:r>
            <w:r>
              <w:rPr>
                <w:rFonts w:hint="default" w:ascii="Times New Roman" w:hAnsi="Times New Roman" w:cs="Times New Roman" w:eastAsiaTheme="minorEastAsia"/>
                <w:bCs/>
                <w:color w:val="auto"/>
                <w:kern w:val="0"/>
                <w:sz w:val="24"/>
              </w:rPr>
              <w:t>与</w:t>
            </w:r>
            <w:r>
              <w:rPr>
                <w:rFonts w:hint="default" w:ascii="Times New Roman" w:hAnsi="Times New Roman" w:cs="Times New Roman" w:eastAsiaTheme="minorEastAsia"/>
                <w:color w:val="auto"/>
                <w:kern w:val="2"/>
                <w:sz w:val="24"/>
                <w:szCs w:val="32"/>
                <w:lang w:val="zh-CN" w:eastAsia="zh-CN" w:bidi="ar-SA"/>
              </w:rPr>
              <w:t>《青山镇国土空间总体规划（2021-2035年）》</w:t>
            </w:r>
            <w:r>
              <w:rPr>
                <w:rFonts w:hint="default" w:ascii="Times New Roman" w:hAnsi="Times New Roman" w:cs="Times New Roman" w:eastAsiaTheme="minorEastAsia"/>
                <w:bCs/>
                <w:color w:val="auto"/>
                <w:kern w:val="0"/>
                <w:sz w:val="24"/>
              </w:rPr>
              <w:t>相符。</w:t>
            </w:r>
          </w:p>
          <w:p w14:paraId="5F029216">
            <w:pPr>
              <w:pStyle w:val="13"/>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cs="Times New Roman" w:eastAsiaTheme="minorEastAsia"/>
                <w:color w:val="auto"/>
                <w:kern w:val="2"/>
                <w:sz w:val="24"/>
                <w:szCs w:val="32"/>
                <w:lang w:val="en-US" w:eastAsia="zh-CN" w:bidi="ar-SA"/>
              </w:rPr>
            </w:pPr>
          </w:p>
          <w:p w14:paraId="3451EFA5">
            <w:pPr>
              <w:pStyle w:val="13"/>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eastAsia" w:ascii="Times New Roman" w:hAnsi="Times New Roman" w:cs="Times New Roman" w:eastAsiaTheme="minorEastAsia"/>
                <w:color w:val="auto"/>
                <w:kern w:val="2"/>
                <w:sz w:val="24"/>
                <w:szCs w:val="32"/>
                <w:lang w:val="en-US" w:eastAsia="zh-CN" w:bidi="ar-SA"/>
              </w:rPr>
            </w:pPr>
          </w:p>
          <w:p w14:paraId="396743C4">
            <w:pPr>
              <w:pStyle w:val="13"/>
              <w:rPr>
                <w:rFonts w:hint="default" w:ascii="Times New Roman" w:hAnsi="Times New Roman" w:cs="Times New Roman" w:eastAsiaTheme="minorEastAsia"/>
                <w:bCs/>
                <w:color w:val="auto"/>
                <w:kern w:val="0"/>
                <w:sz w:val="24"/>
                <w:lang w:val="en-US" w:eastAsia="zh-CN"/>
              </w:rPr>
            </w:pPr>
          </w:p>
          <w:p w14:paraId="54999C3E">
            <w:pPr>
              <w:pStyle w:val="13"/>
              <w:rPr>
                <w:rFonts w:hint="default"/>
                <w:color w:val="auto"/>
              </w:rPr>
            </w:pPr>
          </w:p>
        </w:tc>
      </w:tr>
      <w:tr w14:paraId="6F414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pct"/>
            <w:vAlign w:val="center"/>
          </w:tcPr>
          <w:p w14:paraId="10F0DE65">
            <w:pPr>
              <w:keepNext w:val="0"/>
              <w:keepLines w:val="0"/>
              <w:pageBreakBefore w:val="0"/>
              <w:widowControl w:val="0"/>
              <w:kinsoku/>
              <w:wordWrap/>
              <w:overflowPunct/>
              <w:autoSpaceDE w:val="0"/>
              <w:autoSpaceDN w:val="0"/>
              <w:bidi w:val="0"/>
              <w:adjustRightInd/>
              <w:snapToGrid/>
              <w:spacing w:line="240" w:lineRule="auto"/>
              <w:ind w:left="0" w:leftChars="0"/>
              <w:jc w:val="center"/>
              <w:textAlignment w:val="auto"/>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其他符合性分析</w:t>
            </w:r>
          </w:p>
        </w:tc>
        <w:tc>
          <w:tcPr>
            <w:tcW w:w="4341" w:type="pct"/>
            <w:gridSpan w:val="3"/>
            <w:vAlign w:val="center"/>
          </w:tcPr>
          <w:p w14:paraId="4787ACA5">
            <w:pPr>
              <w:keepNext w:val="0"/>
              <w:keepLines w:val="0"/>
              <w:pageBreakBefore w:val="0"/>
              <w:widowControl w:val="0"/>
              <w:kinsoku/>
              <w:wordWrap/>
              <w:overflowPunct/>
              <w:bidi w:val="0"/>
              <w:adjustRightInd/>
              <w:snapToGrid/>
              <w:spacing w:line="360" w:lineRule="auto"/>
              <w:ind w:left="0" w:leftChars="0" w:firstLine="482" w:firstLineChars="20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val="en-US" w:eastAsia="zh-CN" w:bidi="ar-SA"/>
              </w:rPr>
              <w:t>1</w:t>
            </w:r>
            <w:r>
              <w:rPr>
                <w:rFonts w:hint="default" w:ascii="Times New Roman" w:hAnsi="Times New Roman" w:cs="Times New Roman" w:eastAsiaTheme="minorEastAsia"/>
                <w:b/>
                <w:bCs/>
                <w:color w:val="auto"/>
                <w:sz w:val="24"/>
                <w:lang w:val="en-US" w:bidi="ar-SA"/>
              </w:rPr>
              <w:t>、</w:t>
            </w:r>
            <w:r>
              <w:rPr>
                <w:rFonts w:hint="default" w:ascii="Times New Roman" w:hAnsi="Times New Roman" w:cs="Times New Roman" w:eastAsiaTheme="minorEastAsia"/>
                <w:b/>
                <w:bCs/>
                <w:color w:val="auto"/>
                <w:sz w:val="24"/>
              </w:rPr>
              <w:t>产业政策符合性分析</w:t>
            </w:r>
          </w:p>
          <w:p w14:paraId="551A725B">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eastAsia" w:cs="Times New Roman" w:eastAsiaTheme="minorEastAsia"/>
                <w:color w:val="auto"/>
                <w:sz w:val="24"/>
                <w:lang w:val="en-US" w:eastAsia="zh-CN"/>
              </w:rPr>
            </w:pPr>
            <w:r>
              <w:rPr>
                <w:rFonts w:hint="default" w:ascii="Times New Roman" w:hAnsi="Times New Roman" w:cs="Times New Roman" w:eastAsiaTheme="minorEastAsia"/>
                <w:color w:val="auto"/>
                <w:sz w:val="24"/>
              </w:rPr>
              <w:t>对照《国民经济行业分类》（GB/T4754-2017）、《产业结构调整指导目录（2024年版）》，本项目属于</w:t>
            </w:r>
            <w:r>
              <w:rPr>
                <w:rFonts w:hint="default" w:ascii="Times New Roman" w:hAnsi="Times New Roman" w:cs="Times New Roman" w:eastAsiaTheme="minorEastAsia"/>
                <w:color w:val="auto"/>
                <w:sz w:val="24"/>
                <w:lang w:eastAsia="zh-CN"/>
              </w:rPr>
              <w:t>C2041 竹制品制造</w:t>
            </w:r>
            <w:r>
              <w:rPr>
                <w:rFonts w:hint="default" w:ascii="Times New Roman" w:hAnsi="Times New Roman" w:cs="Times New Roman" w:eastAsiaTheme="minorEastAsia"/>
                <w:color w:val="auto"/>
                <w:sz w:val="24"/>
              </w:rPr>
              <w:t>，不属于其中限制类或淘汰类项目，属于允许类项目。</w:t>
            </w:r>
            <w:r>
              <w:rPr>
                <w:rFonts w:hint="eastAsia" w:cs="Times New Roman" w:eastAsiaTheme="minorEastAsia"/>
                <w:color w:val="auto"/>
                <w:sz w:val="24"/>
                <w:lang w:eastAsia="zh-CN"/>
              </w:rPr>
              <w:t>本项目所用生物质锅炉为</w:t>
            </w:r>
            <w:r>
              <w:rPr>
                <w:rFonts w:hint="eastAsia" w:cs="Times New Roman" w:eastAsiaTheme="minorEastAsia"/>
                <w:color w:val="auto"/>
                <w:sz w:val="24"/>
                <w:lang w:val="en-US" w:eastAsia="zh-CN"/>
              </w:rPr>
              <w:t>4t/h的专用锅炉，不属于</w:t>
            </w:r>
            <w:r>
              <w:rPr>
                <w:rFonts w:hint="default" w:ascii="Times New Roman" w:hAnsi="Times New Roman" w:cs="Times New Roman" w:eastAsiaTheme="minorEastAsia"/>
                <w:color w:val="auto"/>
                <w:sz w:val="24"/>
              </w:rPr>
              <w:t>《产业结构调整指导目录（2024年版）》</w:t>
            </w:r>
            <w:r>
              <w:rPr>
                <w:rFonts w:hint="eastAsia" w:cs="Times New Roman" w:eastAsiaTheme="minorEastAsia"/>
                <w:color w:val="auto"/>
                <w:sz w:val="24"/>
                <w:lang w:eastAsia="zh-CN"/>
              </w:rPr>
              <w:t>中限制类“</w:t>
            </w:r>
            <w:r>
              <w:rPr>
                <w:rFonts w:hint="eastAsia" w:cs="Times New Roman" w:eastAsiaTheme="minorEastAsia"/>
                <w:color w:val="auto"/>
                <w:sz w:val="24"/>
                <w:lang w:val="en-US" w:eastAsia="zh-CN"/>
              </w:rPr>
              <w:t>每小时 35 蒸吨及以下固定炉排式生物质锅炉</w:t>
            </w:r>
            <w:r>
              <w:rPr>
                <w:rFonts w:hint="eastAsia" w:cs="Times New Roman" w:eastAsiaTheme="minorEastAsia"/>
                <w:color w:val="auto"/>
                <w:sz w:val="24"/>
                <w:lang w:eastAsia="zh-CN"/>
              </w:rPr>
              <w:t>”和禁止类“</w:t>
            </w:r>
            <w:r>
              <w:rPr>
                <w:rFonts w:hint="eastAsia" w:cs="Times New Roman" w:eastAsiaTheme="minorEastAsia"/>
                <w:color w:val="auto"/>
                <w:sz w:val="24"/>
                <w:lang w:val="en-US" w:eastAsia="zh-CN"/>
              </w:rPr>
              <w:t>每小时 2 蒸吨及以下生物质锅炉</w:t>
            </w:r>
            <w:r>
              <w:rPr>
                <w:rFonts w:hint="eastAsia" w:cs="Times New Roman" w:eastAsiaTheme="minorEastAsia"/>
                <w:color w:val="auto"/>
                <w:sz w:val="24"/>
                <w:lang w:eastAsia="zh-CN"/>
              </w:rPr>
              <w:t>”，且</w:t>
            </w:r>
            <w:r>
              <w:rPr>
                <w:rFonts w:hint="eastAsia" w:cs="Times New Roman" w:eastAsiaTheme="minorEastAsia"/>
                <w:color w:val="auto"/>
                <w:sz w:val="24"/>
                <w:lang w:val="en-US" w:eastAsia="zh-CN"/>
              </w:rPr>
              <w:t>本项目不在城市建成区</w:t>
            </w:r>
            <w:r>
              <w:rPr>
                <w:rFonts w:hint="eastAsia" w:cs="Times New Roman" w:eastAsiaTheme="minorEastAsia"/>
                <w:color w:val="auto"/>
                <w:sz w:val="24"/>
                <w:lang w:eastAsia="zh-CN"/>
              </w:rPr>
              <w:t>。</w:t>
            </w:r>
            <w:r>
              <w:rPr>
                <w:rFonts w:hint="eastAsia" w:cs="Times New Roman" w:eastAsiaTheme="minorEastAsia"/>
                <w:color w:val="auto"/>
                <w:sz w:val="24"/>
                <w:lang w:val="en-US" w:eastAsia="zh-CN"/>
              </w:rPr>
              <w:t xml:space="preserve"> </w:t>
            </w:r>
            <w:r>
              <w:rPr>
                <w:rFonts w:hint="eastAsia" w:cs="Times New Roman" w:eastAsiaTheme="minorEastAsia"/>
                <w:color w:val="auto"/>
                <w:sz w:val="24"/>
                <w:lang w:eastAsia="zh-CN"/>
              </w:rPr>
              <w:t>同时，</w:t>
            </w:r>
            <w:r>
              <w:rPr>
                <w:rFonts w:hint="default" w:ascii="Times New Roman" w:hAnsi="Times New Roman" w:cs="Times New Roman" w:eastAsiaTheme="minorEastAsia"/>
                <w:color w:val="auto"/>
                <w:sz w:val="24"/>
                <w:lang w:val="en-US" w:eastAsia="zh-CN"/>
              </w:rPr>
              <w:t>项目已经金寨县发展和改革委员会备案，项目代码：</w:t>
            </w:r>
            <w:r>
              <w:rPr>
                <w:rFonts w:hint="default" w:ascii="Times New Roman" w:hAnsi="Times New Roman" w:cs="Times New Roman" w:eastAsiaTheme="minorEastAsia"/>
                <w:color w:val="auto"/>
                <w:sz w:val="24"/>
                <w:lang w:eastAsia="zh-CN"/>
              </w:rPr>
              <w:t>2512-341524</w:t>
            </w:r>
            <w:r>
              <w:rPr>
                <w:rFonts w:hint="default" w:ascii="Times New Roman" w:hAnsi="Times New Roman" w:cs="Times New Roman" w:eastAsiaTheme="minorEastAsia"/>
                <w:color w:val="auto"/>
                <w:sz w:val="24"/>
                <w:lang w:val="en-US" w:eastAsia="zh-CN"/>
              </w:rPr>
              <w:t xml:space="preserve"> </w:t>
            </w:r>
            <w:r>
              <w:rPr>
                <w:rFonts w:hint="default" w:ascii="Times New Roman" w:hAnsi="Times New Roman" w:cs="Times New Roman" w:eastAsiaTheme="minorEastAsia"/>
                <w:color w:val="auto"/>
                <w:sz w:val="24"/>
                <w:lang w:eastAsia="zh-CN"/>
              </w:rPr>
              <w:t>-04-05-575460</w:t>
            </w:r>
            <w:r>
              <w:rPr>
                <w:rFonts w:hint="default" w:ascii="Times New Roman" w:hAnsi="Times New Roman" w:cs="Times New Roman" w:eastAsiaTheme="minorEastAsia"/>
                <w:color w:val="auto"/>
                <w:sz w:val="24"/>
                <w:lang w:val="en-US" w:eastAsia="zh-CN"/>
              </w:rPr>
              <w:t>。</w:t>
            </w:r>
          </w:p>
          <w:p w14:paraId="02579E91">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color w:val="auto"/>
              </w:rPr>
            </w:pPr>
            <w:r>
              <w:rPr>
                <w:rFonts w:hint="default" w:ascii="Times New Roman" w:hAnsi="Times New Roman" w:cs="Times New Roman" w:eastAsiaTheme="minorEastAsia"/>
                <w:color w:val="auto"/>
                <w:sz w:val="24"/>
              </w:rPr>
              <w:t>因此，本项目的建设符合国家的产业政策及安徽省工业产业结构调整指导目录要求。</w:t>
            </w:r>
          </w:p>
          <w:p w14:paraId="41602036">
            <w:pPr>
              <w:keepNext w:val="0"/>
              <w:keepLines w:val="0"/>
              <w:pageBreakBefore w:val="0"/>
              <w:widowControl w:val="0"/>
              <w:tabs>
                <w:tab w:val="left" w:pos="290"/>
              </w:tabs>
              <w:kinsoku/>
              <w:wordWrap/>
              <w:overflowPunct/>
              <w:bidi w:val="0"/>
              <w:adjustRightInd/>
              <w:snapToGrid/>
              <w:spacing w:line="360" w:lineRule="auto"/>
              <w:ind w:left="0" w:leftChars="0" w:firstLine="482" w:firstLineChars="200"/>
              <w:textAlignment w:val="auto"/>
              <w:rPr>
                <w:rFonts w:hint="default" w:ascii="Times New Roman" w:hAnsi="Times New Roman" w:cs="Times New Roman" w:eastAsiaTheme="minorEastAsia"/>
                <w:b/>
                <w:bCs/>
                <w:color w:val="auto"/>
                <w:sz w:val="24"/>
              </w:rPr>
            </w:pPr>
            <w:r>
              <w:rPr>
                <w:rFonts w:hint="eastAsia" w:cs="Times New Roman" w:eastAsiaTheme="minorEastAsia"/>
                <w:b/>
                <w:bCs/>
                <w:color w:val="auto"/>
                <w:sz w:val="24"/>
                <w:lang w:val="en-US" w:eastAsia="zh-CN"/>
              </w:rPr>
              <w:t>2</w:t>
            </w:r>
            <w:r>
              <w:rPr>
                <w:rFonts w:hint="default" w:ascii="Times New Roman" w:hAnsi="Times New Roman" w:cs="Times New Roman" w:eastAsiaTheme="minorEastAsia"/>
                <w:b/>
                <w:bCs/>
                <w:color w:val="auto"/>
                <w:sz w:val="24"/>
              </w:rPr>
              <w:t>、选址符合性分析</w:t>
            </w:r>
          </w:p>
          <w:p w14:paraId="4F6227AE">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0"/>
              </w:rPr>
            </w:pPr>
            <w:r>
              <w:rPr>
                <w:rFonts w:hint="default" w:ascii="Times New Roman" w:hAnsi="Times New Roman" w:cs="Times New Roman" w:eastAsiaTheme="minorEastAsia"/>
                <w:color w:val="auto"/>
                <w:sz w:val="24"/>
                <w:szCs w:val="20"/>
              </w:rPr>
              <w:t>（1）项目用地符合性分析</w:t>
            </w:r>
          </w:p>
          <w:p w14:paraId="29DB0809">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0"/>
              </w:rPr>
            </w:pPr>
            <w:r>
              <w:rPr>
                <w:rFonts w:hint="default" w:ascii="Times New Roman" w:hAnsi="Times New Roman" w:cs="Times New Roman" w:eastAsiaTheme="minorEastAsia"/>
                <w:color w:val="auto"/>
                <w:sz w:val="24"/>
                <w:szCs w:val="20"/>
              </w:rPr>
              <w:t>项目位于</w:t>
            </w:r>
            <w:r>
              <w:rPr>
                <w:rFonts w:hint="default" w:ascii="Times New Roman" w:hAnsi="Times New Roman" w:cs="Times New Roman" w:eastAsiaTheme="minorEastAsia"/>
                <w:color w:val="auto"/>
                <w:sz w:val="24"/>
                <w:lang w:eastAsia="zh-CN"/>
              </w:rPr>
              <w:t>金寨县青山镇毛竹工业园</w:t>
            </w:r>
            <w:r>
              <w:rPr>
                <w:rFonts w:hint="default" w:ascii="Times New Roman" w:hAnsi="Times New Roman" w:cs="Times New Roman" w:eastAsiaTheme="minorEastAsia"/>
                <w:color w:val="auto"/>
                <w:sz w:val="24"/>
                <w:szCs w:val="20"/>
              </w:rPr>
              <w:t>，</w:t>
            </w:r>
            <w:r>
              <w:rPr>
                <w:rFonts w:hint="default" w:ascii="Times New Roman" w:hAnsi="Times New Roman" w:cs="Times New Roman" w:eastAsiaTheme="minorEastAsia"/>
                <w:color w:val="auto"/>
                <w:sz w:val="24"/>
                <w:szCs w:val="20"/>
                <w:lang w:val="en-US" w:eastAsia="zh-CN"/>
              </w:rPr>
              <w:t>根据</w:t>
            </w:r>
            <w:r>
              <w:rPr>
                <w:rFonts w:hint="eastAsia" w:cs="Times New Roman" w:eastAsiaTheme="minorEastAsia"/>
                <w:color w:val="auto"/>
                <w:sz w:val="24"/>
                <w:szCs w:val="20"/>
                <w:lang w:val="en-US" w:eastAsia="zh-CN"/>
              </w:rPr>
              <w:t>金寨县青山镇自然资源和规划建设中心</w:t>
            </w:r>
            <w:r>
              <w:rPr>
                <w:rFonts w:hint="default" w:ascii="Times New Roman" w:hAnsi="Times New Roman" w:cs="Times New Roman" w:eastAsiaTheme="minorEastAsia"/>
                <w:color w:val="auto"/>
                <w:sz w:val="24"/>
                <w:szCs w:val="20"/>
                <w:lang w:val="en-US" w:eastAsia="zh-CN"/>
              </w:rPr>
              <w:t>提供的用地证明</w:t>
            </w:r>
            <w:r>
              <w:rPr>
                <w:rFonts w:hint="eastAsia" w:cs="Times New Roman" w:eastAsiaTheme="minorEastAsia"/>
                <w:color w:val="auto"/>
                <w:sz w:val="24"/>
                <w:szCs w:val="20"/>
                <w:lang w:val="en-US" w:eastAsia="zh-CN"/>
              </w:rPr>
              <w:t>（见附件3）可知</w:t>
            </w:r>
            <w:r>
              <w:rPr>
                <w:rFonts w:hint="default" w:ascii="Times New Roman" w:hAnsi="Times New Roman" w:cs="Times New Roman" w:eastAsiaTheme="minorEastAsia"/>
                <w:color w:val="auto"/>
                <w:sz w:val="24"/>
                <w:szCs w:val="20"/>
                <w:lang w:val="en-US" w:eastAsia="zh-CN"/>
              </w:rPr>
              <w:t>，</w:t>
            </w:r>
            <w:r>
              <w:rPr>
                <w:rFonts w:hint="default" w:ascii="Times New Roman" w:hAnsi="Times New Roman" w:cs="Times New Roman" w:eastAsiaTheme="minorEastAsia"/>
                <w:color w:val="auto"/>
                <w:sz w:val="24"/>
                <w:szCs w:val="20"/>
              </w:rPr>
              <w:t>项目</w:t>
            </w:r>
            <w:r>
              <w:rPr>
                <w:rFonts w:hint="default" w:ascii="Times New Roman" w:hAnsi="Times New Roman" w:cs="Times New Roman" w:eastAsiaTheme="minorEastAsia"/>
                <w:color w:val="auto"/>
                <w:sz w:val="24"/>
                <w:szCs w:val="20"/>
                <w:lang w:val="en-US" w:eastAsia="zh-CN"/>
              </w:rPr>
              <w:t>用地为</w:t>
            </w:r>
            <w:r>
              <w:rPr>
                <w:rFonts w:hint="eastAsia" w:cs="Times New Roman" w:eastAsiaTheme="minorEastAsia"/>
                <w:color w:val="auto"/>
                <w:sz w:val="24"/>
                <w:szCs w:val="20"/>
                <w:lang w:val="en-US" w:eastAsia="zh-CN"/>
              </w:rPr>
              <w:t>工业</w:t>
            </w:r>
            <w:r>
              <w:rPr>
                <w:rFonts w:hint="default" w:ascii="Times New Roman" w:hAnsi="Times New Roman" w:cs="Times New Roman" w:eastAsiaTheme="minorEastAsia"/>
                <w:color w:val="auto"/>
                <w:sz w:val="24"/>
                <w:szCs w:val="20"/>
                <w:lang w:val="en-US" w:eastAsia="zh-CN"/>
              </w:rPr>
              <w:t>用地</w:t>
            </w:r>
            <w:r>
              <w:rPr>
                <w:rFonts w:hint="default" w:ascii="Times New Roman" w:hAnsi="Times New Roman" w:cs="Times New Roman" w:eastAsiaTheme="minorEastAsia"/>
                <w:color w:val="auto"/>
                <w:sz w:val="24"/>
                <w:szCs w:val="20"/>
              </w:rPr>
              <w:t>。</w:t>
            </w:r>
          </w:p>
          <w:p w14:paraId="35425010">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0"/>
              </w:rPr>
            </w:pPr>
            <w:r>
              <w:rPr>
                <w:rFonts w:hint="default" w:ascii="Times New Roman" w:hAnsi="Times New Roman" w:cs="Times New Roman" w:eastAsiaTheme="minorEastAsia"/>
                <w:color w:val="auto"/>
                <w:sz w:val="24"/>
                <w:szCs w:val="20"/>
              </w:rPr>
              <w:t>（2）环境相容性</w:t>
            </w:r>
          </w:p>
          <w:p w14:paraId="447DA6FF">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0"/>
                <w:lang w:val="en-US"/>
              </w:rPr>
            </w:pPr>
            <w:r>
              <w:rPr>
                <w:rFonts w:hint="default" w:ascii="Times New Roman" w:hAnsi="Times New Roman" w:cs="Times New Roman" w:eastAsiaTheme="minorEastAsia"/>
                <w:color w:val="auto"/>
                <w:sz w:val="24"/>
                <w:szCs w:val="20"/>
                <w:lang w:val="en-US"/>
              </w:rPr>
              <w:t>项目位于</w:t>
            </w:r>
            <w:r>
              <w:rPr>
                <w:rFonts w:hint="eastAsia" w:cs="Times New Roman" w:eastAsiaTheme="minorEastAsia"/>
                <w:color w:val="auto"/>
                <w:sz w:val="24"/>
                <w:szCs w:val="20"/>
                <w:lang w:val="en-US" w:eastAsia="zh-CN"/>
              </w:rPr>
              <w:t>金寨县青山镇毛竹工业园</w:t>
            </w:r>
            <w:r>
              <w:rPr>
                <w:rFonts w:hint="default" w:ascii="Times New Roman" w:hAnsi="Times New Roman" w:cs="Times New Roman" w:eastAsiaTheme="minorEastAsia"/>
                <w:color w:val="auto"/>
                <w:sz w:val="24"/>
                <w:szCs w:val="20"/>
                <w:lang w:val="en-US"/>
              </w:rPr>
              <w:t>，东侧为</w:t>
            </w:r>
            <w:r>
              <w:rPr>
                <w:rFonts w:hint="eastAsia" w:cs="Times New Roman" w:eastAsiaTheme="minorEastAsia"/>
                <w:color w:val="auto"/>
                <w:sz w:val="24"/>
                <w:szCs w:val="20"/>
                <w:lang w:val="en-US" w:eastAsia="zh-CN"/>
              </w:rPr>
              <w:t>道路</w:t>
            </w:r>
            <w:r>
              <w:rPr>
                <w:rFonts w:hint="default" w:ascii="Times New Roman" w:hAnsi="Times New Roman" w:cs="Times New Roman" w:eastAsiaTheme="minorEastAsia"/>
                <w:color w:val="auto"/>
                <w:sz w:val="24"/>
                <w:szCs w:val="20"/>
                <w:lang w:val="en-US"/>
              </w:rPr>
              <w:t>，南侧为</w:t>
            </w:r>
            <w:r>
              <w:rPr>
                <w:rFonts w:hint="eastAsia" w:cs="Times New Roman" w:eastAsiaTheme="minorEastAsia"/>
                <w:color w:val="auto"/>
                <w:sz w:val="24"/>
                <w:szCs w:val="20"/>
                <w:lang w:val="en-US" w:eastAsia="zh-CN"/>
              </w:rPr>
              <w:t>金寨县峻岭建筑材料有限公司</w:t>
            </w:r>
            <w:r>
              <w:rPr>
                <w:rFonts w:hint="default" w:ascii="Times New Roman" w:hAnsi="Times New Roman" w:cs="Times New Roman" w:eastAsiaTheme="minorEastAsia"/>
                <w:color w:val="auto"/>
                <w:sz w:val="24"/>
                <w:szCs w:val="20"/>
                <w:lang w:val="en-US"/>
              </w:rPr>
              <w:t>，西侧为</w:t>
            </w:r>
            <w:r>
              <w:rPr>
                <w:rFonts w:hint="eastAsia" w:cs="Times New Roman" w:eastAsiaTheme="minorEastAsia"/>
                <w:color w:val="auto"/>
                <w:sz w:val="24"/>
                <w:szCs w:val="20"/>
                <w:lang w:val="en-US" w:eastAsia="zh-CN"/>
              </w:rPr>
              <w:t>西淠河，河对岸99m为汤店新村</w:t>
            </w:r>
            <w:r>
              <w:rPr>
                <w:rFonts w:hint="default" w:ascii="Times New Roman" w:hAnsi="Times New Roman" w:cs="Times New Roman" w:eastAsiaTheme="minorEastAsia"/>
                <w:color w:val="auto"/>
                <w:sz w:val="24"/>
                <w:szCs w:val="20"/>
                <w:lang w:val="en-US"/>
              </w:rPr>
              <w:t>，北侧为</w:t>
            </w:r>
            <w:r>
              <w:rPr>
                <w:rFonts w:hint="default" w:ascii="Times New Roman" w:hAnsi="Times New Roman" w:cs="Times New Roman" w:eastAsiaTheme="minorEastAsia"/>
                <w:color w:val="auto"/>
                <w:sz w:val="24"/>
                <w:szCs w:val="20"/>
                <w:lang w:val="en-US" w:eastAsia="zh-CN"/>
              </w:rPr>
              <w:t>S331</w:t>
            </w:r>
            <w:r>
              <w:rPr>
                <w:rFonts w:hint="eastAsia" w:cs="Times New Roman" w:eastAsiaTheme="minorEastAsia"/>
                <w:color w:val="auto"/>
                <w:sz w:val="24"/>
                <w:szCs w:val="20"/>
                <w:lang w:val="en-US" w:eastAsia="zh-CN"/>
              </w:rPr>
              <w:t>省道。</w:t>
            </w:r>
          </w:p>
          <w:p w14:paraId="225E075C">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0"/>
              </w:rPr>
            </w:pPr>
            <w:r>
              <w:rPr>
                <w:rFonts w:hint="eastAsia" w:cs="Times New Roman" w:eastAsiaTheme="minorEastAsia"/>
                <w:color w:val="auto"/>
                <w:sz w:val="24"/>
                <w:szCs w:val="20"/>
                <w:lang w:eastAsia="zh-CN"/>
              </w:rPr>
              <w:t>根据</w:t>
            </w:r>
            <w:r>
              <w:rPr>
                <w:rFonts w:hint="eastAsia" w:cs="Times New Roman" w:eastAsiaTheme="minorEastAsia"/>
                <w:color w:val="auto"/>
                <w:sz w:val="24"/>
                <w:szCs w:val="20"/>
                <w:lang w:val="en-US" w:eastAsia="zh-CN"/>
              </w:rPr>
              <w:t>2025年4月3日《六安市人民政府关于同意撤销金寨县青山镇</w:t>
            </w:r>
            <w:r>
              <w:rPr>
                <w:rFonts w:hint="eastAsia" w:cs="Times New Roman" w:eastAsiaTheme="minorEastAsia"/>
                <w:color w:val="auto"/>
                <w:sz w:val="24"/>
                <w:szCs w:val="20"/>
                <w:lang w:val="en-US" w:eastAsia="zh-CN"/>
              </w:rPr>
              <w:br w:type="textWrapping"/>
            </w:r>
            <w:r>
              <w:rPr>
                <w:rFonts w:hint="eastAsia" w:cs="Times New Roman" w:eastAsiaTheme="minorEastAsia"/>
                <w:color w:val="auto"/>
                <w:sz w:val="24"/>
                <w:szCs w:val="20"/>
                <w:lang w:val="en-US" w:eastAsia="zh-CN"/>
              </w:rPr>
              <w:t>青山街道西淠河饮用水水源地保护区的批复》可知，青山镇青山街道西淠河不属于饮用水水源地保护区，</w:t>
            </w:r>
            <w:r>
              <w:rPr>
                <w:rFonts w:hint="default" w:ascii="Times New Roman" w:hAnsi="Times New Roman" w:cs="Times New Roman" w:eastAsiaTheme="minorEastAsia"/>
                <w:color w:val="auto"/>
                <w:sz w:val="24"/>
                <w:szCs w:val="20"/>
              </w:rPr>
              <w:t>评价区域内无国家公园、自然保护地、风景名胜区、文物保护单位及饮用水源保护区等环境敏感区域，项目选址地块周边以工业企业生产活动为主，外环境制约因素小，运营期产生的污染物可实现达标排放，对周边环境影响是可接受的。因此本项目建设与周边环境是相容的。</w:t>
            </w:r>
          </w:p>
          <w:p w14:paraId="2F2881D6">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0"/>
              </w:rPr>
            </w:pPr>
            <w:r>
              <w:rPr>
                <w:rFonts w:hint="default" w:ascii="Times New Roman" w:hAnsi="Times New Roman" w:cs="Times New Roman" w:eastAsiaTheme="minorEastAsia"/>
                <w:color w:val="auto"/>
                <w:sz w:val="24"/>
                <w:szCs w:val="20"/>
              </w:rPr>
              <w:t>（3）外部建设条件可行性</w:t>
            </w:r>
          </w:p>
          <w:p w14:paraId="27B1A9DF">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0"/>
              </w:rPr>
            </w:pPr>
            <w:r>
              <w:rPr>
                <w:rFonts w:hint="default" w:ascii="Times New Roman" w:hAnsi="Times New Roman" w:cs="Times New Roman" w:eastAsiaTheme="minorEastAsia"/>
                <w:color w:val="auto"/>
                <w:sz w:val="24"/>
              </w:rPr>
              <w:t>本项目位于</w:t>
            </w:r>
            <w:r>
              <w:rPr>
                <w:rFonts w:hint="default" w:ascii="Times New Roman" w:hAnsi="Times New Roman" w:cs="Times New Roman" w:eastAsiaTheme="minorEastAsia"/>
                <w:color w:val="auto"/>
                <w:sz w:val="24"/>
                <w:lang w:eastAsia="zh-CN"/>
              </w:rPr>
              <w:t>金寨县青山镇毛竹工业园</w:t>
            </w:r>
            <w:r>
              <w:rPr>
                <w:rFonts w:hint="default" w:ascii="Times New Roman" w:hAnsi="Times New Roman" w:cs="Times New Roman" w:eastAsiaTheme="minorEastAsia"/>
                <w:color w:val="auto"/>
                <w:sz w:val="24"/>
                <w:szCs w:val="20"/>
              </w:rPr>
              <w:t>，企业所在地理位置条件较好，交通便利，区域水、电、通讯等基础配套设施齐全。</w:t>
            </w:r>
          </w:p>
          <w:p w14:paraId="5DE9C865">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0"/>
              </w:rPr>
            </w:pPr>
            <w:r>
              <w:rPr>
                <w:rFonts w:hint="default" w:ascii="Times New Roman" w:hAnsi="Times New Roman" w:cs="Times New Roman" w:eastAsiaTheme="minorEastAsia"/>
                <w:color w:val="auto"/>
                <w:sz w:val="24"/>
                <w:szCs w:val="20"/>
              </w:rPr>
              <w:t>（4）对外环境的影响：本项目在采取相应的防治措施后，可满足各污染物的排放标准要求，对区域环境影响较是可以接受的。</w:t>
            </w:r>
          </w:p>
          <w:p w14:paraId="43638B6B">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szCs w:val="20"/>
              </w:rPr>
              <w:t>综上所述，本项目建设选址较合理</w:t>
            </w:r>
            <w:r>
              <w:rPr>
                <w:rFonts w:hint="default" w:ascii="Times New Roman" w:hAnsi="Times New Roman" w:cs="Times New Roman" w:eastAsiaTheme="minorEastAsia"/>
                <w:color w:val="auto"/>
                <w:sz w:val="24"/>
              </w:rPr>
              <w:t>。</w:t>
            </w:r>
          </w:p>
          <w:p w14:paraId="0623AA2D">
            <w:pPr>
              <w:pStyle w:val="70"/>
              <w:keepNext w:val="0"/>
              <w:keepLines w:val="0"/>
              <w:pageBreakBefore w:val="0"/>
              <w:widowControl w:val="0"/>
              <w:kinsoku/>
              <w:wordWrap/>
              <w:overflowPunct/>
              <w:bidi w:val="0"/>
              <w:adjustRightInd/>
              <w:snapToGrid/>
              <w:spacing w:line="360" w:lineRule="auto"/>
              <w:ind w:left="0" w:leftChars="0" w:firstLine="482" w:firstLineChars="200"/>
              <w:textAlignment w:val="auto"/>
              <w:outlineLvl w:val="2"/>
              <w:rPr>
                <w:rFonts w:hint="default" w:ascii="Times New Roman" w:hAnsi="Times New Roman" w:cs="Times New Roman" w:eastAsiaTheme="minorEastAsia"/>
                <w:b/>
                <w:bCs/>
                <w:color w:val="auto"/>
                <w:sz w:val="24"/>
                <w:lang w:val="en-US" w:bidi="ar-SA"/>
              </w:rPr>
            </w:pPr>
            <w:r>
              <w:rPr>
                <w:rFonts w:hint="eastAsia" w:ascii="Times New Roman" w:hAnsi="Times New Roman" w:cs="Times New Roman" w:eastAsiaTheme="minorEastAsia"/>
                <w:b/>
                <w:bCs/>
                <w:color w:val="auto"/>
                <w:sz w:val="24"/>
                <w:lang w:val="en-US" w:eastAsia="zh-CN" w:bidi="ar-SA"/>
              </w:rPr>
              <w:t>3、</w:t>
            </w:r>
            <w:r>
              <w:rPr>
                <w:rFonts w:hint="default" w:ascii="Times New Roman" w:hAnsi="Times New Roman" w:cs="Times New Roman" w:eastAsiaTheme="minorEastAsia"/>
                <w:b/>
                <w:bCs/>
                <w:color w:val="auto"/>
                <w:sz w:val="24"/>
                <w:lang w:val="en-US" w:bidi="ar-SA"/>
              </w:rPr>
              <w:t>“</w:t>
            </w:r>
            <w:r>
              <w:rPr>
                <w:rFonts w:hint="default" w:ascii="Times New Roman" w:hAnsi="Times New Roman" w:cs="Times New Roman" w:eastAsiaTheme="minorEastAsia"/>
                <w:b/>
                <w:bCs/>
                <w:color w:val="auto"/>
                <w:sz w:val="24"/>
                <w:lang w:val="en-US" w:eastAsia="zh-CN" w:bidi="ar-SA"/>
              </w:rPr>
              <w:t>安徽省六安市生态环境分区管控</w:t>
            </w:r>
            <w:r>
              <w:rPr>
                <w:rFonts w:hint="default" w:ascii="Times New Roman" w:hAnsi="Times New Roman" w:cs="Times New Roman" w:eastAsiaTheme="minorEastAsia"/>
                <w:b/>
                <w:bCs/>
                <w:color w:val="auto"/>
                <w:sz w:val="24"/>
                <w:lang w:val="en-US" w:bidi="ar-SA"/>
              </w:rPr>
              <w:t>”符合性分析</w:t>
            </w:r>
          </w:p>
          <w:p w14:paraId="73A119A4">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本项目与“</w:t>
            </w:r>
            <w:r>
              <w:rPr>
                <w:rFonts w:hint="default" w:ascii="Times New Roman" w:hAnsi="Times New Roman" w:cs="Times New Roman" w:eastAsiaTheme="minorEastAsia"/>
                <w:color w:val="auto"/>
                <w:sz w:val="24"/>
                <w:lang w:eastAsia="zh-CN"/>
              </w:rPr>
              <w:t>安徽省六安市生态环境分区管控</w:t>
            </w:r>
            <w:r>
              <w:rPr>
                <w:rFonts w:hint="default" w:ascii="Times New Roman" w:hAnsi="Times New Roman" w:cs="Times New Roman" w:eastAsiaTheme="minorEastAsia"/>
                <w:color w:val="auto"/>
                <w:sz w:val="24"/>
              </w:rPr>
              <w:t>”要求符合性分析如下：</w:t>
            </w:r>
          </w:p>
          <w:p w14:paraId="1D479BB7">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（1）与生态保护红线符合性分析</w:t>
            </w:r>
          </w:p>
          <w:p w14:paraId="6FFA65A1">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项目位于</w:t>
            </w:r>
            <w:r>
              <w:rPr>
                <w:rFonts w:hint="default" w:ascii="Times New Roman" w:hAnsi="Times New Roman" w:cs="Times New Roman" w:eastAsiaTheme="minorEastAsia"/>
                <w:color w:val="auto"/>
                <w:sz w:val="24"/>
                <w:lang w:eastAsia="zh-CN"/>
              </w:rPr>
              <w:t>金寨县青山镇毛竹工业园</w:t>
            </w:r>
            <w:r>
              <w:rPr>
                <w:rFonts w:hint="default" w:ascii="Times New Roman" w:hAnsi="Times New Roman" w:cs="Times New Roman" w:eastAsiaTheme="minorEastAsia"/>
                <w:color w:val="auto"/>
                <w:sz w:val="24"/>
              </w:rPr>
              <w:t>，项目所在地不涉及具有重要水源涵养、生物多样性维护、水土保持、防风固沙、海岸生稳定等功能的生态功能重要区域，以及水土流失、土地沙化、石漠化、盐渍化等生态环境敏感脆弱区域，不涉及生态环境保护红线范围内用地，符合生态保护红线要求。</w:t>
            </w:r>
            <w:r>
              <w:rPr>
                <w:rFonts w:hint="eastAsia" w:cs="Times New Roman" w:eastAsiaTheme="minorEastAsia"/>
                <w:color w:val="auto"/>
                <w:sz w:val="24"/>
                <w:lang w:eastAsia="zh-CN"/>
              </w:rPr>
              <w:t>项目与生态红线相对位置示意图见附图</w:t>
            </w:r>
            <w:r>
              <w:rPr>
                <w:rFonts w:hint="eastAsia" w:cs="Times New Roman" w:eastAsiaTheme="minorEastAsia"/>
                <w:color w:val="auto"/>
                <w:sz w:val="24"/>
                <w:lang w:val="en-US" w:eastAsia="zh-CN"/>
              </w:rPr>
              <w:t>4。</w:t>
            </w:r>
          </w:p>
          <w:p w14:paraId="39058AD4">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eastAsia="zh-CN"/>
              </w:rPr>
              <w:t>（</w:t>
            </w:r>
            <w:r>
              <w:rPr>
                <w:rFonts w:hint="eastAsia" w:cs="Times New Roman" w:eastAsiaTheme="minorEastAsia"/>
                <w:color w:val="auto"/>
                <w:sz w:val="24"/>
                <w:lang w:val="en-US" w:eastAsia="zh-CN"/>
              </w:rPr>
              <w:t>2</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与</w:t>
            </w:r>
            <w:r>
              <w:rPr>
                <w:rFonts w:hint="default" w:ascii="Times New Roman" w:hAnsi="Times New Roman" w:cs="Times New Roman" w:eastAsiaTheme="minorEastAsia"/>
                <w:color w:val="auto"/>
                <w:sz w:val="24"/>
              </w:rPr>
              <w:t>环境质量底线</w:t>
            </w:r>
            <w:r>
              <w:rPr>
                <w:rFonts w:hint="default" w:ascii="Times New Roman" w:hAnsi="Times New Roman" w:cs="Times New Roman" w:eastAsiaTheme="minorEastAsia"/>
                <w:color w:val="auto"/>
                <w:sz w:val="24"/>
                <w:lang w:val="en-US" w:eastAsia="zh-CN"/>
              </w:rPr>
              <w:t>符合性分析</w:t>
            </w:r>
          </w:p>
          <w:p w14:paraId="26D99C65">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①环境空气：</w:t>
            </w:r>
            <w:r>
              <w:rPr>
                <w:rFonts w:hint="default" w:ascii="Times New Roman" w:hAnsi="Times New Roman" w:cs="Times New Roman" w:eastAsiaTheme="minorEastAsia"/>
                <w:color w:val="auto"/>
                <w:sz w:val="24"/>
                <w:lang w:eastAsia="zh-CN"/>
              </w:rPr>
              <w:t>根据《202</w:t>
            </w:r>
            <w:r>
              <w:rPr>
                <w:rFonts w:hint="default" w:ascii="Times New Roman" w:hAnsi="Times New Roman" w:cs="Times New Roman" w:eastAsiaTheme="minorEastAsia"/>
                <w:color w:val="auto"/>
                <w:sz w:val="24"/>
                <w:lang w:val="en-US" w:eastAsia="zh-CN"/>
              </w:rPr>
              <w:t>4</w:t>
            </w:r>
            <w:r>
              <w:rPr>
                <w:rFonts w:hint="default" w:ascii="Times New Roman" w:hAnsi="Times New Roman" w:cs="Times New Roman" w:eastAsiaTheme="minorEastAsia"/>
                <w:color w:val="auto"/>
                <w:sz w:val="24"/>
                <w:lang w:eastAsia="zh-CN"/>
              </w:rPr>
              <w:t>年金寨县环境质量年报》，项目区域内PM</w:t>
            </w:r>
            <w:r>
              <w:rPr>
                <w:rFonts w:hint="default" w:ascii="Times New Roman" w:hAnsi="Times New Roman" w:cs="Times New Roman" w:eastAsiaTheme="minorEastAsia"/>
                <w:color w:val="auto"/>
                <w:sz w:val="24"/>
                <w:vertAlign w:val="subscript"/>
                <w:lang w:eastAsia="zh-CN"/>
              </w:rPr>
              <w:t>10</w:t>
            </w:r>
            <w:r>
              <w:rPr>
                <w:rFonts w:hint="default" w:ascii="Times New Roman" w:hAnsi="Times New Roman" w:cs="Times New Roman" w:eastAsiaTheme="minorEastAsia"/>
                <w:color w:val="auto"/>
                <w:sz w:val="24"/>
                <w:lang w:eastAsia="zh-CN"/>
              </w:rPr>
              <w:t>、PM</w:t>
            </w:r>
            <w:r>
              <w:rPr>
                <w:rFonts w:hint="default" w:ascii="Times New Roman" w:hAnsi="Times New Roman" w:cs="Times New Roman" w:eastAsiaTheme="minorEastAsia"/>
                <w:color w:val="auto"/>
                <w:sz w:val="24"/>
                <w:vertAlign w:val="subscript"/>
                <w:lang w:eastAsia="zh-CN"/>
              </w:rPr>
              <w:t>2.5</w:t>
            </w:r>
            <w:r>
              <w:rPr>
                <w:rFonts w:hint="default" w:ascii="Times New Roman" w:hAnsi="Times New Roman" w:cs="Times New Roman" w:eastAsiaTheme="minorEastAsia"/>
                <w:color w:val="auto"/>
                <w:sz w:val="24"/>
                <w:lang w:eastAsia="zh-CN"/>
              </w:rPr>
              <w:t>、SO</w:t>
            </w:r>
            <w:r>
              <w:rPr>
                <w:rFonts w:hint="default" w:ascii="Times New Roman" w:hAnsi="Times New Roman" w:cs="Times New Roman" w:eastAsiaTheme="minorEastAsia"/>
                <w:color w:val="auto"/>
                <w:sz w:val="24"/>
                <w:vertAlign w:val="subscript"/>
                <w:lang w:eastAsia="zh-CN"/>
              </w:rPr>
              <w:t>2</w:t>
            </w:r>
            <w:r>
              <w:rPr>
                <w:rFonts w:hint="default" w:ascii="Times New Roman" w:hAnsi="Times New Roman" w:cs="Times New Roman" w:eastAsiaTheme="minorEastAsia"/>
                <w:color w:val="auto"/>
                <w:sz w:val="24"/>
                <w:lang w:eastAsia="zh-CN"/>
              </w:rPr>
              <w:t>、NO</w:t>
            </w:r>
            <w:r>
              <w:rPr>
                <w:rFonts w:hint="default" w:ascii="Times New Roman" w:hAnsi="Times New Roman" w:cs="Times New Roman" w:eastAsiaTheme="minorEastAsia"/>
                <w:color w:val="auto"/>
                <w:sz w:val="24"/>
                <w:vertAlign w:val="subscript"/>
                <w:lang w:eastAsia="zh-CN"/>
              </w:rPr>
              <w:t>2</w:t>
            </w:r>
            <w:r>
              <w:rPr>
                <w:rFonts w:hint="default" w:ascii="Times New Roman" w:hAnsi="Times New Roman" w:cs="Times New Roman" w:eastAsiaTheme="minorEastAsia"/>
                <w:color w:val="auto"/>
                <w:sz w:val="24"/>
                <w:lang w:eastAsia="zh-CN"/>
              </w:rPr>
              <w:t>、O</w:t>
            </w:r>
            <w:r>
              <w:rPr>
                <w:rFonts w:hint="default" w:ascii="Times New Roman" w:hAnsi="Times New Roman" w:cs="Times New Roman" w:eastAsiaTheme="minorEastAsia"/>
                <w:color w:val="auto"/>
                <w:sz w:val="24"/>
                <w:vertAlign w:val="subscript"/>
                <w:lang w:eastAsia="zh-CN"/>
              </w:rPr>
              <w:t>3</w:t>
            </w:r>
            <w:r>
              <w:rPr>
                <w:rFonts w:hint="default" w:ascii="Times New Roman" w:hAnsi="Times New Roman" w:cs="Times New Roman" w:eastAsiaTheme="minorEastAsia"/>
                <w:color w:val="auto"/>
                <w:sz w:val="24"/>
                <w:lang w:eastAsia="zh-CN"/>
              </w:rPr>
              <w:t>、CO年均值均达到《环境空气质量标准》（GB3095-2012）二级标准要求。项目所在区域环境空气质量为达标区。本项目对项目区大气环境质量现状影响较小，不改变所在区域功能区属性</w:t>
            </w:r>
            <w:r>
              <w:rPr>
                <w:rFonts w:hint="default" w:ascii="Times New Roman" w:hAnsi="Times New Roman" w:cs="Times New Roman" w:eastAsiaTheme="minorEastAsia"/>
                <w:color w:val="auto"/>
                <w:sz w:val="24"/>
                <w:lang w:val="en-US" w:eastAsia="zh-CN"/>
              </w:rPr>
              <w:t>，项目运营后，污染物均可达标排放。</w:t>
            </w:r>
          </w:p>
          <w:p w14:paraId="33DAD7DF">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val="en-US" w:eastAsia="zh-CN"/>
              </w:rPr>
              <w:t>②地表水：</w:t>
            </w:r>
            <w:r>
              <w:rPr>
                <w:rFonts w:hint="default" w:ascii="Times New Roman" w:hAnsi="Times New Roman" w:cs="Times New Roman" w:eastAsiaTheme="minorEastAsia"/>
                <w:color w:val="auto"/>
                <w:sz w:val="24"/>
                <w:lang w:eastAsia="zh-CN"/>
              </w:rPr>
              <w:t>根据《202</w:t>
            </w:r>
            <w:r>
              <w:rPr>
                <w:rFonts w:hint="default" w:ascii="Times New Roman" w:hAnsi="Times New Roman" w:cs="Times New Roman" w:eastAsiaTheme="minorEastAsia"/>
                <w:color w:val="auto"/>
                <w:sz w:val="24"/>
                <w:lang w:val="en-US" w:eastAsia="zh-CN"/>
              </w:rPr>
              <w:t>4</w:t>
            </w:r>
            <w:r>
              <w:rPr>
                <w:rFonts w:hint="default" w:ascii="Times New Roman" w:hAnsi="Times New Roman" w:cs="Times New Roman" w:eastAsiaTheme="minorEastAsia"/>
                <w:color w:val="auto"/>
                <w:sz w:val="24"/>
                <w:lang w:eastAsia="zh-CN"/>
              </w:rPr>
              <w:t>年金寨县环境质量年报》中的环境质量现状数据进行地表水质量现状的评价，2024年金寨县国控监测断面共5个，总体水质状况良好，水质年均达到Ⅱ类，均达到考核目标要求。</w:t>
            </w:r>
          </w:p>
          <w:p w14:paraId="4844F6E0">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eastAsia="zh-CN"/>
              </w:rPr>
              <w:t>2024年金寨县省控监测断面共1个，总体水质状况良好，水质年均达到Ⅱ类，达到考核目标要求。</w:t>
            </w:r>
          </w:p>
          <w:p w14:paraId="553E6E00">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eastAsia" w:cs="Times New Roman"/>
                <w:color w:val="auto"/>
                <w:sz w:val="24"/>
                <w:lang w:eastAsia="zh-CN"/>
              </w:rPr>
            </w:pPr>
            <w:r>
              <w:rPr>
                <w:rFonts w:hint="default" w:ascii="Times New Roman" w:hAnsi="Times New Roman" w:cs="Times New Roman" w:eastAsiaTheme="minorEastAsia"/>
                <w:color w:val="auto"/>
                <w:sz w:val="24"/>
                <w:lang w:val="en-US" w:eastAsia="zh-CN"/>
              </w:rPr>
              <w:t>③声环境：</w:t>
            </w:r>
            <w:r>
              <w:rPr>
                <w:rFonts w:hint="eastAsia" w:cs="Times New Roman" w:eastAsiaTheme="minorEastAsia"/>
                <w:color w:val="auto"/>
                <w:sz w:val="24"/>
                <w:lang w:val="en-US" w:eastAsia="zh-CN"/>
              </w:rPr>
              <w:t>根据</w:t>
            </w:r>
            <w:r>
              <w:rPr>
                <w:rFonts w:hint="default" w:ascii="Times New Roman" w:hAnsi="Times New Roman" w:cs="Times New Roman" w:eastAsiaTheme="minorEastAsia"/>
                <w:color w:val="auto"/>
                <w:sz w:val="24"/>
                <w:lang w:val="en-US" w:eastAsia="zh-CN"/>
              </w:rPr>
              <w:t>声环境质量现状监测</w:t>
            </w:r>
            <w:r>
              <w:rPr>
                <w:rFonts w:hint="eastAsia" w:cs="Times New Roman" w:eastAsiaTheme="minorEastAsia"/>
                <w:color w:val="auto"/>
                <w:sz w:val="24"/>
                <w:lang w:val="en-US" w:eastAsia="zh-CN"/>
              </w:rPr>
              <w:t>数据可知，</w:t>
            </w:r>
            <w:r>
              <w:rPr>
                <w:rFonts w:hint="eastAsia"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50m范围内</w:t>
            </w:r>
            <w:r>
              <w:rPr>
                <w:rFonts w:hint="eastAsia" w:ascii="Times New Roman" w:hAnsi="Times New Roman" w:eastAsia="宋体" w:cs="Times New Roman"/>
                <w:color w:val="auto"/>
                <w:sz w:val="24"/>
              </w:rPr>
              <w:t>敏感点满足《声环境质量标准》（GB3096-2008）中2类标准</w:t>
            </w:r>
            <w:r>
              <w:rPr>
                <w:rFonts w:hint="eastAsia" w:cs="Times New Roman"/>
                <w:color w:val="auto"/>
                <w:sz w:val="24"/>
                <w:lang w:eastAsia="zh-CN"/>
              </w:rPr>
              <w:t>。</w:t>
            </w:r>
          </w:p>
          <w:p w14:paraId="44E48566">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val="en-US" w:eastAsia="zh-CN"/>
              </w:rPr>
            </w:pPr>
            <w:r>
              <w:rPr>
                <w:rFonts w:hint="eastAsia" w:cs="Times New Roman"/>
                <w:color w:val="auto"/>
                <w:sz w:val="24"/>
                <w:lang w:eastAsia="zh-CN"/>
              </w:rPr>
              <w:t>同时</w:t>
            </w:r>
            <w:r>
              <w:rPr>
                <w:rFonts w:hint="default" w:ascii="Times New Roman" w:hAnsi="Times New Roman" w:cs="Times New Roman" w:eastAsiaTheme="minorEastAsia"/>
                <w:color w:val="auto"/>
                <w:sz w:val="24"/>
                <w:lang w:val="en-US" w:eastAsia="zh-CN"/>
              </w:rPr>
              <w:t>项目选用低噪声设备、优化布局，高噪声设备采取基础减振，风机进出口与风道连接处采用柔性连接、风机外部采用隔声罩。经预项目厂界噪声排放可满足《工业企业厂界环境噪声排放标准》（GB12348-2008）2 类声环境功能区标准要求。</w:t>
            </w:r>
          </w:p>
          <w:p w14:paraId="3B5BC6E3">
            <w:pPr>
              <w:pStyle w:val="4"/>
              <w:keepNext w:val="0"/>
              <w:keepLines w:val="0"/>
              <w:pageBreakBefore w:val="0"/>
              <w:widowControl w:val="0"/>
              <w:numPr>
                <w:ilvl w:val="2"/>
                <w:numId w:val="0"/>
              </w:numPr>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rPr>
              <w:t>（</w:t>
            </w:r>
            <w:r>
              <w:rPr>
                <w:rFonts w:hint="eastAsia" w:cs="Times New Roman" w:eastAsiaTheme="minorEastAsia"/>
                <w:b w:val="0"/>
                <w:bCs w:val="0"/>
                <w:color w:val="auto"/>
                <w:kern w:val="2"/>
                <w:sz w:val="24"/>
                <w:szCs w:val="24"/>
                <w:lang w:val="en-US" w:eastAsia="zh-CN"/>
              </w:rPr>
              <w:t>3</w:t>
            </w:r>
            <w:r>
              <w:rPr>
                <w:rFonts w:hint="default" w:ascii="Times New Roman" w:hAnsi="Times New Roman" w:cs="Times New Roman" w:eastAsiaTheme="minorEastAsia"/>
                <w:b w:val="0"/>
                <w:bCs w:val="0"/>
                <w:color w:val="auto"/>
                <w:kern w:val="2"/>
                <w:sz w:val="24"/>
                <w:szCs w:val="24"/>
              </w:rPr>
              <w:t>）资源利用上线</w:t>
            </w:r>
          </w:p>
          <w:p w14:paraId="039A5101">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本项目所用资源能源主要为水、电能。项目用水主要为职工生活用水</w:t>
            </w:r>
            <w:r>
              <w:rPr>
                <w:rFonts w:hint="eastAsia" w:cs="Times New Roman" w:eastAsiaTheme="minorEastAsia"/>
                <w:color w:val="auto"/>
                <w:sz w:val="24"/>
                <w:lang w:eastAsia="zh-CN"/>
              </w:rPr>
              <w:t>、锅炉用水</w:t>
            </w:r>
            <w:r>
              <w:rPr>
                <w:rFonts w:hint="default" w:ascii="Times New Roman" w:hAnsi="Times New Roman" w:cs="Times New Roman" w:eastAsiaTheme="minorEastAsia"/>
                <w:color w:val="auto"/>
                <w:sz w:val="24"/>
              </w:rPr>
              <w:t xml:space="preserve">，由市政供水管网供给；项目用电由市政电网统一供给，不会达到资源利用上线；项目建设土地不涉及基本农田，土地资源消耗符合要求。项目建成运行后通过内部管理、设备选择、原辅材料的选用和管理、废物回收利用、污染治理等多方面的措施，可使产生的污染物得到了有效的处置，符合清洁运营的要求。项目在生产过程中尽可能做到合理利用和节约能耗，最大限度地减少物耗及能耗。 </w:t>
            </w:r>
          </w:p>
          <w:p w14:paraId="6BF15A74">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综上</w:t>
            </w:r>
            <w:r>
              <w:rPr>
                <w:rFonts w:hint="default" w:ascii="Times New Roman" w:hAnsi="Times New Roman" w:cs="Times New Roman" w:eastAsiaTheme="minorEastAsia"/>
                <w:color w:val="auto"/>
                <w:sz w:val="24"/>
                <w:lang w:val="en-US" w:eastAsia="zh-CN"/>
              </w:rPr>
              <w:t>，本项目符合资源利用上线的要求。</w:t>
            </w:r>
          </w:p>
          <w:p w14:paraId="01BF209E">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w:t>
            </w:r>
            <w:r>
              <w:rPr>
                <w:rFonts w:hint="eastAsia" w:cs="Times New Roman" w:eastAsiaTheme="minorEastAsia"/>
                <w:color w:val="auto"/>
                <w:sz w:val="24"/>
                <w:lang w:val="en-US" w:eastAsia="zh-CN"/>
              </w:rPr>
              <w:t>4</w:t>
            </w:r>
            <w:r>
              <w:rPr>
                <w:rFonts w:hint="default" w:ascii="Times New Roman" w:hAnsi="Times New Roman" w:cs="Times New Roman" w:eastAsiaTheme="minorEastAsia"/>
                <w:color w:val="auto"/>
                <w:sz w:val="24"/>
                <w:lang w:val="en-US" w:eastAsia="zh-CN"/>
              </w:rPr>
              <w:t>）生态环境准入清单</w:t>
            </w:r>
          </w:p>
          <w:p w14:paraId="4CED05A8">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本项目不属于照国家发改委颁布的《产业结构调整指导目录（2024年本）》中的淘汰类和限制类，属于允许类项目，符合国家产业政策。</w:t>
            </w:r>
          </w:p>
          <w:p w14:paraId="02808C3D">
            <w:pPr>
              <w:keepNext w:val="0"/>
              <w:keepLines w:val="0"/>
              <w:pageBreakBefore w:val="0"/>
              <w:widowControl w:val="0"/>
              <w:numPr>
                <w:ilvl w:val="0"/>
                <w:numId w:val="0"/>
              </w:numPr>
              <w:kinsoku/>
              <w:wordWrap/>
              <w:overflowPunct/>
              <w:bidi w:val="0"/>
              <w:adjustRightInd/>
              <w:snapToGrid/>
              <w:spacing w:line="360" w:lineRule="auto"/>
              <w:ind w:leftChars="200"/>
              <w:jc w:val="left"/>
              <w:textAlignment w:val="auto"/>
              <w:rPr>
                <w:rFonts w:hint="default" w:ascii="Times New Roman" w:hAnsi="Times New Roman" w:cs="Times New Roman" w:eastAsiaTheme="minorEastAsia"/>
                <w:color w:val="auto"/>
                <w:sz w:val="24"/>
              </w:rPr>
            </w:pPr>
            <w:r>
              <w:rPr>
                <w:rFonts w:hint="eastAsia" w:cs="Times New Roman" w:eastAsiaTheme="minorEastAsia"/>
                <w:color w:val="auto"/>
                <w:sz w:val="24"/>
                <w:lang w:eastAsia="zh-CN"/>
              </w:rPr>
              <w:t>（</w:t>
            </w:r>
            <w:r>
              <w:rPr>
                <w:rFonts w:hint="eastAsia" w:cs="Times New Roman" w:eastAsiaTheme="minorEastAsia"/>
                <w:color w:val="auto"/>
                <w:sz w:val="24"/>
                <w:lang w:val="en-US" w:eastAsia="zh-CN"/>
              </w:rPr>
              <w:t>5</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rPr>
              <w:t>与分区管控符合性分析</w:t>
            </w:r>
          </w:p>
          <w:p w14:paraId="7B2B844D">
            <w:pPr>
              <w:keepNext w:val="0"/>
              <w:keepLines w:val="0"/>
              <w:pageBreakBefore w:val="0"/>
              <w:widowControl w:val="0"/>
              <w:numPr>
                <w:ilvl w:val="0"/>
                <w:numId w:val="0"/>
              </w:numPr>
              <w:kinsoku/>
              <w:wordWrap/>
              <w:overflowPunct/>
              <w:bidi w:val="0"/>
              <w:adjustRightInd/>
              <w:snapToGrid/>
              <w:spacing w:line="360" w:lineRule="auto"/>
              <w:ind w:left="0" w:leftChars="0"/>
              <w:jc w:val="left"/>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rPr>
              <mc:AlternateContent>
                <mc:Choice Requires="wps">
                  <w:drawing>
                    <wp:anchor distT="0" distB="0" distL="114300" distR="114300" simplePos="0" relativeHeight="251664384" behindDoc="0" locked="0" layoutInCell="1" allowOverlap="1">
                      <wp:simplePos x="0" y="0"/>
                      <wp:positionH relativeFrom="column">
                        <wp:posOffset>2575560</wp:posOffset>
                      </wp:positionH>
                      <wp:positionV relativeFrom="paragraph">
                        <wp:posOffset>584200</wp:posOffset>
                      </wp:positionV>
                      <wp:extent cx="698500" cy="283210"/>
                      <wp:effectExtent l="59055" t="6350" r="23495" b="205740"/>
                      <wp:wrapNone/>
                      <wp:docPr id="21" name="矩形标注 21"/>
                      <wp:cNvGraphicFramePr/>
                      <a:graphic xmlns:a="http://schemas.openxmlformats.org/drawingml/2006/main">
                        <a:graphicData uri="http://schemas.microsoft.com/office/word/2010/wordprocessingShape">
                          <wps:wsp>
                            <wps:cNvSpPr/>
                            <wps:spPr>
                              <a:xfrm>
                                <a:off x="0" y="0"/>
                                <a:ext cx="698500" cy="283210"/>
                              </a:xfrm>
                              <a:prstGeom prst="wedgeRectCallout">
                                <a:avLst>
                                  <a:gd name="adj1" fmla="val -57545"/>
                                  <a:gd name="adj2" fmla="val 115636"/>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43881E2">
                                  <w:pPr>
                                    <w:jc w:val="center"/>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2.8pt;margin-top:46pt;height:22.3pt;width:55pt;z-index:251664384;v-text-anchor:middle;mso-width-relative:page;mso-height-relative:page;" filled="f" stroked="t" coordsize="21600,21600" o:gfxdata="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YKu1jYAAAACgEAAA8AAAAAAAAAAQAgAAAAIgAAAGRycy9kb3ducmV2LnhtbFBLAQIUABQA&#10;AAAIAIdO4kDiPY0amwIAACUFAAAOAAAAAAAAAAEAIAAAACcBAABkcnMvZTJvRG9jLnhtbFBLBQYA&#10;AAAABgAGAFkBAAA0BgAAAAA=&#10;" adj="-1630,35777">
                      <v:fill on="f" focussize="0,0"/>
                      <v:stroke weight="1pt" color="#000000 [3213]" joinstyle="round"/>
                      <v:imagedata o:title=""/>
                      <o:lock v:ext="edit" aspectratio="f"/>
                      <v:textbox>
                        <w:txbxContent>
                          <w:p w14:paraId="743881E2">
                            <w:pPr>
                              <w:jc w:val="center"/>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本项目</w:t>
                            </w:r>
                          </w:p>
                        </w:txbxContent>
                      </v:textbox>
                    </v:shape>
                  </w:pict>
                </mc:Fallback>
              </mc:AlternateContent>
            </w:r>
            <w:r>
              <w:rPr>
                <w:rFonts w:hint="default" w:ascii="Times New Roman" w:hAnsi="Times New Roman" w:cs="Times New Roman" w:eastAsiaTheme="minorEastAsia"/>
                <w:color w:val="auto"/>
                <w:sz w:val="24"/>
                <w:szCs w:val="24"/>
              </w:rPr>
              <w:drawing>
                <wp:anchor distT="0" distB="0" distL="114300" distR="114300" simplePos="0" relativeHeight="251665408" behindDoc="0" locked="0" layoutInCell="1" allowOverlap="1">
                  <wp:simplePos x="0" y="0"/>
                  <wp:positionH relativeFrom="column">
                    <wp:posOffset>3853180</wp:posOffset>
                  </wp:positionH>
                  <wp:positionV relativeFrom="paragraph">
                    <wp:posOffset>1257300</wp:posOffset>
                  </wp:positionV>
                  <wp:extent cx="895985" cy="758825"/>
                  <wp:effectExtent l="0" t="0" r="18415" b="3175"/>
                  <wp:wrapNone/>
                  <wp:docPr id="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6"/>
                          <pic:cNvPicPr>
                            <a:picLocks noChangeAspect="1"/>
                          </pic:cNvPicPr>
                        </pic:nvPicPr>
                        <pic:blipFill>
                          <a:blip r:embed="rId9"/>
                          <a:stretch>
                            <a:fillRect/>
                          </a:stretch>
                        </pic:blipFill>
                        <pic:spPr>
                          <a:xfrm>
                            <a:off x="0" y="0"/>
                            <a:ext cx="895985" cy="758825"/>
                          </a:xfrm>
                          <a:prstGeom prst="rect">
                            <a:avLst/>
                          </a:prstGeom>
                          <a:noFill/>
                          <a:ln w="9525">
                            <a:noFill/>
                          </a:ln>
                        </pic:spPr>
                      </pic:pic>
                    </a:graphicData>
                  </a:graphic>
                </wp:anchor>
              </w:drawing>
            </w:r>
            <w:r>
              <w:rPr>
                <w:rFonts w:hint="default" w:ascii="Times New Roman" w:hAnsi="Times New Roman" w:cs="Times New Roman" w:eastAsiaTheme="minorEastAsia"/>
                <w:color w:val="auto"/>
                <w:sz w:val="24"/>
                <w:lang w:eastAsia="zh-CN"/>
              </w:rPr>
              <w:drawing>
                <wp:inline distT="0" distB="0" distL="114300" distR="114300">
                  <wp:extent cx="4826000" cy="2178050"/>
                  <wp:effectExtent l="0" t="0" r="12700" b="12700"/>
                  <wp:docPr id="15" name="图片 15" descr="f62d6cac-ba04-473e-bc81-9152c609c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62d6cac-ba04-473e-bc81-9152c609c301"/>
                          <pic:cNvPicPr>
                            <a:picLocks noChangeAspect="1"/>
                          </pic:cNvPicPr>
                        </pic:nvPicPr>
                        <pic:blipFill>
                          <a:blip r:embed="rId10"/>
                          <a:stretch>
                            <a:fillRect/>
                          </a:stretch>
                        </pic:blipFill>
                        <pic:spPr>
                          <a:xfrm>
                            <a:off x="0" y="0"/>
                            <a:ext cx="4826000" cy="2178050"/>
                          </a:xfrm>
                          <a:prstGeom prst="rect">
                            <a:avLst/>
                          </a:prstGeom>
                        </pic:spPr>
                      </pic:pic>
                    </a:graphicData>
                  </a:graphic>
                </wp:inline>
              </w:drawing>
            </w:r>
          </w:p>
          <w:p w14:paraId="26E10608">
            <w:pPr>
              <w:keepNext w:val="0"/>
              <w:keepLines w:val="0"/>
              <w:pageBreakBefore w:val="0"/>
              <w:widowControl w:val="0"/>
              <w:kinsoku/>
              <w:wordWrap/>
              <w:overflowPunct/>
              <w:bidi w:val="0"/>
              <w:adjustRightInd/>
              <w:snapToGrid/>
              <w:spacing w:line="360" w:lineRule="auto"/>
              <w:ind w:left="0" w:leftChars="0"/>
              <w:jc w:val="center"/>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图1-</w:t>
            </w:r>
            <w:r>
              <w:rPr>
                <w:rFonts w:hint="default" w:ascii="Times New Roman" w:hAnsi="Times New Roman" w:cs="Times New Roman" w:eastAsiaTheme="minorEastAsia"/>
                <w:b/>
                <w:bCs/>
                <w:color w:val="auto"/>
                <w:sz w:val="24"/>
                <w:lang w:val="en-US" w:eastAsia="zh-CN"/>
              </w:rPr>
              <w:t>2</w:t>
            </w:r>
            <w:r>
              <w:rPr>
                <w:rFonts w:hint="default" w:ascii="Times New Roman" w:hAnsi="Times New Roman" w:cs="Times New Roman" w:eastAsiaTheme="minorEastAsia"/>
                <w:b/>
                <w:bCs/>
                <w:color w:val="auto"/>
                <w:sz w:val="24"/>
              </w:rPr>
              <w:t xml:space="preserve"> 项目与</w:t>
            </w:r>
            <w:r>
              <w:rPr>
                <w:rFonts w:hint="default" w:ascii="Times New Roman" w:hAnsi="Times New Roman" w:cs="Times New Roman" w:eastAsiaTheme="minorEastAsia"/>
                <w:b/>
                <w:bCs/>
                <w:color w:val="auto"/>
                <w:sz w:val="24"/>
                <w:lang w:val="en-US" w:eastAsia="zh-CN"/>
              </w:rPr>
              <w:t>六安</w:t>
            </w:r>
            <w:r>
              <w:rPr>
                <w:rFonts w:hint="default" w:ascii="Times New Roman" w:hAnsi="Times New Roman" w:cs="Times New Roman" w:eastAsiaTheme="minorEastAsia"/>
                <w:b/>
                <w:bCs/>
                <w:color w:val="auto"/>
                <w:sz w:val="24"/>
              </w:rPr>
              <w:t>市分区管控位置关系</w:t>
            </w:r>
          </w:p>
          <w:p w14:paraId="0E618063">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经在安徽省“</w:t>
            </w:r>
            <w:r>
              <w:rPr>
                <w:rFonts w:hint="default" w:ascii="Times New Roman" w:hAnsi="Times New Roman" w:cs="Times New Roman" w:eastAsiaTheme="minorEastAsia"/>
                <w:color w:val="auto"/>
                <w:sz w:val="24"/>
                <w:lang w:eastAsia="zh-CN"/>
              </w:rPr>
              <w:t>三线一单</w:t>
            </w:r>
            <w:r>
              <w:rPr>
                <w:rFonts w:hint="default" w:ascii="Times New Roman" w:hAnsi="Times New Roman" w:cs="Times New Roman" w:eastAsiaTheme="minorEastAsia"/>
                <w:color w:val="auto"/>
                <w:sz w:val="24"/>
              </w:rPr>
              <w:t>”公众服务平台查询，项目所在区域管控单元编码为：ZH34152430036，</w:t>
            </w:r>
            <w:r>
              <w:rPr>
                <w:rFonts w:hint="default" w:ascii="Times New Roman" w:hAnsi="Times New Roman" w:cs="Times New Roman" w:eastAsiaTheme="minorEastAsia"/>
                <w:color w:val="auto"/>
                <w:sz w:val="24"/>
                <w:lang w:eastAsia="zh-CN"/>
              </w:rPr>
              <w:t>一般</w:t>
            </w:r>
            <w:r>
              <w:rPr>
                <w:rFonts w:hint="default" w:ascii="Times New Roman" w:hAnsi="Times New Roman" w:cs="Times New Roman" w:eastAsiaTheme="minorEastAsia"/>
                <w:color w:val="auto"/>
                <w:sz w:val="24"/>
              </w:rPr>
              <w:t>管控单元</w:t>
            </w:r>
            <w:r>
              <w:rPr>
                <w:rFonts w:hint="default" w:ascii="Times New Roman" w:hAnsi="Times New Roman" w:cs="Times New Roman" w:eastAsiaTheme="minorEastAsia"/>
                <w:color w:val="auto"/>
                <w:sz w:val="24"/>
                <w:lang w:val="en-US" w:eastAsia="zh-CN"/>
              </w:rPr>
              <w:t>6</w:t>
            </w:r>
            <w:r>
              <w:rPr>
                <w:rFonts w:hint="default" w:ascii="Times New Roman" w:hAnsi="Times New Roman" w:cs="Times New Roman" w:eastAsiaTheme="minorEastAsia"/>
                <w:color w:val="auto"/>
                <w:sz w:val="24"/>
              </w:rPr>
              <w:t>。</w:t>
            </w:r>
          </w:p>
          <w:p w14:paraId="4E6D7B38">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①水环境分区管控</w:t>
            </w:r>
          </w:p>
          <w:p w14:paraId="234C0C84">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对照</w:t>
            </w:r>
            <w:r>
              <w:rPr>
                <w:rFonts w:hint="default" w:ascii="Times New Roman" w:hAnsi="Times New Roman" w:cs="Times New Roman" w:eastAsiaTheme="minorEastAsia"/>
                <w:color w:val="auto"/>
                <w:sz w:val="24"/>
                <w:lang w:eastAsia="zh-CN"/>
              </w:rPr>
              <w:t>六安市</w:t>
            </w:r>
            <w:r>
              <w:rPr>
                <w:rFonts w:hint="default" w:ascii="Times New Roman" w:hAnsi="Times New Roman" w:cs="Times New Roman" w:eastAsiaTheme="minorEastAsia"/>
                <w:color w:val="auto"/>
                <w:sz w:val="24"/>
              </w:rPr>
              <w:t>水环境管控分区图，项目位于</w:t>
            </w:r>
            <w:r>
              <w:rPr>
                <w:rFonts w:hint="default" w:ascii="Times New Roman" w:hAnsi="Times New Roman" w:cs="Times New Roman" w:eastAsiaTheme="minorEastAsia"/>
                <w:color w:val="auto"/>
                <w:sz w:val="24"/>
                <w:lang w:val="en-US" w:eastAsia="zh-CN"/>
              </w:rPr>
              <w:t>一般管控区</w:t>
            </w:r>
            <w:r>
              <w:rPr>
                <w:rFonts w:hint="default" w:ascii="Times New Roman" w:hAnsi="Times New Roman" w:cs="Times New Roman" w:eastAsiaTheme="minorEastAsia"/>
                <w:color w:val="auto"/>
                <w:sz w:val="24"/>
              </w:rPr>
              <w:t>。</w:t>
            </w:r>
          </w:p>
          <w:p w14:paraId="082345D7">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具体管理要求：落实《安徽省2025年用水总量和用水效率控制指标的函》《六安市水利发展“十四五”规划》（六政办〔2021〕30 号）《六安市水资源综合规划（2020-2030年）》《关于落实“十四五”用水总量和强度双控目标的通知》《关于下达“十四五”用水总量和强度双控目标的通知》（六水办资管〔2022〕135号）等文件要求。</w:t>
            </w:r>
          </w:p>
          <w:p w14:paraId="645E0F33">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本项目属于</w:t>
            </w:r>
            <w:r>
              <w:rPr>
                <w:rFonts w:hint="default" w:ascii="Times New Roman" w:hAnsi="Times New Roman" w:cs="Times New Roman" w:eastAsiaTheme="minorEastAsia"/>
                <w:color w:val="auto"/>
                <w:sz w:val="24"/>
                <w:lang w:eastAsia="zh-CN"/>
              </w:rPr>
              <w:t>C</w:t>
            </w:r>
            <w:r>
              <w:rPr>
                <w:rFonts w:hint="default" w:ascii="Times New Roman" w:hAnsi="Times New Roman" w:cs="Times New Roman" w:eastAsiaTheme="minorEastAsia"/>
                <w:color w:val="auto"/>
                <w:sz w:val="24"/>
                <w:lang w:val="en-US" w:eastAsia="zh-CN"/>
              </w:rPr>
              <w:t>2041 竹制品制造</w:t>
            </w:r>
            <w:r>
              <w:rPr>
                <w:rFonts w:hint="default" w:ascii="Times New Roman" w:hAnsi="Times New Roman" w:cs="Times New Roman" w:eastAsiaTheme="minorEastAsia"/>
                <w:color w:val="auto"/>
                <w:sz w:val="24"/>
              </w:rPr>
              <w:t>，为新建项目，项目生活污水经化粪池处理后，</w:t>
            </w:r>
            <w:r>
              <w:rPr>
                <w:rFonts w:hint="default" w:ascii="Times New Roman" w:hAnsi="Times New Roman" w:cs="Times New Roman" w:eastAsiaTheme="minorEastAsia"/>
                <w:color w:val="auto"/>
                <w:sz w:val="24"/>
                <w:lang w:eastAsia="zh-CN"/>
              </w:rPr>
              <w:t>定期清掏外运</w:t>
            </w:r>
            <w:r>
              <w:rPr>
                <w:rFonts w:hint="eastAsia" w:cs="Times New Roman" w:eastAsiaTheme="minorEastAsia"/>
                <w:color w:val="auto"/>
                <w:sz w:val="24"/>
                <w:lang w:eastAsia="zh-CN"/>
              </w:rPr>
              <w:t>用作周边农田施肥</w:t>
            </w:r>
            <w:r>
              <w:rPr>
                <w:rFonts w:hint="default" w:ascii="Times New Roman" w:hAnsi="Times New Roman" w:cs="Times New Roman" w:eastAsiaTheme="minorEastAsia"/>
                <w:color w:val="auto"/>
                <w:sz w:val="24"/>
                <w:lang w:eastAsia="zh-CN"/>
              </w:rPr>
              <w:t>；喷淋塔废水沉淀后循环使用，不外排。</w:t>
            </w:r>
            <w:r>
              <w:rPr>
                <w:rFonts w:hint="default" w:ascii="Times New Roman" w:hAnsi="Times New Roman" w:cs="Times New Roman" w:eastAsiaTheme="minorEastAsia"/>
                <w:color w:val="auto"/>
                <w:sz w:val="24"/>
              </w:rPr>
              <w:t>满足</w:t>
            </w:r>
            <w:r>
              <w:rPr>
                <w:rFonts w:hint="default" w:ascii="Times New Roman" w:hAnsi="Times New Roman" w:cs="Times New Roman" w:eastAsiaTheme="minorEastAsia"/>
                <w:color w:val="auto"/>
                <w:sz w:val="24"/>
                <w:lang w:val="en-US" w:eastAsia="zh-CN"/>
              </w:rPr>
              <w:t>一般管控区</w:t>
            </w:r>
            <w:r>
              <w:rPr>
                <w:rFonts w:hint="default" w:ascii="Times New Roman" w:hAnsi="Times New Roman" w:cs="Times New Roman" w:eastAsiaTheme="minorEastAsia"/>
                <w:color w:val="auto"/>
                <w:sz w:val="24"/>
              </w:rPr>
              <w:t>要求。</w:t>
            </w:r>
          </w:p>
          <w:p w14:paraId="336462F0">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②大气环境分区管控</w:t>
            </w:r>
          </w:p>
          <w:p w14:paraId="2C7CE682">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对照</w:t>
            </w:r>
            <w:r>
              <w:rPr>
                <w:rFonts w:hint="default" w:ascii="Times New Roman" w:hAnsi="Times New Roman" w:cs="Times New Roman" w:eastAsiaTheme="minorEastAsia"/>
                <w:color w:val="auto"/>
                <w:sz w:val="24"/>
                <w:lang w:eastAsia="zh-CN"/>
              </w:rPr>
              <w:t>六安市</w:t>
            </w:r>
            <w:r>
              <w:rPr>
                <w:rFonts w:hint="default" w:ascii="Times New Roman" w:hAnsi="Times New Roman" w:cs="Times New Roman" w:eastAsiaTheme="minorEastAsia"/>
                <w:color w:val="auto"/>
                <w:sz w:val="24"/>
              </w:rPr>
              <w:t>大气环境管控分区图，项目位于</w:t>
            </w:r>
            <w:r>
              <w:rPr>
                <w:rFonts w:hint="default" w:ascii="Times New Roman" w:hAnsi="Times New Roman" w:cs="Times New Roman" w:eastAsiaTheme="minorEastAsia"/>
                <w:color w:val="auto"/>
                <w:sz w:val="24"/>
                <w:lang w:val="en-US" w:eastAsia="zh-CN"/>
              </w:rPr>
              <w:t>一般管控区</w:t>
            </w:r>
            <w:r>
              <w:rPr>
                <w:rFonts w:hint="default" w:ascii="Times New Roman" w:hAnsi="Times New Roman" w:cs="Times New Roman" w:eastAsiaTheme="minorEastAsia"/>
                <w:color w:val="auto"/>
                <w:sz w:val="24"/>
              </w:rPr>
              <w:t>。</w:t>
            </w:r>
          </w:p>
          <w:p w14:paraId="3860B292">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具体管理要求：依据《中华人民共和国大气污染防治法》《安徽省大气污染防治条例》《安徽省碳达峰实施方案的通知》《安徽省工业领域碳达峰实施方案》《安徽省城乡建设领域碳达峰实施方案》等法律法规和规章对一般管控区实施管控。新建、改建和扩建项目大气污染物实施“倍量替代”，执行特别排放标准的行业实施提标升级改造。</w:t>
            </w:r>
          </w:p>
          <w:p w14:paraId="1D53DE69">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本项目属于</w:t>
            </w:r>
            <w:r>
              <w:rPr>
                <w:rFonts w:hint="default" w:ascii="Times New Roman" w:hAnsi="Times New Roman" w:cs="Times New Roman" w:eastAsiaTheme="minorEastAsia"/>
                <w:color w:val="auto"/>
                <w:sz w:val="24"/>
                <w:lang w:eastAsia="zh-CN"/>
              </w:rPr>
              <w:t>C</w:t>
            </w:r>
            <w:r>
              <w:rPr>
                <w:rFonts w:hint="default" w:ascii="Times New Roman" w:hAnsi="Times New Roman" w:cs="Times New Roman" w:eastAsiaTheme="minorEastAsia"/>
                <w:color w:val="auto"/>
                <w:sz w:val="24"/>
                <w:lang w:val="en-US" w:eastAsia="zh-CN"/>
              </w:rPr>
              <w:t>2041 竹制品制造</w:t>
            </w:r>
            <w:r>
              <w:rPr>
                <w:rFonts w:hint="default" w:ascii="Times New Roman" w:hAnsi="Times New Roman" w:cs="Times New Roman" w:eastAsiaTheme="minorEastAsia"/>
                <w:color w:val="auto"/>
                <w:sz w:val="24"/>
              </w:rPr>
              <w:t>，项目建设运营期</w:t>
            </w:r>
            <w:r>
              <w:rPr>
                <w:rFonts w:hint="eastAsia" w:cs="Times New Roman" w:eastAsiaTheme="minorEastAsia"/>
                <w:color w:val="auto"/>
                <w:sz w:val="24"/>
                <w:lang w:eastAsia="zh-CN"/>
              </w:rPr>
              <w:t>生物质锅炉废气</w:t>
            </w:r>
            <w:r>
              <w:rPr>
                <w:rFonts w:hint="default" w:ascii="Times New Roman" w:hAnsi="Times New Roman" w:cs="Times New Roman" w:eastAsiaTheme="minorEastAsia"/>
                <w:color w:val="auto"/>
                <w:sz w:val="24"/>
              </w:rPr>
              <w:t>排放</w:t>
            </w:r>
            <w:r>
              <w:rPr>
                <w:rFonts w:hint="eastAsia" w:cs="Times New Roman" w:eastAsiaTheme="minorEastAsia"/>
                <w:color w:val="auto"/>
                <w:sz w:val="24"/>
                <w:lang w:eastAsia="zh-CN"/>
              </w:rPr>
              <w:t>执行超低排放标准</w:t>
            </w:r>
            <w:r>
              <w:rPr>
                <w:rFonts w:hint="default" w:ascii="Times New Roman" w:hAnsi="Times New Roman" w:cs="Times New Roman" w:eastAsiaTheme="minorEastAsia"/>
                <w:color w:val="auto"/>
                <w:sz w:val="24"/>
              </w:rPr>
              <w:t>，本项目的建设不会导致当地大气环境质量恶化，满足大气环境</w:t>
            </w:r>
            <w:r>
              <w:rPr>
                <w:rFonts w:hint="default" w:ascii="Times New Roman" w:hAnsi="Times New Roman" w:cs="Times New Roman" w:eastAsiaTheme="minorEastAsia"/>
                <w:color w:val="auto"/>
                <w:sz w:val="24"/>
                <w:lang w:val="en-US" w:eastAsia="zh-CN"/>
              </w:rPr>
              <w:t>布局一般管控区</w:t>
            </w:r>
            <w:r>
              <w:rPr>
                <w:rFonts w:hint="default" w:ascii="Times New Roman" w:hAnsi="Times New Roman" w:cs="Times New Roman" w:eastAsiaTheme="minorEastAsia"/>
                <w:color w:val="auto"/>
                <w:sz w:val="24"/>
              </w:rPr>
              <w:t>要求。</w:t>
            </w:r>
          </w:p>
          <w:p w14:paraId="213D6F6B">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③土壤环境分区管控</w:t>
            </w:r>
          </w:p>
          <w:p w14:paraId="3B502622">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对照</w:t>
            </w:r>
            <w:r>
              <w:rPr>
                <w:rFonts w:hint="default" w:ascii="Times New Roman" w:hAnsi="Times New Roman" w:cs="Times New Roman" w:eastAsiaTheme="minorEastAsia"/>
                <w:color w:val="auto"/>
                <w:sz w:val="24"/>
                <w:lang w:eastAsia="zh-CN"/>
              </w:rPr>
              <w:t>六安市</w:t>
            </w:r>
            <w:r>
              <w:rPr>
                <w:rFonts w:hint="default" w:ascii="Times New Roman" w:hAnsi="Times New Roman" w:cs="Times New Roman" w:eastAsiaTheme="minorEastAsia"/>
                <w:color w:val="auto"/>
                <w:sz w:val="24"/>
              </w:rPr>
              <w:t>土壤环境管控分区图，项目位于一般防控区。</w:t>
            </w:r>
          </w:p>
          <w:p w14:paraId="31489CA5">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具体管控要求：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六安市“十四五”生态环境保护规划》《六安市土壤污染防治工作方案》等要求对一般管控区实施管控。</w:t>
            </w:r>
          </w:p>
          <w:p w14:paraId="06FCB23D">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拟建项目属于</w:t>
            </w:r>
            <w:r>
              <w:rPr>
                <w:rFonts w:hint="default" w:ascii="Times New Roman" w:hAnsi="Times New Roman" w:cs="Times New Roman" w:eastAsiaTheme="minorEastAsia"/>
                <w:color w:val="auto"/>
                <w:sz w:val="24"/>
                <w:lang w:eastAsia="zh-CN"/>
              </w:rPr>
              <w:t>C</w:t>
            </w:r>
            <w:r>
              <w:rPr>
                <w:rFonts w:hint="default" w:ascii="Times New Roman" w:hAnsi="Times New Roman" w:cs="Times New Roman" w:eastAsiaTheme="minorEastAsia"/>
                <w:color w:val="auto"/>
                <w:sz w:val="24"/>
                <w:lang w:val="en-US" w:eastAsia="zh-CN"/>
              </w:rPr>
              <w:t>2041 竹制品制造</w:t>
            </w:r>
            <w:r>
              <w:rPr>
                <w:rFonts w:hint="default" w:ascii="Times New Roman" w:hAnsi="Times New Roman" w:cs="Times New Roman" w:eastAsiaTheme="minorEastAsia"/>
                <w:color w:val="auto"/>
                <w:sz w:val="24"/>
              </w:rPr>
              <w:t>，本项目危废暂存间地面做好防渗措施，项目实施后基本不会对区域土壤环境产生影响，满足土壤环境一般防控区管控要求。</w:t>
            </w:r>
          </w:p>
          <w:p w14:paraId="076F1C88">
            <w:pPr>
              <w:keepNext w:val="0"/>
              <w:keepLines w:val="0"/>
              <w:pageBreakBefore w:val="0"/>
              <w:widowControl w:val="0"/>
              <w:kinsoku/>
              <w:wordWrap/>
              <w:overflowPunct/>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综上所述，本项目建设符合“安徽省六安市生态环境分区管控”的要求。</w:t>
            </w:r>
          </w:p>
          <w:p w14:paraId="630A2EF2">
            <w:pPr>
              <w:keepNext w:val="0"/>
              <w:keepLines w:val="0"/>
              <w:pageBreakBefore w:val="0"/>
              <w:widowControl w:val="0"/>
              <w:kinsoku/>
              <w:wordWrap/>
              <w:overflowPunct/>
              <w:bidi w:val="0"/>
              <w:adjustRightInd/>
              <w:snapToGrid/>
              <w:spacing w:line="360" w:lineRule="auto"/>
              <w:ind w:left="0" w:leftChars="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val="en-US" w:eastAsia="zh-CN"/>
              </w:rPr>
              <w:t>5</w:t>
            </w:r>
            <w:r>
              <w:rPr>
                <w:rFonts w:hint="default" w:ascii="Times New Roman" w:hAnsi="Times New Roman" w:cs="Times New Roman" w:eastAsiaTheme="minorEastAsia"/>
                <w:b/>
                <w:bCs/>
                <w:color w:val="auto"/>
                <w:sz w:val="24"/>
              </w:rPr>
              <w:t>、项目与相关环保政策相符性分析</w:t>
            </w:r>
          </w:p>
          <w:p w14:paraId="1613CCE5">
            <w:pPr>
              <w:keepNext w:val="0"/>
              <w:keepLines w:val="0"/>
              <w:pageBreakBefore w:val="0"/>
              <w:widowControl w:val="0"/>
              <w:numPr>
                <w:ilvl w:val="0"/>
                <w:numId w:val="0"/>
              </w:numPr>
              <w:kinsoku/>
              <w:wordWrap/>
              <w:overflowPunct/>
              <w:bidi w:val="0"/>
              <w:adjustRightInd/>
              <w:snapToGrid/>
              <w:spacing w:line="360" w:lineRule="auto"/>
              <w:ind w:left="0" w:leftChars="0" w:firstLine="480" w:firstLineChars="200"/>
              <w:jc w:val="left"/>
              <w:textAlignment w:val="auto"/>
              <w:rPr>
                <w:rFonts w:hint="default" w:ascii="Times New Roman" w:hAnsi="Times New Roman" w:cs="Times New Roman" w:eastAsiaTheme="minorEastAsia"/>
                <w:color w:val="auto"/>
                <w:kern w:val="0"/>
                <w:sz w:val="24"/>
                <w:szCs w:val="20"/>
              </w:rPr>
            </w:pPr>
            <w:r>
              <w:rPr>
                <w:rFonts w:hint="default" w:ascii="Times New Roman" w:hAnsi="Times New Roman" w:cs="Times New Roman" w:eastAsiaTheme="minorEastAsia"/>
                <w:color w:val="auto"/>
                <w:kern w:val="0"/>
                <w:sz w:val="24"/>
                <w:szCs w:val="20"/>
              </w:rPr>
              <w:t>对照</w:t>
            </w:r>
            <w:r>
              <w:rPr>
                <w:rFonts w:hint="default" w:ascii="Times New Roman" w:hAnsi="Times New Roman" w:cs="Times New Roman" w:eastAsiaTheme="minorEastAsia"/>
                <w:color w:val="auto"/>
                <w:kern w:val="0"/>
                <w:sz w:val="24"/>
                <w:szCs w:val="20"/>
                <w:lang w:val="en-US" w:eastAsia="zh-CN" w:bidi="ar-SA"/>
              </w:rPr>
              <w:t>《安徽省淮河流域水污染防治条例》</w:t>
            </w:r>
            <w:r>
              <w:rPr>
                <w:rFonts w:hint="default" w:ascii="Times New Roman" w:hAnsi="Times New Roman" w:cs="Times New Roman" w:eastAsiaTheme="minorEastAsia"/>
                <w:color w:val="auto"/>
                <w:kern w:val="0"/>
                <w:sz w:val="24"/>
                <w:szCs w:val="20"/>
                <w:lang w:eastAsia="zh-CN"/>
              </w:rPr>
              <w:t>、</w:t>
            </w:r>
            <w:r>
              <w:rPr>
                <w:rFonts w:hint="default" w:ascii="Times New Roman" w:hAnsi="Times New Roman" w:cs="Times New Roman" w:eastAsiaTheme="minorEastAsia"/>
                <w:color w:val="auto"/>
                <w:kern w:val="0"/>
                <w:sz w:val="24"/>
                <w:szCs w:val="20"/>
                <w:lang w:val="en-US" w:eastAsia="zh-CN"/>
              </w:rPr>
              <w:t>《安徽省“十四五”生态环境保护规划》皖环发〔2022〕8号、</w:t>
            </w:r>
            <w:r>
              <w:rPr>
                <w:rFonts w:hint="default" w:ascii="Times New Roman" w:hAnsi="Times New Roman" w:cs="Times New Roman" w:eastAsiaTheme="minorEastAsia"/>
                <w:color w:val="auto"/>
                <w:kern w:val="0"/>
                <w:sz w:val="24"/>
                <w:szCs w:val="20"/>
              </w:rPr>
              <w:t>《</w:t>
            </w:r>
            <w:r>
              <w:rPr>
                <w:rFonts w:hint="default" w:ascii="Times New Roman" w:hAnsi="Times New Roman" w:cs="Times New Roman" w:eastAsiaTheme="minorEastAsia"/>
                <w:color w:val="auto"/>
                <w:kern w:val="0"/>
                <w:sz w:val="24"/>
                <w:szCs w:val="20"/>
                <w:lang w:val="en-US" w:eastAsia="zh-CN"/>
              </w:rPr>
              <w:t>金寨县“十四五”生态环境保护规划</w:t>
            </w:r>
            <w:r>
              <w:rPr>
                <w:rFonts w:hint="default" w:ascii="Times New Roman" w:hAnsi="Times New Roman" w:cs="Times New Roman" w:eastAsiaTheme="minorEastAsia"/>
                <w:color w:val="auto"/>
                <w:kern w:val="0"/>
                <w:sz w:val="24"/>
                <w:szCs w:val="20"/>
                <w:lang w:eastAsia="zh-CN"/>
              </w:rPr>
              <w:t>》</w:t>
            </w:r>
            <w:r>
              <w:rPr>
                <w:rFonts w:hint="eastAsia" w:cs="Times New Roman" w:eastAsiaTheme="minorEastAsia"/>
                <w:color w:val="auto"/>
                <w:kern w:val="0"/>
                <w:sz w:val="24"/>
                <w:szCs w:val="20"/>
                <w:lang w:eastAsia="zh-CN"/>
              </w:rPr>
              <w:t>、</w:t>
            </w:r>
            <w:r>
              <w:rPr>
                <w:rFonts w:hint="eastAsia" w:cs="Times New Roman" w:eastAsiaTheme="minorEastAsia"/>
                <w:color w:val="auto"/>
                <w:kern w:val="0"/>
                <w:sz w:val="24"/>
                <w:szCs w:val="20"/>
                <w:lang w:val="en-US" w:eastAsia="zh-CN"/>
              </w:rPr>
              <w:t>《安徽省空气质量持续改善行动方案》（皖政〔2024〕36号）</w:t>
            </w:r>
            <w:r>
              <w:rPr>
                <w:rFonts w:hint="default" w:ascii="Times New Roman" w:hAnsi="Times New Roman" w:cs="Times New Roman" w:eastAsiaTheme="minorEastAsia"/>
                <w:color w:val="auto"/>
                <w:kern w:val="0"/>
                <w:sz w:val="24"/>
                <w:szCs w:val="20"/>
              </w:rPr>
              <w:t>等相关政策要求，本项目的政策相符性分析汇总见表1-</w:t>
            </w:r>
            <w:r>
              <w:rPr>
                <w:rFonts w:hint="eastAsia" w:cs="Times New Roman" w:eastAsiaTheme="minorEastAsia"/>
                <w:color w:val="auto"/>
                <w:kern w:val="0"/>
                <w:sz w:val="24"/>
                <w:szCs w:val="20"/>
                <w:lang w:val="en-US" w:eastAsia="zh-CN"/>
              </w:rPr>
              <w:t>2</w:t>
            </w:r>
            <w:r>
              <w:rPr>
                <w:rFonts w:hint="default" w:ascii="Times New Roman" w:hAnsi="Times New Roman" w:cs="Times New Roman" w:eastAsiaTheme="minorEastAsia"/>
                <w:color w:val="auto"/>
                <w:kern w:val="0"/>
                <w:sz w:val="24"/>
                <w:szCs w:val="20"/>
              </w:rPr>
              <w:t>。</w:t>
            </w:r>
          </w:p>
          <w:p w14:paraId="5FFEC6E5">
            <w:pPr>
              <w:pStyle w:val="11"/>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cs="Times New Roman" w:eastAsiaTheme="minorEastAsia"/>
                <w:b/>
                <w:bCs/>
                <w:color w:val="auto"/>
                <w:sz w:val="24"/>
                <w:szCs w:val="20"/>
              </w:rPr>
            </w:pPr>
            <w:r>
              <w:rPr>
                <w:rFonts w:hint="default" w:ascii="Times New Roman" w:hAnsi="Times New Roman" w:cs="Times New Roman" w:eastAsiaTheme="minorEastAsia"/>
                <w:b/>
                <w:bCs/>
                <w:color w:val="auto"/>
                <w:sz w:val="24"/>
                <w:szCs w:val="20"/>
              </w:rPr>
              <w:t>表1-</w:t>
            </w:r>
            <w:r>
              <w:rPr>
                <w:rFonts w:hint="eastAsia" w:cs="Times New Roman" w:eastAsiaTheme="minorEastAsia"/>
                <w:b/>
                <w:bCs/>
                <w:color w:val="auto"/>
                <w:sz w:val="24"/>
                <w:szCs w:val="20"/>
                <w:lang w:val="en-US" w:eastAsia="zh-CN"/>
              </w:rPr>
              <w:t>2</w:t>
            </w:r>
            <w:r>
              <w:rPr>
                <w:rFonts w:hint="default" w:ascii="Times New Roman" w:hAnsi="Times New Roman" w:cs="Times New Roman" w:eastAsiaTheme="minorEastAsia"/>
                <w:b/>
                <w:bCs/>
                <w:color w:val="auto"/>
                <w:sz w:val="24"/>
                <w:szCs w:val="20"/>
              </w:rPr>
              <w:t>项目实施的政策相符性分析一览表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3817"/>
              <w:gridCol w:w="2022"/>
              <w:gridCol w:w="678"/>
            </w:tblGrid>
            <w:tr w14:paraId="768B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noWrap w:val="0"/>
                  <w:vAlign w:val="center"/>
                </w:tcPr>
                <w:p w14:paraId="58B4C734">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政策名称</w:t>
                  </w:r>
                </w:p>
              </w:tc>
              <w:tc>
                <w:tcPr>
                  <w:tcW w:w="3817" w:type="dxa"/>
                  <w:noWrap w:val="0"/>
                  <w:vAlign w:val="center"/>
                </w:tcPr>
                <w:p w14:paraId="002FEB0F">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相关要求</w:t>
                  </w:r>
                </w:p>
              </w:tc>
              <w:tc>
                <w:tcPr>
                  <w:tcW w:w="2022" w:type="dxa"/>
                  <w:noWrap w:val="0"/>
                  <w:vAlign w:val="center"/>
                </w:tcPr>
                <w:p w14:paraId="4AC0F2FD">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符合性分析</w:t>
                  </w:r>
                </w:p>
              </w:tc>
              <w:tc>
                <w:tcPr>
                  <w:tcW w:w="678" w:type="dxa"/>
                  <w:noWrap w:val="0"/>
                  <w:vAlign w:val="center"/>
                </w:tcPr>
                <w:p w14:paraId="1C646C02">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相符性</w:t>
                  </w:r>
                </w:p>
              </w:tc>
            </w:tr>
            <w:tr w14:paraId="223F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Merge w:val="restart"/>
                  <w:noWrap w:val="0"/>
                  <w:vAlign w:val="center"/>
                </w:tcPr>
                <w:p w14:paraId="02059B6C">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val="en-US" w:eastAsia="zh-CN"/>
                    </w:rPr>
                    <w:t>《安徽省淮河流域水污染防治条例》</w:t>
                  </w:r>
                </w:p>
              </w:tc>
              <w:tc>
                <w:tcPr>
                  <w:tcW w:w="3817" w:type="dxa"/>
                  <w:noWrap w:val="0"/>
                  <w:vAlign w:val="center"/>
                </w:tcPr>
                <w:p w14:paraId="63FF19EF">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val="en-US" w:eastAsia="zh-CN"/>
                    </w:rPr>
                    <w:t>禁止在淮河流域新建化学制浆造纸企业和印染、制革、化工、电镀、酿造等污染严重的小型企业。</w:t>
                  </w:r>
                </w:p>
                <w:p w14:paraId="3303C860">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严格限制在淮河流域新建印染、制革、化工、电镀、酿造等大中型项目或者其他污染严重的项目；</w:t>
                  </w:r>
                </w:p>
              </w:tc>
              <w:tc>
                <w:tcPr>
                  <w:tcW w:w="2022" w:type="dxa"/>
                  <w:noWrap w:val="0"/>
                  <w:vAlign w:val="center"/>
                </w:tcPr>
                <w:p w14:paraId="437B37B2">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本项目不属于化学制浆造纸企业和印染、制革、化工、电镀、酿造等污染严重的小型企业和严格限制的印染、制革、化工、电镀、酿造等大中型项目或者其他污染严重的项目。</w:t>
                  </w:r>
                </w:p>
              </w:tc>
              <w:tc>
                <w:tcPr>
                  <w:tcW w:w="678" w:type="dxa"/>
                  <w:noWrap w:val="0"/>
                  <w:vAlign w:val="center"/>
                </w:tcPr>
                <w:p w14:paraId="3CF2E7ED">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相符</w:t>
                  </w:r>
                </w:p>
              </w:tc>
            </w:tr>
            <w:tr w14:paraId="18FE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Merge w:val="continue"/>
                  <w:noWrap w:val="0"/>
                  <w:vAlign w:val="center"/>
                </w:tcPr>
                <w:p w14:paraId="75C1E4F3">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rPr>
                  </w:pPr>
                </w:p>
              </w:tc>
              <w:tc>
                <w:tcPr>
                  <w:tcW w:w="3817" w:type="dxa"/>
                  <w:noWrap w:val="0"/>
                  <w:vAlign w:val="center"/>
                </w:tcPr>
                <w:p w14:paraId="0B34C1EC">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新建、扩建、改建项目，除执行“环境影响报告书（表）”和环境保护设施必须与主体工程同时设计、同时施工、同时投产使用外。还必须遵守下列规定：</w:t>
                  </w:r>
                </w:p>
                <w:p w14:paraId="499C2D45">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（1）新建项目的选址应符合城市总体规划，避开饮用水源地和对环境有特殊要求的功能区；</w:t>
                  </w:r>
                </w:p>
                <w:p w14:paraId="46C6752D">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（2）采用资源利用率高、污染物排放量少的先进设备和先进工艺。</w:t>
                  </w:r>
                </w:p>
              </w:tc>
              <w:tc>
                <w:tcPr>
                  <w:tcW w:w="2022" w:type="dxa"/>
                  <w:noWrap w:val="0"/>
                  <w:vAlign w:val="center"/>
                </w:tcPr>
                <w:p w14:paraId="2BF5334B">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本项目符合金寨县总体规划，选址不涉及饮用水源地和对环境有特殊要求的功能区；生产设备和生产工艺资源利用率高、废水污染物减排。</w:t>
                  </w:r>
                </w:p>
              </w:tc>
              <w:tc>
                <w:tcPr>
                  <w:tcW w:w="678" w:type="dxa"/>
                  <w:noWrap w:val="0"/>
                  <w:vAlign w:val="center"/>
                </w:tcPr>
                <w:p w14:paraId="0543921F">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相符</w:t>
                  </w:r>
                </w:p>
              </w:tc>
            </w:tr>
            <w:tr w14:paraId="4717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Merge w:val="restart"/>
                  <w:noWrap w:val="0"/>
                  <w:vAlign w:val="center"/>
                </w:tcPr>
                <w:p w14:paraId="7744251B">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val="en-US" w:eastAsia="zh-CN"/>
                    </w:rPr>
                    <w:t>《安徽省“十四五”生态环境保护规划》皖环发〔2022〕8号</w:t>
                  </w:r>
                </w:p>
              </w:tc>
              <w:tc>
                <w:tcPr>
                  <w:tcW w:w="3817" w:type="dxa"/>
                  <w:noWrap w:val="0"/>
                  <w:vAlign w:val="center"/>
                </w:tcPr>
                <w:p w14:paraId="7D188BCC">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1）加快产业结构转型升级。以钢铁、水泥、石化、化工、玻璃、有色、印染等行业为重点，开展全流程清洁化、循环化、低碳化改造，促进传统产业绿色转型升级，在火电、钢铁、建材等行业开展减污降碳协同增效。</w:t>
                  </w:r>
                </w:p>
              </w:tc>
              <w:tc>
                <w:tcPr>
                  <w:tcW w:w="2022" w:type="dxa"/>
                  <w:noWrap w:val="0"/>
                  <w:vAlign w:val="center"/>
                </w:tcPr>
                <w:p w14:paraId="6F10C6A9">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本项目不属于钢铁、水泥、石化、化工、玻璃、有色、印染等重点行业。</w:t>
                  </w:r>
                </w:p>
              </w:tc>
              <w:tc>
                <w:tcPr>
                  <w:tcW w:w="678" w:type="dxa"/>
                  <w:noWrap w:val="0"/>
                  <w:vAlign w:val="center"/>
                </w:tcPr>
                <w:p w14:paraId="5902FB1E">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相符</w:t>
                  </w:r>
                </w:p>
              </w:tc>
            </w:tr>
            <w:tr w14:paraId="6BD5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Merge w:val="continue"/>
                  <w:noWrap w:val="0"/>
                  <w:vAlign w:val="center"/>
                </w:tcPr>
                <w:p w14:paraId="3BA91B2C">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p>
              </w:tc>
              <w:tc>
                <w:tcPr>
                  <w:tcW w:w="3817" w:type="dxa"/>
                  <w:noWrap w:val="0"/>
                  <w:vAlign w:val="center"/>
                </w:tcPr>
                <w:p w14:paraId="1D461E64">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2）推动能源结构优化。强化能源消费总量和强度双控制度，严格控制能耗强度，有效控制能源消费增量，坚决遏制“两高”项目盲目发展。发挥市场配置资源作用，引导能源要素合理流动和高效配置。严格控制煤炭消费总量，大气污染防治重点区域内新、改、扩建用煤项目严格实施煤炭等量或减量替代。</w:t>
                  </w:r>
                </w:p>
              </w:tc>
              <w:tc>
                <w:tcPr>
                  <w:tcW w:w="2022" w:type="dxa"/>
                  <w:noWrap w:val="0"/>
                  <w:vAlign w:val="center"/>
                </w:tcPr>
                <w:p w14:paraId="229C052A">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本项目不属于安徽省“两高”项目管理目录（试行）中规定的“两高”项目，本项目不使用煤炭。</w:t>
                  </w:r>
                </w:p>
              </w:tc>
              <w:tc>
                <w:tcPr>
                  <w:tcW w:w="678" w:type="dxa"/>
                  <w:noWrap w:val="0"/>
                  <w:vAlign w:val="center"/>
                </w:tcPr>
                <w:p w14:paraId="28284557">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相符</w:t>
                  </w:r>
                </w:p>
              </w:tc>
            </w:tr>
            <w:tr w14:paraId="06D2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Merge w:val="continue"/>
                  <w:noWrap w:val="0"/>
                  <w:vAlign w:val="center"/>
                </w:tcPr>
                <w:p w14:paraId="0FDD3BE5">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p>
              </w:tc>
              <w:tc>
                <w:tcPr>
                  <w:tcW w:w="3817" w:type="dxa"/>
                  <w:noWrap w:val="0"/>
                  <w:vAlign w:val="center"/>
                </w:tcPr>
                <w:p w14:paraId="4EF5EA58">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（3）持续推进重金属污染防控。对排放重金属污染物的重点行业，严格按照等量置换、减量置换原则实施重金属排放总量控制。</w:t>
                  </w:r>
                </w:p>
              </w:tc>
              <w:tc>
                <w:tcPr>
                  <w:tcW w:w="2022" w:type="dxa"/>
                  <w:noWrap w:val="0"/>
                  <w:vAlign w:val="center"/>
                </w:tcPr>
                <w:p w14:paraId="1A421FD0">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本项目不属于排放重金属污染物的重点行业</w:t>
                  </w:r>
                </w:p>
              </w:tc>
              <w:tc>
                <w:tcPr>
                  <w:tcW w:w="678" w:type="dxa"/>
                  <w:noWrap w:val="0"/>
                  <w:vAlign w:val="center"/>
                </w:tcPr>
                <w:p w14:paraId="56D5DCF5">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相符</w:t>
                  </w:r>
                </w:p>
              </w:tc>
            </w:tr>
            <w:tr w14:paraId="4C37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Merge w:val="restart"/>
                  <w:noWrap w:val="0"/>
                  <w:vAlign w:val="center"/>
                </w:tcPr>
                <w:p w14:paraId="1CD38046">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金寨县“十四五”生态环境保护规划</w:t>
                  </w:r>
                </w:p>
              </w:tc>
              <w:tc>
                <w:tcPr>
                  <w:tcW w:w="3817" w:type="dxa"/>
                  <w:noWrap w:val="0"/>
                  <w:vAlign w:val="center"/>
                </w:tcPr>
                <w:p w14:paraId="335868F2">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在生态保护红线区域内，禁止城镇化、工业化活动和矿产资源开发，禁止建设破坏主要生态功能和生态环境的工程项目，禁止改变区域生态用地，确保空间面积不减少，生态功能不降低，用地性质不转换，主体责任不改变。严格环境准入，各市县要按照管控的严格程度和生态功能重要性，分区分类制定生态保护红线内建设项目环境准入负面清单。</w:t>
                  </w:r>
                </w:p>
              </w:tc>
              <w:tc>
                <w:tcPr>
                  <w:tcW w:w="2022" w:type="dxa"/>
                  <w:noWrap w:val="0"/>
                  <w:vAlign w:val="center"/>
                </w:tcPr>
                <w:p w14:paraId="6D6F01A7">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本项目不在生态红线范围内，不属于环境准入负面清单中的建设项目。</w:t>
                  </w:r>
                </w:p>
              </w:tc>
              <w:tc>
                <w:tcPr>
                  <w:tcW w:w="678" w:type="dxa"/>
                  <w:noWrap w:val="0"/>
                  <w:vAlign w:val="center"/>
                </w:tcPr>
                <w:p w14:paraId="036A59AC">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相符</w:t>
                  </w:r>
                </w:p>
              </w:tc>
            </w:tr>
            <w:tr w14:paraId="46EE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Merge w:val="continue"/>
                  <w:noWrap w:val="0"/>
                  <w:vAlign w:val="center"/>
                </w:tcPr>
                <w:p w14:paraId="22A2FD2F">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p>
              </w:tc>
              <w:tc>
                <w:tcPr>
                  <w:tcW w:w="3817" w:type="dxa"/>
                  <w:noWrap w:val="0"/>
                  <w:vAlign w:val="center"/>
                </w:tcPr>
                <w:p w14:paraId="3247BB80">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强化目标和任务的过程管理，落实钢铁、水泥行业提标改造。大力推进清洁能源使用，加强油品等能源产品质量监管，加强移动源污染治理，加大城市扬尘和餐饮服务业油烟污染整治力度。全面实施有组织排放和无组织排放治理，组织实施《安徽省水泥工业大气污染物排放标准》。推进工业炉窑大气污染综合治理。全面执行锅炉颗粒物、二氧化硫和氮氧化物特别排放限值，动态更新工业炉窑管理清单。</w:t>
                  </w:r>
                </w:p>
              </w:tc>
              <w:tc>
                <w:tcPr>
                  <w:tcW w:w="2022" w:type="dxa"/>
                  <w:noWrap w:val="0"/>
                  <w:vAlign w:val="center"/>
                </w:tcPr>
                <w:p w14:paraId="75F08C8A">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本项目不属于钢铁、水泥行业，本项目生物质锅炉产生的颗粒物、SO</w:t>
                  </w:r>
                  <w:r>
                    <w:rPr>
                      <w:rFonts w:hint="default" w:ascii="Times New Roman" w:hAnsi="Times New Roman" w:cs="Times New Roman" w:eastAsiaTheme="minorEastAsia"/>
                      <w:bCs/>
                      <w:color w:val="auto"/>
                      <w:sz w:val="21"/>
                      <w:szCs w:val="21"/>
                      <w:vertAlign w:val="subscript"/>
                      <w:lang w:val="en-US" w:eastAsia="zh-CN"/>
                    </w:rPr>
                    <w:t>2</w:t>
                  </w:r>
                  <w:r>
                    <w:rPr>
                      <w:rFonts w:hint="default" w:ascii="Times New Roman" w:hAnsi="Times New Roman" w:cs="Times New Roman" w:eastAsiaTheme="minorEastAsia"/>
                      <w:bCs/>
                      <w:color w:val="auto"/>
                      <w:sz w:val="21"/>
                      <w:szCs w:val="21"/>
                      <w:lang w:val="en-US" w:eastAsia="zh-CN"/>
                    </w:rPr>
                    <w:t>、NO</w:t>
                  </w:r>
                  <w:r>
                    <w:rPr>
                      <w:rFonts w:hint="default" w:ascii="Times New Roman" w:hAnsi="Times New Roman" w:cs="Times New Roman" w:eastAsiaTheme="minorEastAsia"/>
                      <w:bCs/>
                      <w:color w:val="auto"/>
                      <w:sz w:val="21"/>
                      <w:szCs w:val="21"/>
                      <w:vertAlign w:val="subscript"/>
                      <w:lang w:val="en-US" w:eastAsia="zh-CN"/>
                    </w:rPr>
                    <w:t>X</w:t>
                  </w:r>
                  <w:r>
                    <w:rPr>
                      <w:rFonts w:hint="default" w:ascii="Times New Roman" w:hAnsi="Times New Roman" w:cs="Times New Roman" w:eastAsiaTheme="minorEastAsia"/>
                      <w:bCs/>
                      <w:color w:val="auto"/>
                      <w:sz w:val="21"/>
                      <w:szCs w:val="21"/>
                      <w:lang w:val="en-US" w:eastAsia="zh-CN"/>
                    </w:rPr>
                    <w:t>参照执行</w:t>
                  </w:r>
                  <w:r>
                    <w:rPr>
                      <w:rFonts w:hint="eastAsia" w:cs="Times New Roman" w:eastAsiaTheme="minorEastAsia"/>
                      <w:bCs/>
                      <w:color w:val="auto"/>
                      <w:sz w:val="21"/>
                      <w:szCs w:val="21"/>
                      <w:lang w:val="en-US" w:eastAsia="zh-CN"/>
                    </w:rPr>
                    <w:t>《</w:t>
                  </w:r>
                  <w:r>
                    <w:rPr>
                      <w:rFonts w:hint="default" w:ascii="Times New Roman" w:hAnsi="Times New Roman" w:cs="Times New Roman" w:eastAsiaTheme="minorEastAsia"/>
                      <w:bCs/>
                      <w:color w:val="auto"/>
                      <w:sz w:val="21"/>
                      <w:szCs w:val="21"/>
                      <w:lang w:val="en-US" w:eastAsia="zh-CN"/>
                    </w:rPr>
                    <w:t>安徽省人民政府关于印发安徽省空气质量持续改善行动方案的通知</w:t>
                  </w:r>
                  <w:r>
                    <w:rPr>
                      <w:rFonts w:hint="eastAsia" w:cs="Times New Roman" w:eastAsiaTheme="minorEastAsia"/>
                      <w:bCs/>
                      <w:color w:val="auto"/>
                      <w:sz w:val="21"/>
                      <w:szCs w:val="21"/>
                      <w:lang w:val="en-US" w:eastAsia="zh-CN"/>
                    </w:rPr>
                    <w:t>》</w:t>
                  </w:r>
                  <w:r>
                    <w:rPr>
                      <w:rFonts w:hint="default" w:ascii="Times New Roman" w:hAnsi="Times New Roman" w:cs="Times New Roman" w:eastAsiaTheme="minorEastAsia"/>
                      <w:bCs/>
                      <w:color w:val="auto"/>
                      <w:sz w:val="21"/>
                      <w:szCs w:val="21"/>
                      <w:lang w:val="en-US" w:eastAsia="zh-CN"/>
                    </w:rPr>
                    <w:t>中排放限值要求</w:t>
                  </w:r>
                  <w:r>
                    <w:rPr>
                      <w:rFonts w:hint="eastAsia" w:cs="Times New Roman" w:eastAsiaTheme="minorEastAsia"/>
                      <w:bCs/>
                      <w:color w:val="auto"/>
                      <w:sz w:val="21"/>
                      <w:szCs w:val="21"/>
                      <w:lang w:val="en-US" w:eastAsia="zh-CN"/>
                    </w:rPr>
                    <w:t>。</w:t>
                  </w:r>
                  <w:r>
                    <w:rPr>
                      <w:rFonts w:hint="default" w:ascii="Times New Roman" w:hAnsi="Times New Roman" w:cs="Times New Roman" w:eastAsiaTheme="minorEastAsia"/>
                      <w:bCs/>
                      <w:color w:val="auto"/>
                      <w:sz w:val="21"/>
                      <w:szCs w:val="21"/>
                      <w:lang w:val="en-US" w:eastAsia="zh-CN"/>
                    </w:rPr>
                    <w:t>污染物排放浓度限值为</w:t>
                  </w:r>
                  <w:r>
                    <w:rPr>
                      <w:rFonts w:hint="eastAsia" w:cs="Times New Roman" w:eastAsiaTheme="minorEastAsia"/>
                      <w:bCs/>
                      <w:color w:val="auto"/>
                      <w:sz w:val="21"/>
                      <w:szCs w:val="21"/>
                      <w:lang w:val="en-US" w:eastAsia="zh-CN"/>
                    </w:rPr>
                    <w:t>：</w:t>
                  </w:r>
                  <w:r>
                    <w:rPr>
                      <w:rFonts w:hint="default" w:ascii="Times New Roman" w:hAnsi="Times New Roman" w:cs="Times New Roman" w:eastAsiaTheme="minorEastAsia"/>
                      <w:bCs/>
                      <w:color w:val="auto"/>
                      <w:sz w:val="21"/>
                      <w:szCs w:val="21"/>
                      <w:lang w:val="en-US" w:eastAsia="zh-CN"/>
                    </w:rPr>
                    <w:t>颗粒物10</w:t>
                  </w:r>
                  <w:r>
                    <w:rPr>
                      <w:rFonts w:hint="eastAsia" w:cs="Times New Roman" w:eastAsiaTheme="minorEastAsia"/>
                      <w:bCs/>
                      <w:color w:val="auto"/>
                      <w:sz w:val="21"/>
                      <w:szCs w:val="21"/>
                      <w:lang w:val="en-US" w:eastAsia="zh-CN"/>
                    </w:rPr>
                    <w:t>mg/m</w:t>
                  </w:r>
                  <w:r>
                    <w:rPr>
                      <w:rFonts w:hint="eastAsia" w:cs="Times New Roman" w:eastAsiaTheme="minorEastAsia"/>
                      <w:bCs/>
                      <w:color w:val="auto"/>
                      <w:sz w:val="21"/>
                      <w:szCs w:val="21"/>
                      <w:vertAlign w:val="superscript"/>
                      <w:lang w:val="en-US" w:eastAsia="zh-CN"/>
                    </w:rPr>
                    <w:t>3</w:t>
                  </w:r>
                  <w:r>
                    <w:rPr>
                      <w:rFonts w:hint="default" w:ascii="Times New Roman" w:hAnsi="Times New Roman" w:cs="Times New Roman" w:eastAsiaTheme="minorEastAsia"/>
                      <w:bCs/>
                      <w:color w:val="auto"/>
                      <w:sz w:val="21"/>
                      <w:szCs w:val="21"/>
                      <w:lang w:val="en-US" w:eastAsia="zh-CN"/>
                    </w:rPr>
                    <w:t>、</w:t>
                  </w:r>
                  <w:r>
                    <w:rPr>
                      <w:rFonts w:hint="eastAsia" w:cs="Times New Roman" w:eastAsiaTheme="minorEastAsia"/>
                      <w:bCs/>
                      <w:color w:val="auto"/>
                      <w:sz w:val="21"/>
                      <w:szCs w:val="21"/>
                      <w:lang w:val="en-US" w:eastAsia="zh-CN"/>
                    </w:rPr>
                    <w:t>SO</w:t>
                  </w:r>
                  <w:r>
                    <w:rPr>
                      <w:rFonts w:hint="eastAsia" w:cs="Times New Roman" w:eastAsiaTheme="minorEastAsia"/>
                      <w:bCs/>
                      <w:color w:val="auto"/>
                      <w:sz w:val="21"/>
                      <w:szCs w:val="21"/>
                      <w:vertAlign w:val="subscript"/>
                      <w:lang w:val="en-US" w:eastAsia="zh-CN"/>
                    </w:rPr>
                    <w:t>2</w:t>
                  </w:r>
                  <w:r>
                    <w:rPr>
                      <w:rFonts w:hint="default" w:ascii="Times New Roman" w:hAnsi="Times New Roman" w:cs="Times New Roman" w:eastAsiaTheme="minorEastAsia"/>
                      <w:bCs/>
                      <w:color w:val="auto"/>
                      <w:sz w:val="21"/>
                      <w:szCs w:val="21"/>
                      <w:lang w:val="en-US" w:eastAsia="zh-CN"/>
                    </w:rPr>
                    <w:t>35</w:t>
                  </w:r>
                  <w:r>
                    <w:rPr>
                      <w:rFonts w:hint="eastAsia" w:cs="Times New Roman" w:eastAsiaTheme="minorEastAsia"/>
                      <w:bCs/>
                      <w:color w:val="auto"/>
                      <w:sz w:val="21"/>
                      <w:szCs w:val="21"/>
                      <w:lang w:val="en-US" w:eastAsia="zh-CN"/>
                    </w:rPr>
                    <w:t>mg/m</w:t>
                  </w:r>
                  <w:r>
                    <w:rPr>
                      <w:rFonts w:hint="eastAsia" w:cs="Times New Roman" w:eastAsiaTheme="minorEastAsia"/>
                      <w:bCs/>
                      <w:color w:val="auto"/>
                      <w:sz w:val="21"/>
                      <w:szCs w:val="21"/>
                      <w:vertAlign w:val="superscript"/>
                      <w:lang w:val="en-US" w:eastAsia="zh-CN"/>
                    </w:rPr>
                    <w:t>3</w:t>
                  </w:r>
                  <w:r>
                    <w:rPr>
                      <w:rFonts w:hint="default" w:ascii="Times New Roman" w:hAnsi="Times New Roman" w:cs="Times New Roman" w:eastAsiaTheme="minorEastAsia"/>
                      <w:bCs/>
                      <w:color w:val="auto"/>
                      <w:sz w:val="21"/>
                      <w:szCs w:val="21"/>
                      <w:lang w:val="en-US" w:eastAsia="zh-CN"/>
                    </w:rPr>
                    <w:t>、</w:t>
                  </w:r>
                  <w:r>
                    <w:rPr>
                      <w:rFonts w:hint="eastAsia" w:cs="Times New Roman" w:eastAsiaTheme="minorEastAsia"/>
                      <w:bCs/>
                      <w:color w:val="auto"/>
                      <w:sz w:val="21"/>
                      <w:szCs w:val="21"/>
                      <w:lang w:val="en-US" w:eastAsia="zh-CN"/>
                    </w:rPr>
                    <w:t>NO</w:t>
                  </w:r>
                  <w:r>
                    <w:rPr>
                      <w:rFonts w:hint="eastAsia" w:cs="Times New Roman" w:eastAsiaTheme="minorEastAsia"/>
                      <w:bCs/>
                      <w:color w:val="auto"/>
                      <w:sz w:val="21"/>
                      <w:szCs w:val="21"/>
                      <w:vertAlign w:val="subscript"/>
                      <w:lang w:val="en-US" w:eastAsia="zh-CN"/>
                    </w:rPr>
                    <w:t>X</w:t>
                  </w:r>
                  <w:r>
                    <w:rPr>
                      <w:rFonts w:hint="default" w:ascii="Times New Roman" w:hAnsi="Times New Roman" w:cs="Times New Roman" w:eastAsiaTheme="minorEastAsia"/>
                      <w:bCs/>
                      <w:color w:val="auto"/>
                      <w:sz w:val="21"/>
                      <w:szCs w:val="21"/>
                      <w:lang w:val="en-US" w:eastAsia="zh-CN"/>
                    </w:rPr>
                    <w:t>50</w:t>
                  </w:r>
                  <w:r>
                    <w:rPr>
                      <w:rFonts w:hint="eastAsia" w:cs="Times New Roman" w:eastAsiaTheme="minorEastAsia"/>
                      <w:bCs/>
                      <w:color w:val="auto"/>
                      <w:sz w:val="21"/>
                      <w:szCs w:val="21"/>
                      <w:lang w:val="en-US" w:eastAsia="zh-CN"/>
                    </w:rPr>
                    <w:t>mg/m</w:t>
                  </w:r>
                  <w:r>
                    <w:rPr>
                      <w:rFonts w:hint="eastAsia" w:cs="Times New Roman" w:eastAsiaTheme="minorEastAsia"/>
                      <w:bCs/>
                      <w:color w:val="auto"/>
                      <w:sz w:val="21"/>
                      <w:szCs w:val="21"/>
                      <w:vertAlign w:val="superscript"/>
                      <w:lang w:val="en-US" w:eastAsia="zh-CN"/>
                    </w:rPr>
                    <w:t>3</w:t>
                  </w:r>
                  <w:r>
                    <w:rPr>
                      <w:rFonts w:hint="default" w:ascii="Times New Roman" w:hAnsi="Times New Roman" w:cs="Times New Roman" w:eastAsiaTheme="minorEastAsia"/>
                      <w:bCs/>
                      <w:color w:val="auto"/>
                      <w:sz w:val="21"/>
                      <w:szCs w:val="21"/>
                      <w:lang w:val="en-US" w:eastAsia="zh-CN"/>
                    </w:rPr>
                    <w:t>。</w:t>
                  </w:r>
                </w:p>
              </w:tc>
              <w:tc>
                <w:tcPr>
                  <w:tcW w:w="678" w:type="dxa"/>
                  <w:noWrap w:val="0"/>
                  <w:vAlign w:val="center"/>
                </w:tcPr>
                <w:p w14:paraId="713912FB">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相符</w:t>
                  </w:r>
                </w:p>
              </w:tc>
            </w:tr>
            <w:tr w14:paraId="4540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noWrap w:val="0"/>
                  <w:vAlign w:val="center"/>
                </w:tcPr>
                <w:p w14:paraId="5DCCA020">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《安徽省空气质量持续改善行动方案》</w:t>
                  </w:r>
                </w:p>
              </w:tc>
              <w:tc>
                <w:tcPr>
                  <w:tcW w:w="3817" w:type="dxa"/>
                  <w:noWrap w:val="0"/>
                  <w:vAlign w:val="center"/>
                </w:tcPr>
                <w:p w14:paraId="494BFC8D">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加快涉气重点行业深度治理。高质量推进钢铁、水泥、焦化等重点行业及燃煤锅炉超低排放改造。到2025年，全省钢铁冶炼企业、燃煤锅炉全面完成超低排放改造，独立烧结、球团、热轧企业参照钢铁超低排放标准力争完成改造。推进重点行业深度治理，推进燃气锅炉低氮燃烧改造。生物质锅炉采用专用锅炉，配套布袋等高效除尘设施。推进整合小型生物质锅炉，积极引导城市建成区内生物质锅炉（含电力）超低排放改造。减少非正常工况排放，重点涉气企业逐步取消烟气和含VOCs废气旁路。</w:t>
                  </w:r>
                </w:p>
              </w:tc>
              <w:tc>
                <w:tcPr>
                  <w:tcW w:w="2022" w:type="dxa"/>
                  <w:noWrap w:val="0"/>
                  <w:vAlign w:val="center"/>
                </w:tcPr>
                <w:p w14:paraId="6D3FE516">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本项目</w:t>
                  </w:r>
                  <w:r>
                    <w:rPr>
                      <w:rFonts w:hint="default" w:ascii="Times New Roman" w:hAnsi="Times New Roman" w:cs="Times New Roman" w:eastAsiaTheme="minorEastAsia"/>
                      <w:bCs/>
                      <w:color w:val="auto"/>
                      <w:sz w:val="21"/>
                      <w:szCs w:val="21"/>
                      <w:lang w:val="en-US" w:eastAsia="zh-CN"/>
                    </w:rPr>
                    <w:t>生物质锅炉采用专用锅炉，</w:t>
                  </w:r>
                  <w:r>
                    <w:rPr>
                      <w:rFonts w:hint="eastAsia"/>
                      <w:color w:val="auto"/>
                      <w:sz w:val="21"/>
                      <w:szCs w:val="21"/>
                    </w:rPr>
                    <w:t>通过</w:t>
                  </w:r>
                  <w:r>
                    <w:rPr>
                      <w:rFonts w:hint="eastAsia"/>
                      <w:color w:val="auto"/>
                      <w:sz w:val="21"/>
                      <w:szCs w:val="21"/>
                      <w:lang w:val="en-US" w:eastAsia="zh-CN"/>
                    </w:rPr>
                    <w:t>低氮燃烧器+SCR脱硝+多管旋风除尘+高效布袋除尘器+碱液喷淋塔脱硫处理废气</w:t>
                  </w:r>
                  <w:r>
                    <w:rPr>
                      <w:rFonts w:hint="default" w:ascii="Times New Roman" w:hAnsi="Times New Roman" w:cs="Times New Roman" w:eastAsiaTheme="minorEastAsia"/>
                      <w:bCs/>
                      <w:color w:val="auto"/>
                      <w:sz w:val="21"/>
                      <w:szCs w:val="21"/>
                      <w:lang w:val="en-US" w:eastAsia="zh-CN"/>
                    </w:rPr>
                    <w:t>。</w:t>
                  </w:r>
                  <w:r>
                    <w:rPr>
                      <w:rFonts w:hint="eastAsia" w:cs="Times New Roman" w:eastAsiaTheme="minorEastAsia"/>
                      <w:bCs/>
                      <w:color w:val="auto"/>
                      <w:sz w:val="21"/>
                      <w:szCs w:val="21"/>
                      <w:lang w:val="en-US" w:eastAsia="zh-CN"/>
                    </w:rPr>
                    <w:t>污染物排放</w:t>
                  </w:r>
                  <w:r>
                    <w:rPr>
                      <w:rFonts w:hint="default" w:ascii="Times New Roman" w:hAnsi="Times New Roman" w:cs="Times New Roman" w:eastAsiaTheme="minorEastAsia"/>
                      <w:bCs/>
                      <w:color w:val="auto"/>
                      <w:sz w:val="21"/>
                      <w:szCs w:val="21"/>
                      <w:lang w:val="en-US" w:eastAsia="zh-CN"/>
                    </w:rPr>
                    <w:t>限值</w:t>
                  </w:r>
                  <w:r>
                    <w:rPr>
                      <w:rFonts w:hint="eastAsia" w:cs="Times New Roman" w:eastAsiaTheme="minorEastAsia"/>
                      <w:bCs/>
                      <w:color w:val="auto"/>
                      <w:sz w:val="21"/>
                      <w:szCs w:val="21"/>
                      <w:lang w:val="en-US" w:eastAsia="zh-CN"/>
                    </w:rPr>
                    <w:t>执行超低排放标准：</w:t>
                  </w:r>
                  <w:r>
                    <w:rPr>
                      <w:rFonts w:hint="default" w:ascii="Times New Roman" w:hAnsi="Times New Roman" w:cs="Times New Roman" w:eastAsiaTheme="minorEastAsia"/>
                      <w:bCs/>
                      <w:color w:val="auto"/>
                      <w:sz w:val="21"/>
                      <w:szCs w:val="21"/>
                      <w:lang w:val="en-US" w:eastAsia="zh-CN"/>
                    </w:rPr>
                    <w:t>颗粒物10</w:t>
                  </w:r>
                  <w:r>
                    <w:rPr>
                      <w:rFonts w:hint="eastAsia" w:cs="Times New Roman" w:eastAsiaTheme="minorEastAsia"/>
                      <w:bCs/>
                      <w:color w:val="auto"/>
                      <w:sz w:val="21"/>
                      <w:szCs w:val="21"/>
                      <w:lang w:val="en-US" w:eastAsia="zh-CN"/>
                    </w:rPr>
                    <w:t>mg/m</w:t>
                  </w:r>
                  <w:r>
                    <w:rPr>
                      <w:rFonts w:hint="eastAsia" w:cs="Times New Roman" w:eastAsiaTheme="minorEastAsia"/>
                      <w:bCs/>
                      <w:color w:val="auto"/>
                      <w:sz w:val="21"/>
                      <w:szCs w:val="21"/>
                      <w:vertAlign w:val="superscript"/>
                      <w:lang w:val="en-US" w:eastAsia="zh-CN"/>
                    </w:rPr>
                    <w:t>3</w:t>
                  </w:r>
                  <w:r>
                    <w:rPr>
                      <w:rFonts w:hint="default" w:ascii="Times New Roman" w:hAnsi="Times New Roman" w:cs="Times New Roman" w:eastAsiaTheme="minorEastAsia"/>
                      <w:bCs/>
                      <w:color w:val="auto"/>
                      <w:sz w:val="21"/>
                      <w:szCs w:val="21"/>
                      <w:lang w:val="en-US" w:eastAsia="zh-CN"/>
                    </w:rPr>
                    <w:t>、</w:t>
                  </w:r>
                  <w:r>
                    <w:rPr>
                      <w:rFonts w:hint="eastAsia" w:cs="Times New Roman" w:eastAsiaTheme="minorEastAsia"/>
                      <w:bCs/>
                      <w:color w:val="auto"/>
                      <w:sz w:val="21"/>
                      <w:szCs w:val="21"/>
                      <w:lang w:val="en-US" w:eastAsia="zh-CN"/>
                    </w:rPr>
                    <w:t>SO</w:t>
                  </w:r>
                  <w:r>
                    <w:rPr>
                      <w:rFonts w:hint="eastAsia" w:cs="Times New Roman" w:eastAsiaTheme="minorEastAsia"/>
                      <w:bCs/>
                      <w:color w:val="auto"/>
                      <w:sz w:val="21"/>
                      <w:szCs w:val="21"/>
                      <w:vertAlign w:val="subscript"/>
                      <w:lang w:val="en-US" w:eastAsia="zh-CN"/>
                    </w:rPr>
                    <w:t>2</w:t>
                  </w:r>
                  <w:r>
                    <w:rPr>
                      <w:rFonts w:hint="default" w:ascii="Times New Roman" w:hAnsi="Times New Roman" w:cs="Times New Roman" w:eastAsiaTheme="minorEastAsia"/>
                      <w:bCs/>
                      <w:color w:val="auto"/>
                      <w:sz w:val="21"/>
                      <w:szCs w:val="21"/>
                      <w:lang w:val="en-US" w:eastAsia="zh-CN"/>
                    </w:rPr>
                    <w:t>35</w:t>
                  </w:r>
                  <w:r>
                    <w:rPr>
                      <w:rFonts w:hint="eastAsia" w:cs="Times New Roman" w:eastAsiaTheme="minorEastAsia"/>
                      <w:bCs/>
                      <w:color w:val="auto"/>
                      <w:sz w:val="21"/>
                      <w:szCs w:val="21"/>
                      <w:lang w:val="en-US" w:eastAsia="zh-CN"/>
                    </w:rPr>
                    <w:t>mg/m</w:t>
                  </w:r>
                  <w:r>
                    <w:rPr>
                      <w:rFonts w:hint="eastAsia" w:cs="Times New Roman" w:eastAsiaTheme="minorEastAsia"/>
                      <w:bCs/>
                      <w:color w:val="auto"/>
                      <w:sz w:val="21"/>
                      <w:szCs w:val="21"/>
                      <w:vertAlign w:val="superscript"/>
                      <w:lang w:val="en-US" w:eastAsia="zh-CN"/>
                    </w:rPr>
                    <w:t>3</w:t>
                  </w:r>
                  <w:r>
                    <w:rPr>
                      <w:rFonts w:hint="default" w:ascii="Times New Roman" w:hAnsi="Times New Roman" w:cs="Times New Roman" w:eastAsiaTheme="minorEastAsia"/>
                      <w:bCs/>
                      <w:color w:val="auto"/>
                      <w:sz w:val="21"/>
                      <w:szCs w:val="21"/>
                      <w:lang w:val="en-US" w:eastAsia="zh-CN"/>
                    </w:rPr>
                    <w:t>、</w:t>
                  </w:r>
                  <w:r>
                    <w:rPr>
                      <w:rFonts w:hint="eastAsia" w:cs="Times New Roman" w:eastAsiaTheme="minorEastAsia"/>
                      <w:bCs/>
                      <w:color w:val="auto"/>
                      <w:sz w:val="21"/>
                      <w:szCs w:val="21"/>
                      <w:lang w:val="en-US" w:eastAsia="zh-CN"/>
                    </w:rPr>
                    <w:t>NO</w:t>
                  </w:r>
                  <w:r>
                    <w:rPr>
                      <w:rFonts w:hint="eastAsia" w:cs="Times New Roman" w:eastAsiaTheme="minorEastAsia"/>
                      <w:bCs/>
                      <w:color w:val="auto"/>
                      <w:sz w:val="21"/>
                      <w:szCs w:val="21"/>
                      <w:vertAlign w:val="subscript"/>
                      <w:lang w:val="en-US" w:eastAsia="zh-CN"/>
                    </w:rPr>
                    <w:t>X</w:t>
                  </w:r>
                  <w:r>
                    <w:rPr>
                      <w:rFonts w:hint="default" w:ascii="Times New Roman" w:hAnsi="Times New Roman" w:cs="Times New Roman" w:eastAsiaTheme="minorEastAsia"/>
                      <w:bCs/>
                      <w:color w:val="auto"/>
                      <w:sz w:val="21"/>
                      <w:szCs w:val="21"/>
                      <w:lang w:val="en-US" w:eastAsia="zh-CN"/>
                    </w:rPr>
                    <w:t>50</w:t>
                  </w:r>
                  <w:r>
                    <w:rPr>
                      <w:rFonts w:hint="eastAsia" w:cs="Times New Roman" w:eastAsiaTheme="minorEastAsia"/>
                      <w:bCs/>
                      <w:color w:val="auto"/>
                      <w:sz w:val="21"/>
                      <w:szCs w:val="21"/>
                      <w:lang w:val="en-US" w:eastAsia="zh-CN"/>
                    </w:rPr>
                    <w:t>mg/m</w:t>
                  </w:r>
                  <w:r>
                    <w:rPr>
                      <w:rFonts w:hint="eastAsia" w:cs="Times New Roman" w:eastAsiaTheme="minorEastAsia"/>
                      <w:bCs/>
                      <w:color w:val="auto"/>
                      <w:sz w:val="21"/>
                      <w:szCs w:val="21"/>
                      <w:vertAlign w:val="superscript"/>
                      <w:lang w:val="en-US" w:eastAsia="zh-CN"/>
                    </w:rPr>
                    <w:t>3</w:t>
                  </w:r>
                  <w:r>
                    <w:rPr>
                      <w:rFonts w:hint="default" w:ascii="Times New Roman" w:hAnsi="Times New Roman" w:cs="Times New Roman" w:eastAsiaTheme="minorEastAsia"/>
                      <w:bCs/>
                      <w:color w:val="auto"/>
                      <w:sz w:val="21"/>
                      <w:szCs w:val="21"/>
                      <w:lang w:val="en-US" w:eastAsia="zh-CN"/>
                    </w:rPr>
                    <w:t>。</w:t>
                  </w:r>
                </w:p>
              </w:tc>
              <w:tc>
                <w:tcPr>
                  <w:tcW w:w="678" w:type="dxa"/>
                  <w:noWrap w:val="0"/>
                  <w:vAlign w:val="center"/>
                </w:tcPr>
                <w:p w14:paraId="4F282AA7">
                  <w:pPr>
                    <w:keepNext w:val="0"/>
                    <w:keepLines w:val="0"/>
                    <w:pageBreakBefore w:val="0"/>
                    <w:widowControl w:val="0"/>
                    <w:kinsoku/>
                    <w:wordWrap/>
                    <w:overflowPunct/>
                    <w:bidi w:val="0"/>
                    <w:adjustRightInd/>
                    <w:snapToGrid/>
                    <w:spacing w:line="240" w:lineRule="auto"/>
                    <w:ind w:left="0" w:leftChars="0"/>
                    <w:jc w:val="center"/>
                    <w:textAlignment w:val="auto"/>
                    <w:rPr>
                      <w:rFonts w:hint="default" w:ascii="Times New Roman" w:hAnsi="Times New Roman" w:cs="Times New Roman" w:eastAsiaTheme="minorEastAsia"/>
                      <w:bCs/>
                      <w:color w:val="auto"/>
                      <w:sz w:val="21"/>
                      <w:szCs w:val="21"/>
                      <w:lang w:eastAsia="zh-CN"/>
                    </w:rPr>
                  </w:pPr>
                </w:p>
              </w:tc>
            </w:tr>
          </w:tbl>
          <w:p w14:paraId="090C6B04">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b/>
                <w:bCs/>
                <w:color w:val="auto"/>
                <w:kern w:val="2"/>
                <w:szCs w:val="24"/>
                <w:lang w:bidi="ar"/>
              </w:rPr>
            </w:pPr>
            <w:r>
              <w:rPr>
                <w:rFonts w:hint="eastAsia"/>
                <w:b/>
                <w:bCs/>
                <w:color w:val="auto"/>
                <w:kern w:val="2"/>
                <w:szCs w:val="24"/>
                <w:lang w:val="en-US" w:eastAsia="zh-CN" w:bidi="ar"/>
              </w:rPr>
              <w:t>6</w:t>
            </w:r>
            <w:r>
              <w:rPr>
                <w:b/>
                <w:bCs/>
                <w:color w:val="auto"/>
                <w:kern w:val="2"/>
                <w:szCs w:val="24"/>
                <w:lang w:bidi="ar"/>
              </w:rPr>
              <w:t>、建设项目环境影响评价与排污许可联动</w:t>
            </w:r>
          </w:p>
          <w:p w14:paraId="50EC4B05">
            <w:pPr>
              <w:keepNext w:val="0"/>
              <w:keepLines w:val="0"/>
              <w:pageBreakBefore w:val="0"/>
              <w:widowControl w:val="0"/>
              <w:kinsoku/>
              <w:wordWrap/>
              <w:overflowPunct/>
              <w:bidi w:val="0"/>
              <w:adjustRightInd/>
              <w:snapToGrid/>
              <w:spacing w:line="360" w:lineRule="auto"/>
              <w:ind w:firstLine="480" w:firstLineChars="200"/>
              <w:rPr>
                <w:color w:val="auto"/>
                <w:sz w:val="24"/>
                <w:lang w:bidi="ar"/>
              </w:rPr>
            </w:pPr>
            <w:r>
              <w:rPr>
                <w:color w:val="auto"/>
                <w:sz w:val="24"/>
                <w:lang w:bidi="ar"/>
              </w:rPr>
              <w:t xml:space="preserve">根据《排污许可管理条例》(中华人民共和国国务院令第736号) </w:t>
            </w:r>
            <w:r>
              <w:rPr>
                <w:rFonts w:hint="eastAsia"/>
                <w:color w:val="auto"/>
                <w:sz w:val="24"/>
                <w:lang w:bidi="ar"/>
              </w:rPr>
              <w:t>：</w:t>
            </w:r>
            <w:r>
              <w:rPr>
                <w:color w:val="auto"/>
                <w:sz w:val="24"/>
                <w:lang w:bidi="ar"/>
              </w:rPr>
              <w:t xml:space="preserve">依照法律规定实行排污许可管理的企业事业单位和其他生产经营者(以下称排污单位) </w:t>
            </w:r>
            <w:r>
              <w:rPr>
                <w:rFonts w:hint="eastAsia"/>
                <w:color w:val="auto"/>
                <w:sz w:val="24"/>
                <w:lang w:bidi="ar"/>
              </w:rPr>
              <w:t>，</w:t>
            </w:r>
            <w:r>
              <w:rPr>
                <w:color w:val="auto"/>
                <w:sz w:val="24"/>
                <w:lang w:bidi="ar"/>
              </w:rPr>
              <w:t>应当依照本条例规定申请取得排污许可证</w:t>
            </w:r>
            <w:r>
              <w:rPr>
                <w:rFonts w:hint="eastAsia"/>
                <w:color w:val="auto"/>
                <w:sz w:val="24"/>
                <w:lang w:bidi="ar"/>
              </w:rPr>
              <w:t>；</w:t>
            </w:r>
            <w:r>
              <w:rPr>
                <w:color w:val="auto"/>
                <w:sz w:val="24"/>
                <w:lang w:bidi="ar"/>
              </w:rPr>
              <w:t>未取得排污许可证的不得排放污染物</w:t>
            </w:r>
            <w:r>
              <w:rPr>
                <w:rFonts w:hint="eastAsia"/>
                <w:color w:val="auto"/>
                <w:sz w:val="24"/>
                <w:lang w:bidi="ar"/>
              </w:rPr>
              <w:t>；</w:t>
            </w:r>
            <w:r>
              <w:rPr>
                <w:color w:val="auto"/>
                <w:sz w:val="24"/>
                <w:lang w:bidi="ar"/>
              </w:rPr>
              <w:t xml:space="preserve">根据污染物产生量、排放量、对环境影响程度等因素，对排污单位实行排污许可分类管理。根据《安徽省生态环境厅关于统筹做好固定污染源排污许可日常监管工作的通知》(皖环发 (2021) 7号) </w:t>
            </w:r>
            <w:r>
              <w:rPr>
                <w:rFonts w:hint="eastAsia"/>
                <w:color w:val="auto"/>
                <w:sz w:val="24"/>
                <w:lang w:bidi="ar"/>
              </w:rPr>
              <w:t>：</w:t>
            </w:r>
            <w:r>
              <w:rPr>
                <w:color w:val="auto"/>
                <w:sz w:val="24"/>
                <w:lang w:bidi="ar"/>
              </w:rPr>
              <w:t>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和排污许可联动内容和《建设项目排污许可申请与填报信息表》。</w:t>
            </w:r>
          </w:p>
          <w:p w14:paraId="37C75174">
            <w:pPr>
              <w:keepNext w:val="0"/>
              <w:keepLines w:val="0"/>
              <w:pageBreakBefore w:val="0"/>
              <w:widowControl w:val="0"/>
              <w:kinsoku/>
              <w:wordWrap/>
              <w:overflowPunct/>
              <w:bidi w:val="0"/>
              <w:adjustRightInd/>
              <w:snapToGrid/>
              <w:spacing w:line="360" w:lineRule="auto"/>
              <w:ind w:firstLine="480" w:firstLineChars="200"/>
              <w:rPr>
                <w:rFonts w:hint="eastAsia"/>
                <w:color w:val="auto"/>
                <w:sz w:val="24"/>
                <w:lang w:eastAsia="zh-CN"/>
              </w:rPr>
            </w:pPr>
            <w:r>
              <w:rPr>
                <w:color w:val="auto"/>
                <w:sz w:val="24"/>
                <w:lang w:bidi="ar"/>
              </w:rPr>
              <w:t>根据《国民经济行业分类》(GB/T 4754-2017)，</w:t>
            </w:r>
            <w:r>
              <w:rPr>
                <w:rFonts w:hint="eastAsia"/>
                <w:color w:val="auto"/>
                <w:sz w:val="24"/>
              </w:rPr>
              <w:t>本项目属于</w:t>
            </w:r>
            <w:r>
              <w:rPr>
                <w:rFonts w:hint="eastAsia"/>
                <w:color w:val="auto"/>
                <w:sz w:val="24"/>
                <w:lang w:eastAsia="zh-CN"/>
              </w:rPr>
              <w:t>C2041 竹制品制造</w:t>
            </w:r>
            <w:r>
              <w:rPr>
                <w:rFonts w:hint="eastAsia"/>
                <w:color w:val="auto"/>
                <w:sz w:val="24"/>
              </w:rPr>
              <w:t>。根据《固定污染源排污许可分类管理名录》（2019年版）中相关内容</w:t>
            </w:r>
            <w:r>
              <w:rPr>
                <w:rFonts w:hint="eastAsia"/>
                <w:color w:val="auto"/>
                <w:sz w:val="24"/>
                <w:lang w:eastAsia="zh-CN"/>
              </w:rPr>
              <w:t>，</w:t>
            </w:r>
            <w:r>
              <w:rPr>
                <w:rFonts w:hint="eastAsia"/>
                <w:color w:val="auto"/>
                <w:sz w:val="24"/>
              </w:rPr>
              <w:t>本次新建项目属于排污许可中“</w:t>
            </w:r>
            <w:r>
              <w:rPr>
                <w:rFonts w:hint="eastAsia"/>
                <w:color w:val="auto"/>
                <w:sz w:val="24"/>
                <w:lang w:val="en-US" w:eastAsia="zh-CN"/>
              </w:rPr>
              <w:t>登记管理</w:t>
            </w:r>
            <w:r>
              <w:rPr>
                <w:rFonts w:hint="eastAsia"/>
                <w:color w:val="auto"/>
                <w:sz w:val="24"/>
              </w:rPr>
              <w:t>”</w:t>
            </w:r>
            <w:r>
              <w:rPr>
                <w:rFonts w:hint="eastAsia"/>
                <w:color w:val="auto"/>
                <w:sz w:val="24"/>
                <w:lang w:eastAsia="zh-CN"/>
              </w:rPr>
              <w:t>。</w:t>
            </w:r>
          </w:p>
          <w:p w14:paraId="2EBC3973">
            <w:pPr>
              <w:keepNext w:val="0"/>
              <w:keepLines w:val="0"/>
              <w:pageBreakBefore w:val="0"/>
              <w:widowControl w:val="0"/>
              <w:kinsoku/>
              <w:wordWrap/>
              <w:overflowPunct/>
              <w:bidi w:val="0"/>
              <w:adjustRightInd/>
              <w:snapToGrid/>
              <w:spacing w:line="360" w:lineRule="auto"/>
              <w:ind w:firstLine="480" w:firstLineChars="200"/>
              <w:rPr>
                <w:rFonts w:hint="eastAsia"/>
                <w:color w:val="auto"/>
                <w:sz w:val="24"/>
                <w:lang w:eastAsia="zh-CN"/>
              </w:rPr>
            </w:pPr>
          </w:p>
          <w:p w14:paraId="17904A5E">
            <w:pPr>
              <w:keepNext w:val="0"/>
              <w:keepLines w:val="0"/>
              <w:pageBreakBefore w:val="0"/>
              <w:widowControl w:val="0"/>
              <w:kinsoku/>
              <w:wordWrap/>
              <w:overflowPunct/>
              <w:bidi w:val="0"/>
              <w:adjustRightInd/>
              <w:snapToGrid/>
              <w:spacing w:line="360" w:lineRule="auto"/>
              <w:ind w:firstLine="480" w:firstLineChars="200"/>
              <w:rPr>
                <w:rFonts w:hint="eastAsia"/>
                <w:color w:val="auto"/>
                <w:sz w:val="24"/>
                <w:lang w:eastAsia="zh-CN"/>
              </w:rPr>
            </w:pPr>
          </w:p>
          <w:p w14:paraId="6BA489BD">
            <w:pPr>
              <w:keepNext w:val="0"/>
              <w:keepLines w:val="0"/>
              <w:pageBreakBefore w:val="0"/>
              <w:widowControl w:val="0"/>
              <w:kinsoku/>
              <w:wordWrap/>
              <w:overflowPunct/>
              <w:bidi w:val="0"/>
              <w:adjustRightInd/>
              <w:snapToGrid/>
              <w:spacing w:line="360" w:lineRule="auto"/>
              <w:ind w:firstLine="480" w:firstLineChars="200"/>
              <w:rPr>
                <w:rFonts w:hint="eastAsia"/>
                <w:color w:val="auto"/>
                <w:sz w:val="24"/>
                <w:lang w:eastAsia="zh-CN"/>
              </w:rPr>
            </w:pPr>
          </w:p>
          <w:p w14:paraId="7DC60FED">
            <w:pPr>
              <w:keepNext w:val="0"/>
              <w:keepLines w:val="0"/>
              <w:pageBreakBefore w:val="0"/>
              <w:widowControl w:val="0"/>
              <w:kinsoku/>
              <w:wordWrap/>
              <w:overflowPunct/>
              <w:bidi w:val="0"/>
              <w:adjustRightInd/>
              <w:snapToGrid/>
              <w:spacing w:line="360" w:lineRule="auto"/>
              <w:ind w:firstLine="480" w:firstLineChars="200"/>
              <w:rPr>
                <w:rFonts w:hint="eastAsia"/>
                <w:color w:val="auto"/>
                <w:sz w:val="24"/>
                <w:lang w:eastAsia="zh-CN"/>
              </w:rPr>
            </w:pPr>
          </w:p>
          <w:p w14:paraId="5373C2C0">
            <w:pPr>
              <w:keepNext w:val="0"/>
              <w:keepLines w:val="0"/>
              <w:pageBreakBefore w:val="0"/>
              <w:widowControl w:val="0"/>
              <w:kinsoku/>
              <w:wordWrap/>
              <w:overflowPunct/>
              <w:bidi w:val="0"/>
              <w:adjustRightInd/>
              <w:snapToGrid/>
              <w:spacing w:line="360" w:lineRule="auto"/>
              <w:ind w:firstLine="480" w:firstLineChars="200"/>
              <w:rPr>
                <w:rFonts w:hint="eastAsia"/>
                <w:color w:val="auto"/>
                <w:sz w:val="24"/>
                <w:lang w:eastAsia="zh-CN"/>
              </w:rPr>
            </w:pPr>
          </w:p>
          <w:p w14:paraId="73B514F1">
            <w:pPr>
              <w:keepNext w:val="0"/>
              <w:keepLines w:val="0"/>
              <w:pageBreakBefore w:val="0"/>
              <w:widowControl w:val="0"/>
              <w:kinsoku/>
              <w:wordWrap/>
              <w:overflowPunct/>
              <w:bidi w:val="0"/>
              <w:adjustRightInd/>
              <w:snapToGrid/>
              <w:rPr>
                <w:rFonts w:hint="default"/>
                <w:color w:val="auto"/>
              </w:rPr>
            </w:pPr>
          </w:p>
          <w:p w14:paraId="77257E07">
            <w:pPr>
              <w:keepNext w:val="0"/>
              <w:keepLines w:val="0"/>
              <w:pageBreakBefore w:val="0"/>
              <w:widowControl w:val="0"/>
              <w:kinsoku/>
              <w:wordWrap/>
              <w:overflowPunct/>
              <w:bidi w:val="0"/>
              <w:adjustRightInd/>
              <w:snapToGrid/>
              <w:rPr>
                <w:rFonts w:hint="default"/>
                <w:color w:val="auto"/>
              </w:rPr>
            </w:pPr>
          </w:p>
        </w:tc>
      </w:tr>
    </w:tbl>
    <w:p w14:paraId="0CC0B2AA">
      <w:pPr>
        <w:spacing w:line="360" w:lineRule="auto"/>
        <w:outlineLvl w:val="0"/>
        <w:rPr>
          <w:rFonts w:eastAsia="黑体"/>
          <w:color w:val="auto"/>
          <w:sz w:val="30"/>
        </w:rPr>
        <w:sectPr>
          <w:headerReference r:id="rId5" w:type="default"/>
          <w:footerReference r:id="rId6" w:type="default"/>
          <w:pgSz w:w="11905" w:h="16838"/>
          <w:pgMar w:top="1417" w:right="1417" w:bottom="1417" w:left="1417" w:header="851" w:footer="1077" w:gutter="0"/>
          <w:pgNumType w:start="1"/>
          <w:cols w:space="0" w:num="1"/>
          <w:rtlGutter w:val="0"/>
          <w:docGrid w:type="lines" w:linePitch="333" w:charSpace="0"/>
        </w:sectPr>
      </w:pPr>
    </w:p>
    <w:p w14:paraId="61EC9C9A">
      <w:pPr>
        <w:pStyle w:val="28"/>
        <w:spacing w:before="0" w:beforeAutospacing="0" w:after="0" w:afterAutospacing="0" w:line="360" w:lineRule="auto"/>
        <w:jc w:val="center"/>
        <w:outlineLvl w:val="0"/>
        <w:rPr>
          <w:rFonts w:ascii="Times New Roman" w:hAnsi="Times New Roman"/>
          <w:b/>
          <w:bCs/>
          <w:snapToGrid w:val="0"/>
          <w:color w:val="auto"/>
          <w:sz w:val="32"/>
          <w:szCs w:val="32"/>
        </w:rPr>
      </w:pPr>
      <w:r>
        <w:rPr>
          <w:rFonts w:ascii="Times New Roman" w:hAnsi="Times New Roman"/>
          <w:b/>
          <w:bCs/>
          <w:snapToGrid w:val="0"/>
          <w:color w:val="auto"/>
          <w:sz w:val="32"/>
          <w:szCs w:val="32"/>
        </w:rPr>
        <w:t>二、建设项目工程分析</w:t>
      </w:r>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7"/>
        <w:gridCol w:w="8678"/>
      </w:tblGrid>
      <w:tr w14:paraId="66BAB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27" w:type="pct"/>
            <w:vAlign w:val="center"/>
          </w:tcPr>
          <w:p w14:paraId="33F713DF">
            <w:pPr>
              <w:pStyle w:val="28"/>
              <w:pageBreakBefore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ascii="Times New Roman" w:hAnsi="Times New Roman"/>
                <w:color w:val="auto"/>
                <w:sz w:val="21"/>
                <w:szCs w:val="21"/>
              </w:rPr>
            </w:pPr>
            <w:r>
              <w:rPr>
                <w:rFonts w:ascii="Times New Roman" w:hAnsi="Times New Roman"/>
                <w:b/>
                <w:bCs/>
                <w:color w:val="auto"/>
              </w:rPr>
              <w:t>建设内容</w:t>
            </w:r>
          </w:p>
        </w:tc>
        <w:tc>
          <w:tcPr>
            <w:tcW w:w="4672" w:type="pct"/>
            <w:vAlign w:val="center"/>
          </w:tcPr>
          <w:p w14:paraId="174B58A9">
            <w:pPr>
              <w:pageBreakBefore w:val="0"/>
              <w:kinsoku/>
              <w:wordWrap/>
              <w:overflowPunct/>
              <w:topLinePunct w:val="0"/>
              <w:autoSpaceDE/>
              <w:autoSpaceDN/>
              <w:bidi w:val="0"/>
              <w:adjustRightInd/>
              <w:snapToGrid/>
              <w:spacing w:line="360" w:lineRule="auto"/>
              <w:ind w:left="0" w:leftChars="0" w:right="0" w:rightChars="0"/>
              <w:rPr>
                <w:b/>
                <w:bCs/>
                <w:color w:val="auto"/>
                <w:sz w:val="24"/>
                <w:szCs w:val="24"/>
              </w:rPr>
            </w:pPr>
            <w:r>
              <w:rPr>
                <w:b/>
                <w:bCs/>
                <w:color w:val="auto"/>
                <w:sz w:val="28"/>
                <w:szCs w:val="28"/>
              </w:rPr>
              <w:t>一、</w:t>
            </w:r>
            <w:r>
              <w:rPr>
                <w:b/>
                <w:bCs/>
                <w:color w:val="auto"/>
                <w:sz w:val="24"/>
                <w:szCs w:val="24"/>
              </w:rPr>
              <w:t>项目建设情况</w:t>
            </w:r>
          </w:p>
          <w:p w14:paraId="5CBAD225">
            <w:pPr>
              <w:pageBreakBefore w:val="0"/>
              <w:kinsoku/>
              <w:wordWrap/>
              <w:overflowPunct/>
              <w:topLinePunct w:val="0"/>
              <w:autoSpaceDE/>
              <w:autoSpaceDN/>
              <w:bidi w:val="0"/>
              <w:adjustRightInd/>
              <w:snapToGrid/>
              <w:spacing w:line="360" w:lineRule="auto"/>
              <w:ind w:left="0" w:leftChars="0" w:right="0" w:rightChars="0" w:firstLine="482" w:firstLineChars="200"/>
              <w:rPr>
                <w:b/>
                <w:color w:val="auto"/>
                <w:sz w:val="24"/>
                <w:szCs w:val="32"/>
              </w:rPr>
            </w:pPr>
            <w:r>
              <w:rPr>
                <w:rFonts w:hint="eastAsia"/>
                <w:b/>
                <w:color w:val="auto"/>
                <w:sz w:val="24"/>
                <w:szCs w:val="32"/>
              </w:rPr>
              <w:t>1、项目由来</w:t>
            </w:r>
          </w:p>
          <w:p w14:paraId="6F9608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bCs/>
                <w:color w:val="auto"/>
                <w:sz w:val="24"/>
              </w:rPr>
            </w:pPr>
            <w:r>
              <w:rPr>
                <w:rFonts w:hint="eastAsia"/>
                <w:color w:val="auto"/>
                <w:sz w:val="24"/>
                <w:lang w:eastAsia="zh-CN"/>
              </w:rPr>
              <w:t>金寨恒仁竹木科技有限公司</w:t>
            </w:r>
            <w:r>
              <w:rPr>
                <w:rFonts w:hint="eastAsia"/>
                <w:color w:val="auto"/>
                <w:sz w:val="24"/>
              </w:rPr>
              <w:t>拟投资</w:t>
            </w:r>
            <w:r>
              <w:rPr>
                <w:rFonts w:hint="eastAsia"/>
                <w:color w:val="auto"/>
                <w:sz w:val="24"/>
                <w:lang w:val="en-US" w:eastAsia="zh-CN"/>
              </w:rPr>
              <w:t>600</w:t>
            </w:r>
            <w:r>
              <w:rPr>
                <w:rFonts w:hint="eastAsia"/>
                <w:color w:val="auto"/>
                <w:sz w:val="24"/>
              </w:rPr>
              <w:t>万元，</w:t>
            </w:r>
            <w:r>
              <w:rPr>
                <w:rFonts w:hint="eastAsia"/>
                <w:bCs/>
                <w:color w:val="auto"/>
                <w:sz w:val="24"/>
              </w:rPr>
              <w:t>于</w:t>
            </w:r>
            <w:r>
              <w:rPr>
                <w:rFonts w:hint="eastAsia"/>
                <w:color w:val="auto"/>
                <w:sz w:val="24"/>
                <w:szCs w:val="32"/>
                <w:lang w:eastAsia="zh-CN"/>
              </w:rPr>
              <w:t>金寨县青山镇毛竹工业园</w:t>
            </w:r>
            <w:r>
              <w:rPr>
                <w:rFonts w:hint="eastAsia"/>
                <w:bCs/>
                <w:color w:val="auto"/>
                <w:sz w:val="24"/>
                <w:lang w:val="en-US" w:eastAsia="zh-CN"/>
              </w:rPr>
              <w:t>建设</w:t>
            </w:r>
            <w:r>
              <w:rPr>
                <w:rFonts w:hint="eastAsia"/>
                <w:bCs/>
                <w:color w:val="auto"/>
                <w:sz w:val="24"/>
                <w:lang w:eastAsia="zh-CN"/>
              </w:rPr>
              <w:t>年加工2万吨毛竹高效资源利用项目</w:t>
            </w:r>
            <w:r>
              <w:rPr>
                <w:rFonts w:hint="eastAsia"/>
                <w:bCs/>
                <w:color w:val="auto"/>
                <w:sz w:val="24"/>
              </w:rPr>
              <w:t>，总</w:t>
            </w:r>
            <w:r>
              <w:rPr>
                <w:rFonts w:hint="eastAsia"/>
                <w:bCs/>
                <w:color w:val="auto"/>
                <w:sz w:val="24"/>
                <w:lang w:val="en-US" w:eastAsia="zh-CN"/>
              </w:rPr>
              <w:t>占地</w:t>
            </w:r>
            <w:r>
              <w:rPr>
                <w:rFonts w:hint="eastAsia"/>
                <w:bCs/>
                <w:color w:val="auto"/>
                <w:sz w:val="24"/>
              </w:rPr>
              <w:t>面积</w:t>
            </w:r>
            <w:r>
              <w:rPr>
                <w:rFonts w:hint="eastAsia"/>
                <w:bCs/>
                <w:color w:val="auto"/>
                <w:sz w:val="24"/>
                <w:lang w:val="en-US" w:eastAsia="zh-CN"/>
              </w:rPr>
              <w:t>约13334m</w:t>
            </w:r>
            <w:r>
              <w:rPr>
                <w:rFonts w:hint="eastAsia"/>
                <w:bCs/>
                <w:color w:val="auto"/>
                <w:sz w:val="24"/>
                <w:vertAlign w:val="superscript"/>
                <w:lang w:val="en-US" w:eastAsia="zh-CN"/>
              </w:rPr>
              <w:t>2</w:t>
            </w:r>
            <w:r>
              <w:rPr>
                <w:rFonts w:hint="eastAsia"/>
                <w:bCs/>
                <w:color w:val="auto"/>
                <w:sz w:val="24"/>
                <w:lang w:eastAsia="zh-CN"/>
              </w:rPr>
              <w:t>（</w:t>
            </w:r>
            <w:r>
              <w:rPr>
                <w:rFonts w:hint="eastAsia"/>
                <w:bCs/>
                <w:color w:val="auto"/>
                <w:sz w:val="24"/>
                <w:lang w:val="en-US" w:eastAsia="zh-CN"/>
              </w:rPr>
              <w:t>20亩），建筑面积8000m</w:t>
            </w:r>
            <w:r>
              <w:rPr>
                <w:rFonts w:hint="eastAsia"/>
                <w:bCs/>
                <w:color w:val="auto"/>
                <w:sz w:val="24"/>
                <w:vertAlign w:val="superscript"/>
                <w:lang w:val="en-US" w:eastAsia="zh-CN"/>
              </w:rPr>
              <w:t>2</w:t>
            </w:r>
            <w:r>
              <w:rPr>
                <w:rFonts w:hint="eastAsia"/>
                <w:bCs/>
                <w:color w:val="auto"/>
                <w:sz w:val="24"/>
                <w:lang w:val="en-US" w:eastAsia="zh-CN"/>
              </w:rPr>
              <w:t>，建设集毛竹初加工、原竹片、竹条、竹帘、竹青丝多条生产线，配套竹材料处理、烘干设施，建成后年加工2万吨毛竹原料生产能力。</w:t>
            </w:r>
          </w:p>
          <w:p w14:paraId="71D4F94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bCs/>
                <w:color w:val="auto"/>
                <w:sz w:val="24"/>
              </w:rPr>
            </w:pPr>
            <w:r>
              <w:rPr>
                <w:bCs/>
                <w:color w:val="auto"/>
                <w:sz w:val="24"/>
              </w:rPr>
              <w:t>根据《建设项目环境影响评价分类管理名录》（2021版），</w:t>
            </w:r>
            <w:r>
              <w:rPr>
                <w:rFonts w:hint="eastAsia"/>
                <w:bCs/>
                <w:color w:val="auto"/>
                <w:sz w:val="24"/>
              </w:rPr>
              <w:t>本项目属于“</w:t>
            </w:r>
            <w:r>
              <w:rPr>
                <w:rFonts w:hint="default"/>
                <w:color w:val="auto"/>
                <w:sz w:val="24"/>
                <w:lang w:val="en-US" w:eastAsia="zh-CN"/>
              </w:rPr>
              <w:t>十七、木材加工和木、竹、藤、棕、草制品业 20</w:t>
            </w:r>
            <w:r>
              <w:rPr>
                <w:rFonts w:hint="eastAsia"/>
                <w:color w:val="auto"/>
                <w:sz w:val="24"/>
                <w:lang w:val="en-US" w:eastAsia="zh-CN"/>
              </w:rPr>
              <w:t xml:space="preserve">  竹、藤、棕、草等制品制造 204*</w:t>
            </w:r>
            <w:r>
              <w:rPr>
                <w:rFonts w:hint="eastAsia"/>
                <w:bCs/>
                <w:color w:val="auto"/>
                <w:sz w:val="24"/>
              </w:rPr>
              <w:t>”</w:t>
            </w:r>
            <w:r>
              <w:rPr>
                <w:rFonts w:hint="eastAsia"/>
                <w:bCs/>
                <w:color w:val="auto"/>
                <w:sz w:val="24"/>
                <w:lang w:eastAsia="zh-CN"/>
              </w:rPr>
              <w:t>、</w:t>
            </w:r>
            <w:r>
              <w:rPr>
                <w:rFonts w:hint="eastAsia"/>
                <w:bCs/>
                <w:color w:val="auto"/>
                <w:sz w:val="24"/>
              </w:rPr>
              <w:t>“</w:t>
            </w:r>
            <w:r>
              <w:rPr>
                <w:rFonts w:hint="eastAsia"/>
                <w:color w:val="auto"/>
                <w:sz w:val="24"/>
                <w:lang w:val="en-US" w:eastAsia="zh-CN"/>
              </w:rPr>
              <w:t xml:space="preserve">四十一、电力、热力生产和供应业 91 热力生产和供应工程 </w:t>
            </w:r>
            <w:r>
              <w:rPr>
                <w:rFonts w:hint="eastAsia"/>
                <w:bCs/>
                <w:color w:val="auto"/>
                <w:sz w:val="24"/>
              </w:rPr>
              <w:t>”</w:t>
            </w:r>
            <w:r>
              <w:rPr>
                <w:rFonts w:hint="eastAsia"/>
                <w:bCs/>
                <w:color w:val="auto"/>
                <w:sz w:val="24"/>
                <w:lang w:eastAsia="zh-CN"/>
              </w:rPr>
              <w:t>中“</w:t>
            </w:r>
            <w:r>
              <w:rPr>
                <w:rFonts w:hint="eastAsia"/>
                <w:bCs/>
                <w:color w:val="auto"/>
                <w:sz w:val="24"/>
                <w:lang w:val="en-US" w:eastAsia="zh-CN"/>
              </w:rPr>
              <w:t>使用其他高污染燃料的</w:t>
            </w:r>
            <w:r>
              <w:rPr>
                <w:rFonts w:hint="eastAsia"/>
                <w:bCs/>
                <w:color w:val="auto"/>
                <w:sz w:val="24"/>
                <w:lang w:eastAsia="zh-CN"/>
              </w:rPr>
              <w:t>”</w:t>
            </w:r>
            <w:r>
              <w:rPr>
                <w:rFonts w:hint="eastAsia"/>
                <w:color w:val="auto"/>
                <w:sz w:val="24"/>
              </w:rPr>
              <w:t>，</w:t>
            </w:r>
            <w:r>
              <w:rPr>
                <w:rFonts w:hint="eastAsia"/>
                <w:bCs/>
                <w:color w:val="auto"/>
                <w:sz w:val="24"/>
              </w:rPr>
              <w:t>应编制报告表。</w:t>
            </w:r>
          </w:p>
          <w:p w14:paraId="48D4AA61">
            <w:pPr>
              <w:pStyle w:val="99"/>
              <w:pageBreakBefore w:val="0"/>
              <w:kinsoku/>
              <w:wordWrap/>
              <w:overflowPunct/>
              <w:topLinePunct w:val="0"/>
              <w:autoSpaceDE/>
              <w:autoSpaceDN/>
              <w:bidi w:val="0"/>
              <w:adjustRightInd/>
              <w:snapToGrid/>
              <w:spacing w:line="360" w:lineRule="auto"/>
              <w:ind w:left="0" w:leftChars="0" w:right="0" w:rightChars="0"/>
              <w:rPr>
                <w:color w:val="auto"/>
              </w:rPr>
            </w:pPr>
            <w:r>
              <w:rPr>
                <w:bCs w:val="0"/>
                <w:color w:val="auto"/>
                <w:kern w:val="2"/>
                <w:sz w:val="24"/>
                <w:szCs w:val="21"/>
              </w:rPr>
              <w:t>表2-1建设项目环境影响评价分类管理名录（2021年版，摘录）</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542"/>
              <w:gridCol w:w="1484"/>
              <w:gridCol w:w="4030"/>
              <w:gridCol w:w="882"/>
            </w:tblGrid>
            <w:tr w14:paraId="62A9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057" w:type="dxa"/>
                  <w:gridSpan w:val="2"/>
                  <w:tcBorders>
                    <w:tl2br w:val="single" w:color="auto" w:sz="4" w:space="0"/>
                  </w:tcBorders>
                  <w:shd w:val="clear" w:color="auto" w:fill="auto"/>
                </w:tcPr>
                <w:p w14:paraId="198CFEEC">
                  <w:pPr>
                    <w:pageBreakBefore w:val="0"/>
                    <w:kinsoku/>
                    <w:wordWrap/>
                    <w:overflowPunct/>
                    <w:topLinePunct w:val="0"/>
                    <w:autoSpaceDE/>
                    <w:autoSpaceDN/>
                    <w:bidi w:val="0"/>
                    <w:adjustRightInd/>
                    <w:snapToGrid/>
                    <w:ind w:left="0" w:leftChars="0" w:right="0" w:rightChars="0"/>
                    <w:jc w:val="center"/>
                    <w:rPr>
                      <w:b/>
                      <w:color w:val="auto"/>
                      <w:sz w:val="21"/>
                      <w:szCs w:val="21"/>
                    </w:rPr>
                  </w:pPr>
                  <w:r>
                    <w:rPr>
                      <w:rFonts w:hint="eastAsia"/>
                      <w:b/>
                      <w:color w:val="auto"/>
                      <w:sz w:val="21"/>
                      <w:szCs w:val="21"/>
                    </w:rPr>
                    <w:t xml:space="preserve"> </w:t>
                  </w:r>
                  <w:r>
                    <w:rPr>
                      <w:b/>
                      <w:color w:val="auto"/>
                      <w:sz w:val="21"/>
                      <w:szCs w:val="21"/>
                    </w:rPr>
                    <w:t xml:space="preserve">        环评类别</w:t>
                  </w:r>
                </w:p>
                <w:p w14:paraId="4A7BC7B0">
                  <w:pPr>
                    <w:pageBreakBefore w:val="0"/>
                    <w:kinsoku/>
                    <w:wordWrap/>
                    <w:overflowPunct/>
                    <w:topLinePunct w:val="0"/>
                    <w:autoSpaceDE/>
                    <w:autoSpaceDN/>
                    <w:bidi w:val="0"/>
                    <w:adjustRightInd/>
                    <w:snapToGrid/>
                    <w:ind w:left="0" w:leftChars="0" w:right="0" w:rightChars="0"/>
                    <w:jc w:val="both"/>
                    <w:rPr>
                      <w:b/>
                      <w:color w:val="auto"/>
                      <w:sz w:val="21"/>
                      <w:szCs w:val="21"/>
                    </w:rPr>
                  </w:pPr>
                  <w:r>
                    <w:rPr>
                      <w:b/>
                      <w:color w:val="auto"/>
                      <w:sz w:val="21"/>
                      <w:szCs w:val="21"/>
                    </w:rPr>
                    <w:t>项目类别</w:t>
                  </w:r>
                </w:p>
              </w:tc>
              <w:tc>
                <w:tcPr>
                  <w:tcW w:w="1484" w:type="dxa"/>
                  <w:shd w:val="clear" w:color="auto" w:fill="auto"/>
                  <w:vAlign w:val="center"/>
                </w:tcPr>
                <w:p w14:paraId="111996EF">
                  <w:pPr>
                    <w:pageBreakBefore w:val="0"/>
                    <w:kinsoku/>
                    <w:wordWrap/>
                    <w:overflowPunct/>
                    <w:topLinePunct w:val="0"/>
                    <w:autoSpaceDE/>
                    <w:autoSpaceDN/>
                    <w:bidi w:val="0"/>
                    <w:adjustRightInd/>
                    <w:snapToGrid/>
                    <w:ind w:left="0" w:leftChars="0" w:right="0" w:rightChars="0"/>
                    <w:jc w:val="center"/>
                    <w:rPr>
                      <w:b/>
                      <w:color w:val="auto"/>
                      <w:sz w:val="21"/>
                      <w:szCs w:val="21"/>
                    </w:rPr>
                  </w:pPr>
                  <w:r>
                    <w:rPr>
                      <w:b/>
                      <w:color w:val="auto"/>
                      <w:sz w:val="21"/>
                      <w:szCs w:val="21"/>
                    </w:rPr>
                    <w:t>报告书</w:t>
                  </w:r>
                </w:p>
              </w:tc>
              <w:tc>
                <w:tcPr>
                  <w:tcW w:w="4030" w:type="dxa"/>
                  <w:shd w:val="clear" w:color="auto" w:fill="auto"/>
                  <w:vAlign w:val="center"/>
                </w:tcPr>
                <w:p w14:paraId="700386EC">
                  <w:pPr>
                    <w:pageBreakBefore w:val="0"/>
                    <w:kinsoku/>
                    <w:wordWrap/>
                    <w:overflowPunct/>
                    <w:topLinePunct w:val="0"/>
                    <w:autoSpaceDE/>
                    <w:autoSpaceDN/>
                    <w:bidi w:val="0"/>
                    <w:adjustRightInd/>
                    <w:snapToGrid/>
                    <w:ind w:left="0" w:leftChars="0" w:right="0" w:rightChars="0"/>
                    <w:jc w:val="center"/>
                    <w:rPr>
                      <w:b/>
                      <w:color w:val="auto"/>
                      <w:sz w:val="21"/>
                      <w:szCs w:val="21"/>
                    </w:rPr>
                  </w:pPr>
                  <w:r>
                    <w:rPr>
                      <w:b/>
                      <w:color w:val="auto"/>
                      <w:sz w:val="21"/>
                      <w:szCs w:val="21"/>
                    </w:rPr>
                    <w:t>报告表</w:t>
                  </w:r>
                </w:p>
              </w:tc>
              <w:tc>
                <w:tcPr>
                  <w:tcW w:w="882" w:type="dxa"/>
                  <w:shd w:val="clear" w:color="auto" w:fill="auto"/>
                  <w:vAlign w:val="center"/>
                </w:tcPr>
                <w:p w14:paraId="7A9D2A70">
                  <w:pPr>
                    <w:pageBreakBefore w:val="0"/>
                    <w:kinsoku/>
                    <w:wordWrap/>
                    <w:overflowPunct/>
                    <w:topLinePunct w:val="0"/>
                    <w:autoSpaceDE/>
                    <w:autoSpaceDN/>
                    <w:bidi w:val="0"/>
                    <w:adjustRightInd/>
                    <w:snapToGrid/>
                    <w:ind w:left="0" w:leftChars="0" w:right="0" w:rightChars="0"/>
                    <w:jc w:val="center"/>
                    <w:rPr>
                      <w:b/>
                      <w:color w:val="auto"/>
                      <w:sz w:val="21"/>
                      <w:szCs w:val="21"/>
                    </w:rPr>
                  </w:pPr>
                  <w:r>
                    <w:rPr>
                      <w:b/>
                      <w:color w:val="auto"/>
                      <w:sz w:val="21"/>
                      <w:szCs w:val="21"/>
                    </w:rPr>
                    <w:t>登记表</w:t>
                  </w:r>
                </w:p>
              </w:tc>
            </w:tr>
            <w:tr w14:paraId="74F0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8453" w:type="dxa"/>
                  <w:gridSpan w:val="5"/>
                  <w:shd w:val="clear" w:color="auto" w:fill="auto"/>
                  <w:vAlign w:val="center"/>
                </w:tcPr>
                <w:p w14:paraId="6868AB41">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default" w:eastAsia="宋体"/>
                      <w:bCs/>
                      <w:color w:val="auto"/>
                      <w:sz w:val="21"/>
                      <w:szCs w:val="21"/>
                      <w:lang w:val="en-US" w:eastAsia="zh-CN"/>
                    </w:rPr>
                    <w:t>十七、木材加工和木、竹、藤、棕、草制品业 20</w:t>
                  </w:r>
                </w:p>
              </w:tc>
            </w:tr>
            <w:tr w14:paraId="3E25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15" w:type="dxa"/>
                  <w:shd w:val="clear" w:color="auto" w:fill="auto"/>
                  <w:vAlign w:val="center"/>
                </w:tcPr>
                <w:p w14:paraId="3F3F8E7E">
                  <w:pPr>
                    <w:pageBreakBefore w:val="0"/>
                    <w:kinsoku/>
                    <w:wordWrap/>
                    <w:overflowPunct/>
                    <w:topLinePunct w:val="0"/>
                    <w:autoSpaceDE/>
                    <w:autoSpaceDN/>
                    <w:bidi w:val="0"/>
                    <w:adjustRightInd/>
                    <w:snapToGrid/>
                    <w:ind w:left="0" w:leftChars="0" w:right="0" w:rightChars="0"/>
                    <w:jc w:val="center"/>
                    <w:rPr>
                      <w:rFonts w:hint="default" w:eastAsia="宋体"/>
                      <w:bCs/>
                      <w:color w:val="auto"/>
                      <w:sz w:val="21"/>
                      <w:szCs w:val="21"/>
                      <w:lang w:val="en-US" w:eastAsia="zh-CN"/>
                    </w:rPr>
                  </w:pPr>
                  <w:r>
                    <w:rPr>
                      <w:rFonts w:hint="eastAsia" w:eastAsia="宋体"/>
                      <w:bCs/>
                      <w:color w:val="auto"/>
                      <w:sz w:val="21"/>
                      <w:szCs w:val="21"/>
                      <w:lang w:val="en-US" w:eastAsia="zh-CN"/>
                    </w:rPr>
                    <w:t>35</w:t>
                  </w:r>
                </w:p>
              </w:tc>
              <w:tc>
                <w:tcPr>
                  <w:tcW w:w="1542" w:type="dxa"/>
                  <w:shd w:val="clear" w:color="auto" w:fill="auto"/>
                  <w:vAlign w:val="center"/>
                </w:tcPr>
                <w:p w14:paraId="7987198C">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eastAsia" w:eastAsia="宋体"/>
                      <w:bCs/>
                      <w:color w:val="auto"/>
                      <w:sz w:val="21"/>
                      <w:szCs w:val="21"/>
                      <w:lang w:val="en-US" w:eastAsia="zh-CN"/>
                    </w:rPr>
                    <w:t>竹、藤、棕、草等制品制造 204*</w:t>
                  </w:r>
                </w:p>
              </w:tc>
              <w:tc>
                <w:tcPr>
                  <w:tcW w:w="1484" w:type="dxa"/>
                  <w:shd w:val="clear" w:color="auto" w:fill="auto"/>
                  <w:vAlign w:val="center"/>
                </w:tcPr>
                <w:p w14:paraId="04B8022B">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eastAsia" w:eastAsia="宋体"/>
                      <w:bCs/>
                      <w:color w:val="auto"/>
                      <w:sz w:val="21"/>
                      <w:szCs w:val="21"/>
                      <w:lang w:val="en-US" w:eastAsia="zh-CN"/>
                    </w:rPr>
                    <w:t>有电镀工艺的；年用溶剂型涂料（含稀释剂）10吨及以上的</w:t>
                  </w:r>
                </w:p>
              </w:tc>
              <w:tc>
                <w:tcPr>
                  <w:tcW w:w="4030" w:type="dxa"/>
                  <w:shd w:val="clear" w:color="auto" w:fill="auto"/>
                  <w:vAlign w:val="center"/>
                </w:tcPr>
                <w:p w14:paraId="70CBD2E4">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eastAsia" w:eastAsia="宋体"/>
                      <w:bCs/>
                      <w:color w:val="auto"/>
                      <w:sz w:val="21"/>
                      <w:szCs w:val="21"/>
                      <w:lang w:val="en-US" w:eastAsia="zh-CN"/>
                    </w:rPr>
                    <w:t>采用胶合工艺的；年用溶剂型涂料（含稀释剂）10吨以下的，或年用非溶剂型低VOCs含量涂料10吨及以上的</w:t>
                  </w:r>
                </w:p>
              </w:tc>
              <w:tc>
                <w:tcPr>
                  <w:tcW w:w="882" w:type="dxa"/>
                  <w:shd w:val="clear" w:color="auto" w:fill="auto"/>
                  <w:vAlign w:val="center"/>
                </w:tcPr>
                <w:p w14:paraId="1ED279FB">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eastAsia" w:eastAsia="宋体"/>
                      <w:bCs/>
                      <w:color w:val="auto"/>
                      <w:sz w:val="21"/>
                      <w:szCs w:val="21"/>
                      <w:lang w:val="en-US" w:eastAsia="zh-CN"/>
                    </w:rPr>
                    <w:t>/</w:t>
                  </w:r>
                </w:p>
              </w:tc>
            </w:tr>
            <w:tr w14:paraId="6622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8453" w:type="dxa"/>
                  <w:gridSpan w:val="5"/>
                  <w:shd w:val="clear" w:color="auto" w:fill="auto"/>
                  <w:vAlign w:val="center"/>
                </w:tcPr>
                <w:p w14:paraId="09366834">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eastAsia" w:eastAsia="宋体"/>
                      <w:bCs/>
                      <w:color w:val="auto"/>
                      <w:sz w:val="21"/>
                      <w:szCs w:val="21"/>
                      <w:lang w:val="en-US" w:eastAsia="zh-CN"/>
                    </w:rPr>
                    <w:t>四十一、电力、热力生产和供应业</w:t>
                  </w:r>
                </w:p>
              </w:tc>
            </w:tr>
            <w:tr w14:paraId="624F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15" w:type="dxa"/>
                  <w:shd w:val="clear" w:color="auto" w:fill="auto"/>
                  <w:vAlign w:val="center"/>
                </w:tcPr>
                <w:p w14:paraId="049FF29D">
                  <w:pPr>
                    <w:pageBreakBefore w:val="0"/>
                    <w:kinsoku/>
                    <w:wordWrap/>
                    <w:overflowPunct/>
                    <w:topLinePunct w:val="0"/>
                    <w:autoSpaceDE/>
                    <w:autoSpaceDN/>
                    <w:bidi w:val="0"/>
                    <w:adjustRightInd/>
                    <w:snapToGrid/>
                    <w:ind w:left="0" w:leftChars="0" w:right="0" w:rightChars="0"/>
                    <w:jc w:val="center"/>
                    <w:rPr>
                      <w:rFonts w:hint="default" w:eastAsia="宋体"/>
                      <w:bCs/>
                      <w:color w:val="auto"/>
                      <w:sz w:val="21"/>
                      <w:szCs w:val="21"/>
                      <w:lang w:val="en-US" w:eastAsia="zh-CN"/>
                    </w:rPr>
                  </w:pPr>
                  <w:r>
                    <w:rPr>
                      <w:rFonts w:hint="eastAsia" w:eastAsia="宋体"/>
                      <w:bCs/>
                      <w:color w:val="auto"/>
                      <w:sz w:val="21"/>
                      <w:szCs w:val="21"/>
                      <w:lang w:val="en-US" w:eastAsia="zh-CN"/>
                    </w:rPr>
                    <w:t>91</w:t>
                  </w:r>
                </w:p>
              </w:tc>
              <w:tc>
                <w:tcPr>
                  <w:tcW w:w="1542" w:type="dxa"/>
                  <w:shd w:val="clear" w:color="auto" w:fill="auto"/>
                  <w:vAlign w:val="center"/>
                </w:tcPr>
                <w:p w14:paraId="76C3DE42">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eastAsia" w:eastAsia="宋体"/>
                      <w:bCs/>
                      <w:color w:val="auto"/>
                      <w:sz w:val="21"/>
                      <w:szCs w:val="21"/>
                      <w:lang w:val="en-US" w:eastAsia="zh-CN"/>
                    </w:rPr>
                    <w:t>热力生产和供应工程（包括建设单位自建自用的供热工程）</w:t>
                  </w:r>
                </w:p>
              </w:tc>
              <w:tc>
                <w:tcPr>
                  <w:tcW w:w="1484" w:type="dxa"/>
                  <w:shd w:val="clear" w:color="auto" w:fill="auto"/>
                  <w:vAlign w:val="center"/>
                </w:tcPr>
                <w:p w14:paraId="21EA5C84">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eastAsia" w:eastAsia="宋体"/>
                      <w:bCs/>
                      <w:color w:val="auto"/>
                      <w:sz w:val="21"/>
                      <w:szCs w:val="21"/>
                      <w:lang w:val="en-US" w:eastAsia="zh-CN"/>
                    </w:rPr>
                    <w:t>燃煤、燃油锅炉总容量65吨/小时（45.5兆瓦）以上的</w:t>
                  </w:r>
                </w:p>
              </w:tc>
              <w:tc>
                <w:tcPr>
                  <w:tcW w:w="4030" w:type="dxa"/>
                  <w:shd w:val="clear" w:color="auto" w:fill="auto"/>
                  <w:vAlign w:val="center"/>
                </w:tcPr>
                <w:p w14:paraId="6D723B08">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eastAsia" w:eastAsia="宋体"/>
                      <w:bCs/>
                      <w:color w:val="auto"/>
                      <w:sz w:val="21"/>
                      <w:szCs w:val="21"/>
                      <w:lang w:val="en-US" w:eastAsia="zh-CN"/>
                    </w:rPr>
                    <w:t>燃煤、燃油锅炉总容量65吨/小时（45.5兆瓦）及以下的；天然气锅炉总容量1吨/小时（0.7兆瓦）以上的；使用其他高污染燃料的（高污染燃料指国环规大气〔2017〕2号《高污染燃料目录》中规定的燃料）</w:t>
                  </w:r>
                </w:p>
              </w:tc>
              <w:tc>
                <w:tcPr>
                  <w:tcW w:w="882" w:type="dxa"/>
                  <w:shd w:val="clear" w:color="auto" w:fill="auto"/>
                  <w:vAlign w:val="center"/>
                </w:tcPr>
                <w:p w14:paraId="58AC8B40">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val="en-US" w:eastAsia="zh-CN"/>
                    </w:rPr>
                  </w:pPr>
                  <w:r>
                    <w:rPr>
                      <w:rFonts w:hint="eastAsia" w:eastAsia="宋体"/>
                      <w:bCs/>
                      <w:color w:val="auto"/>
                      <w:sz w:val="21"/>
                      <w:szCs w:val="21"/>
                      <w:lang w:val="en-US" w:eastAsia="zh-CN"/>
                    </w:rPr>
                    <w:t>/</w:t>
                  </w:r>
                </w:p>
              </w:tc>
            </w:tr>
          </w:tbl>
          <w:p w14:paraId="22764DD4">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sz w:val="24"/>
              </w:rPr>
            </w:pPr>
            <w:r>
              <w:rPr>
                <w:rFonts w:hint="eastAsia"/>
                <w:color w:val="auto"/>
                <w:sz w:val="24"/>
              </w:rPr>
              <w:t>本项目属于</w:t>
            </w:r>
            <w:r>
              <w:rPr>
                <w:rFonts w:hint="eastAsia"/>
                <w:color w:val="auto"/>
                <w:sz w:val="24"/>
                <w:lang w:eastAsia="zh-CN"/>
              </w:rPr>
              <w:t>C2041 竹制品制造</w:t>
            </w:r>
            <w:r>
              <w:rPr>
                <w:rFonts w:hint="eastAsia"/>
                <w:color w:val="auto"/>
                <w:sz w:val="24"/>
              </w:rPr>
              <w:t>。根据《固定污染源排污许可分类管理名录》（2019年版）中相关内容。本次</w:t>
            </w:r>
            <w:r>
              <w:rPr>
                <w:rFonts w:hint="eastAsia"/>
                <w:color w:val="auto"/>
                <w:sz w:val="24"/>
                <w:lang w:eastAsia="zh-CN"/>
              </w:rPr>
              <w:t>新</w:t>
            </w:r>
            <w:r>
              <w:rPr>
                <w:rFonts w:hint="eastAsia"/>
                <w:color w:val="auto"/>
                <w:sz w:val="24"/>
              </w:rPr>
              <w:t>建项目属于排污许可中“</w:t>
            </w:r>
            <w:r>
              <w:rPr>
                <w:rFonts w:hint="eastAsia"/>
                <w:color w:val="auto"/>
                <w:sz w:val="24"/>
                <w:lang w:val="en-US" w:eastAsia="zh-CN"/>
              </w:rPr>
              <w:t>登记管理</w:t>
            </w:r>
            <w:r>
              <w:rPr>
                <w:rFonts w:hint="eastAsia"/>
                <w:color w:val="auto"/>
                <w:sz w:val="24"/>
              </w:rPr>
              <w:t>”。</w:t>
            </w:r>
          </w:p>
          <w:p w14:paraId="73F9D6D3">
            <w:pPr>
              <w:pStyle w:val="99"/>
              <w:pageBreakBefore w:val="0"/>
              <w:kinsoku/>
              <w:wordWrap/>
              <w:overflowPunct/>
              <w:topLinePunct w:val="0"/>
              <w:autoSpaceDE/>
              <w:autoSpaceDN/>
              <w:bidi w:val="0"/>
              <w:adjustRightInd/>
              <w:snapToGrid/>
              <w:spacing w:line="360" w:lineRule="auto"/>
              <w:ind w:left="0" w:leftChars="0" w:right="0" w:rightChars="0"/>
              <w:rPr>
                <w:bCs w:val="0"/>
                <w:color w:val="auto"/>
                <w:kern w:val="2"/>
                <w:sz w:val="24"/>
                <w:szCs w:val="21"/>
              </w:rPr>
            </w:pPr>
          </w:p>
          <w:p w14:paraId="7342C8DD">
            <w:pPr>
              <w:pStyle w:val="99"/>
              <w:pageBreakBefore w:val="0"/>
              <w:kinsoku/>
              <w:wordWrap/>
              <w:overflowPunct/>
              <w:topLinePunct w:val="0"/>
              <w:autoSpaceDE/>
              <w:autoSpaceDN/>
              <w:bidi w:val="0"/>
              <w:adjustRightInd/>
              <w:snapToGrid/>
              <w:spacing w:line="360" w:lineRule="auto"/>
              <w:ind w:left="0" w:leftChars="0" w:right="0" w:rightChars="0"/>
              <w:rPr>
                <w:bCs w:val="0"/>
                <w:color w:val="auto"/>
                <w:kern w:val="2"/>
                <w:sz w:val="24"/>
                <w:szCs w:val="21"/>
              </w:rPr>
            </w:pPr>
          </w:p>
          <w:p w14:paraId="745E1B22">
            <w:pPr>
              <w:pStyle w:val="99"/>
              <w:pageBreakBefore w:val="0"/>
              <w:kinsoku/>
              <w:wordWrap/>
              <w:overflowPunct/>
              <w:topLinePunct w:val="0"/>
              <w:autoSpaceDE/>
              <w:autoSpaceDN/>
              <w:bidi w:val="0"/>
              <w:adjustRightInd/>
              <w:snapToGrid/>
              <w:spacing w:line="360" w:lineRule="auto"/>
              <w:ind w:left="0" w:leftChars="0" w:right="0" w:rightChars="0"/>
              <w:rPr>
                <w:bCs w:val="0"/>
                <w:color w:val="auto"/>
                <w:kern w:val="2"/>
                <w:sz w:val="24"/>
                <w:szCs w:val="21"/>
              </w:rPr>
            </w:pPr>
          </w:p>
          <w:p w14:paraId="28C43E0B">
            <w:pPr>
              <w:pStyle w:val="99"/>
              <w:pageBreakBefore w:val="0"/>
              <w:kinsoku/>
              <w:wordWrap/>
              <w:overflowPunct/>
              <w:topLinePunct w:val="0"/>
              <w:autoSpaceDE/>
              <w:autoSpaceDN/>
              <w:bidi w:val="0"/>
              <w:adjustRightInd/>
              <w:snapToGrid/>
              <w:spacing w:line="360" w:lineRule="auto"/>
              <w:ind w:left="0" w:leftChars="0" w:right="0" w:rightChars="0"/>
              <w:rPr>
                <w:color w:val="auto"/>
              </w:rPr>
            </w:pPr>
            <w:r>
              <w:rPr>
                <w:bCs w:val="0"/>
                <w:color w:val="auto"/>
                <w:kern w:val="2"/>
                <w:sz w:val="24"/>
                <w:szCs w:val="21"/>
              </w:rPr>
              <w:t>表2-</w:t>
            </w:r>
            <w:r>
              <w:rPr>
                <w:rFonts w:hint="eastAsia"/>
                <w:bCs w:val="0"/>
                <w:color w:val="auto"/>
                <w:kern w:val="2"/>
                <w:sz w:val="24"/>
                <w:szCs w:val="21"/>
              </w:rPr>
              <w:t>2固定污染源</w:t>
            </w:r>
            <w:r>
              <w:rPr>
                <w:bCs w:val="0"/>
                <w:color w:val="auto"/>
                <w:kern w:val="2"/>
                <w:sz w:val="24"/>
                <w:szCs w:val="21"/>
              </w:rPr>
              <w:t>分类管理名录（20</w:t>
            </w:r>
            <w:r>
              <w:rPr>
                <w:rFonts w:hint="eastAsia"/>
                <w:bCs w:val="0"/>
                <w:color w:val="auto"/>
                <w:kern w:val="2"/>
                <w:sz w:val="24"/>
                <w:szCs w:val="21"/>
              </w:rPr>
              <w:t>19</w:t>
            </w:r>
            <w:r>
              <w:rPr>
                <w:bCs w:val="0"/>
                <w:color w:val="auto"/>
                <w:kern w:val="2"/>
                <w:sz w:val="24"/>
                <w:szCs w:val="21"/>
              </w:rPr>
              <w:t>年版，摘录）</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587"/>
              <w:gridCol w:w="1215"/>
              <w:gridCol w:w="2160"/>
              <w:gridCol w:w="2077"/>
              <w:gridCol w:w="810"/>
            </w:tblGrid>
            <w:tr w14:paraId="6FA7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1" w:type="dxa"/>
                  <w:gridSpan w:val="2"/>
                  <w:tcBorders>
                    <w:tl2br w:val="single" w:color="auto" w:sz="4" w:space="0"/>
                  </w:tcBorders>
                  <w:shd w:val="clear" w:color="auto" w:fill="auto"/>
                </w:tcPr>
                <w:p w14:paraId="5A33CF59">
                  <w:pPr>
                    <w:pageBreakBefore w:val="0"/>
                    <w:kinsoku/>
                    <w:wordWrap/>
                    <w:overflowPunct/>
                    <w:topLinePunct w:val="0"/>
                    <w:autoSpaceDE/>
                    <w:autoSpaceDN/>
                    <w:bidi w:val="0"/>
                    <w:adjustRightInd/>
                    <w:snapToGrid/>
                    <w:ind w:left="0" w:leftChars="0" w:right="0" w:rightChars="0"/>
                    <w:jc w:val="right"/>
                    <w:rPr>
                      <w:b/>
                      <w:color w:val="auto"/>
                      <w:sz w:val="21"/>
                      <w:szCs w:val="21"/>
                    </w:rPr>
                  </w:pPr>
                  <w:r>
                    <w:rPr>
                      <w:rFonts w:hint="eastAsia"/>
                      <w:b/>
                      <w:color w:val="auto"/>
                      <w:sz w:val="21"/>
                      <w:szCs w:val="21"/>
                    </w:rPr>
                    <w:t>管理类别</w:t>
                  </w:r>
                </w:p>
                <w:p w14:paraId="030ED953">
                  <w:pPr>
                    <w:pageBreakBefore w:val="0"/>
                    <w:kinsoku/>
                    <w:wordWrap/>
                    <w:overflowPunct/>
                    <w:topLinePunct w:val="0"/>
                    <w:autoSpaceDE/>
                    <w:autoSpaceDN/>
                    <w:bidi w:val="0"/>
                    <w:adjustRightInd/>
                    <w:snapToGrid/>
                    <w:ind w:left="0" w:leftChars="0" w:right="0" w:rightChars="0"/>
                    <w:jc w:val="left"/>
                    <w:rPr>
                      <w:b/>
                      <w:color w:val="auto"/>
                      <w:sz w:val="21"/>
                      <w:szCs w:val="21"/>
                    </w:rPr>
                  </w:pPr>
                  <w:r>
                    <w:rPr>
                      <w:rFonts w:hint="eastAsia"/>
                      <w:b/>
                      <w:color w:val="auto"/>
                      <w:sz w:val="21"/>
                      <w:szCs w:val="21"/>
                    </w:rPr>
                    <w:t>行业类别</w:t>
                  </w:r>
                </w:p>
              </w:tc>
              <w:tc>
                <w:tcPr>
                  <w:tcW w:w="1215" w:type="dxa"/>
                  <w:shd w:val="clear" w:color="auto" w:fill="auto"/>
                  <w:vAlign w:val="center"/>
                </w:tcPr>
                <w:p w14:paraId="3A1F7CE7">
                  <w:pPr>
                    <w:pageBreakBefore w:val="0"/>
                    <w:kinsoku/>
                    <w:wordWrap/>
                    <w:overflowPunct/>
                    <w:topLinePunct w:val="0"/>
                    <w:autoSpaceDE/>
                    <w:autoSpaceDN/>
                    <w:bidi w:val="0"/>
                    <w:adjustRightInd/>
                    <w:snapToGrid/>
                    <w:ind w:left="0" w:leftChars="0" w:right="0" w:rightChars="0"/>
                    <w:jc w:val="center"/>
                    <w:rPr>
                      <w:b/>
                      <w:color w:val="auto"/>
                      <w:sz w:val="21"/>
                      <w:szCs w:val="21"/>
                    </w:rPr>
                  </w:pPr>
                  <w:r>
                    <w:rPr>
                      <w:rFonts w:hint="eastAsia"/>
                      <w:b/>
                      <w:color w:val="auto"/>
                      <w:sz w:val="21"/>
                      <w:szCs w:val="21"/>
                    </w:rPr>
                    <w:t>重点管理</w:t>
                  </w:r>
                </w:p>
              </w:tc>
              <w:tc>
                <w:tcPr>
                  <w:tcW w:w="2160" w:type="dxa"/>
                  <w:shd w:val="clear" w:color="auto" w:fill="auto"/>
                  <w:vAlign w:val="center"/>
                </w:tcPr>
                <w:p w14:paraId="2CA413EC">
                  <w:pPr>
                    <w:pageBreakBefore w:val="0"/>
                    <w:kinsoku/>
                    <w:wordWrap/>
                    <w:overflowPunct/>
                    <w:topLinePunct w:val="0"/>
                    <w:autoSpaceDE/>
                    <w:autoSpaceDN/>
                    <w:bidi w:val="0"/>
                    <w:adjustRightInd/>
                    <w:snapToGrid/>
                    <w:ind w:left="0" w:leftChars="0" w:right="0" w:rightChars="0"/>
                    <w:jc w:val="center"/>
                    <w:rPr>
                      <w:b/>
                      <w:color w:val="auto"/>
                      <w:sz w:val="21"/>
                      <w:szCs w:val="21"/>
                    </w:rPr>
                  </w:pPr>
                  <w:r>
                    <w:rPr>
                      <w:rFonts w:hint="eastAsia"/>
                      <w:b/>
                      <w:color w:val="auto"/>
                      <w:sz w:val="21"/>
                      <w:szCs w:val="21"/>
                    </w:rPr>
                    <w:t>简化管理</w:t>
                  </w:r>
                </w:p>
              </w:tc>
              <w:tc>
                <w:tcPr>
                  <w:tcW w:w="2077" w:type="dxa"/>
                  <w:shd w:val="clear" w:color="auto" w:fill="auto"/>
                  <w:vAlign w:val="center"/>
                </w:tcPr>
                <w:p w14:paraId="72F4531B">
                  <w:pPr>
                    <w:pageBreakBefore w:val="0"/>
                    <w:kinsoku/>
                    <w:wordWrap/>
                    <w:overflowPunct/>
                    <w:topLinePunct w:val="0"/>
                    <w:autoSpaceDE/>
                    <w:autoSpaceDN/>
                    <w:bidi w:val="0"/>
                    <w:adjustRightInd/>
                    <w:snapToGrid/>
                    <w:ind w:left="0" w:leftChars="0" w:right="0" w:rightChars="0"/>
                    <w:jc w:val="center"/>
                    <w:rPr>
                      <w:b/>
                      <w:color w:val="auto"/>
                      <w:sz w:val="21"/>
                      <w:szCs w:val="21"/>
                    </w:rPr>
                  </w:pPr>
                  <w:r>
                    <w:rPr>
                      <w:rFonts w:hint="eastAsia"/>
                      <w:b/>
                      <w:color w:val="auto"/>
                      <w:sz w:val="21"/>
                      <w:szCs w:val="21"/>
                    </w:rPr>
                    <w:t>登记管理</w:t>
                  </w:r>
                </w:p>
              </w:tc>
              <w:tc>
                <w:tcPr>
                  <w:tcW w:w="810" w:type="dxa"/>
                  <w:shd w:val="clear" w:color="auto" w:fill="auto"/>
                  <w:vAlign w:val="center"/>
                </w:tcPr>
                <w:p w14:paraId="05463D49">
                  <w:pPr>
                    <w:pageBreakBefore w:val="0"/>
                    <w:kinsoku/>
                    <w:wordWrap/>
                    <w:overflowPunct/>
                    <w:topLinePunct w:val="0"/>
                    <w:autoSpaceDE/>
                    <w:autoSpaceDN/>
                    <w:bidi w:val="0"/>
                    <w:adjustRightInd/>
                    <w:snapToGrid/>
                    <w:ind w:left="0" w:leftChars="0" w:right="0" w:rightChars="0"/>
                    <w:jc w:val="center"/>
                    <w:rPr>
                      <w:rFonts w:hint="eastAsia" w:eastAsia="宋体"/>
                      <w:b/>
                      <w:color w:val="auto"/>
                      <w:sz w:val="21"/>
                      <w:szCs w:val="21"/>
                      <w:lang w:eastAsia="zh-CN"/>
                    </w:rPr>
                  </w:pPr>
                  <w:r>
                    <w:rPr>
                      <w:rFonts w:hint="eastAsia"/>
                      <w:b/>
                      <w:color w:val="auto"/>
                      <w:sz w:val="21"/>
                      <w:szCs w:val="21"/>
                      <w:lang w:eastAsia="zh-CN"/>
                    </w:rPr>
                    <w:t>本项目</w:t>
                  </w:r>
                </w:p>
              </w:tc>
            </w:tr>
            <w:tr w14:paraId="0A63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8453" w:type="dxa"/>
                  <w:gridSpan w:val="6"/>
                  <w:shd w:val="clear" w:color="auto" w:fill="auto"/>
                  <w:vAlign w:val="center"/>
                </w:tcPr>
                <w:p w14:paraId="721CEA54">
                  <w:pPr>
                    <w:pageBreakBefore w:val="0"/>
                    <w:kinsoku/>
                    <w:wordWrap/>
                    <w:overflowPunct/>
                    <w:topLinePunct w:val="0"/>
                    <w:autoSpaceDE/>
                    <w:autoSpaceDN/>
                    <w:bidi w:val="0"/>
                    <w:adjustRightInd/>
                    <w:snapToGrid/>
                    <w:ind w:left="0" w:leftChars="0" w:right="0" w:rightChars="0"/>
                    <w:jc w:val="center"/>
                    <w:rPr>
                      <w:rFonts w:hint="eastAsia"/>
                      <w:bCs/>
                      <w:color w:val="auto"/>
                      <w:sz w:val="21"/>
                      <w:szCs w:val="21"/>
                    </w:rPr>
                  </w:pPr>
                  <w:r>
                    <w:rPr>
                      <w:rFonts w:hint="eastAsia"/>
                      <w:bCs/>
                      <w:color w:val="auto"/>
                      <w:sz w:val="21"/>
                      <w:szCs w:val="21"/>
                      <w:lang w:val="en-US" w:eastAsia="zh-CN"/>
                    </w:rPr>
                    <w:t>十五、木材加工和木、竹、藤、棕、草制品业 20</w:t>
                  </w:r>
                </w:p>
              </w:tc>
            </w:tr>
            <w:tr w14:paraId="30B1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04" w:type="dxa"/>
                  <w:shd w:val="clear" w:color="auto" w:fill="auto"/>
                  <w:vAlign w:val="center"/>
                </w:tcPr>
                <w:p w14:paraId="023B67B4">
                  <w:pPr>
                    <w:pageBreakBefore w:val="0"/>
                    <w:kinsoku/>
                    <w:wordWrap/>
                    <w:overflowPunct/>
                    <w:topLinePunct w:val="0"/>
                    <w:autoSpaceDE/>
                    <w:autoSpaceDN/>
                    <w:bidi w:val="0"/>
                    <w:adjustRightInd/>
                    <w:snapToGrid/>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34</w:t>
                  </w:r>
                </w:p>
              </w:tc>
              <w:tc>
                <w:tcPr>
                  <w:tcW w:w="1587" w:type="dxa"/>
                  <w:shd w:val="clear" w:color="auto" w:fill="auto"/>
                  <w:vAlign w:val="center"/>
                </w:tcPr>
                <w:p w14:paraId="17DF9B28">
                  <w:pPr>
                    <w:pageBreakBefore w:val="0"/>
                    <w:kinsoku/>
                    <w:wordWrap/>
                    <w:overflowPunct/>
                    <w:topLinePunct w:val="0"/>
                    <w:autoSpaceDE/>
                    <w:autoSpaceDN/>
                    <w:bidi w:val="0"/>
                    <w:adjustRightInd/>
                    <w:snapToGrid/>
                    <w:ind w:left="0" w:leftChars="0" w:right="0" w:rightChars="0"/>
                    <w:jc w:val="center"/>
                    <w:rPr>
                      <w:bCs/>
                      <w:color w:val="auto"/>
                      <w:sz w:val="21"/>
                      <w:szCs w:val="21"/>
                    </w:rPr>
                  </w:pPr>
                  <w:r>
                    <w:rPr>
                      <w:rFonts w:hint="eastAsia"/>
                      <w:bCs/>
                      <w:color w:val="auto"/>
                      <w:sz w:val="21"/>
                      <w:szCs w:val="21"/>
                      <w:lang w:val="en-US" w:eastAsia="zh-CN"/>
                    </w:rPr>
                    <w:t xml:space="preserve">木材加工 201，木质制品制造 203，竹、 </w:t>
                  </w:r>
                </w:p>
                <w:p w14:paraId="7AA6455F">
                  <w:pPr>
                    <w:pageBreakBefore w:val="0"/>
                    <w:kinsoku/>
                    <w:wordWrap/>
                    <w:overflowPunct/>
                    <w:topLinePunct w:val="0"/>
                    <w:autoSpaceDE/>
                    <w:autoSpaceDN/>
                    <w:bidi w:val="0"/>
                    <w:adjustRightInd/>
                    <w:snapToGrid/>
                    <w:ind w:left="0" w:leftChars="0" w:right="0" w:rightChars="0"/>
                    <w:jc w:val="center"/>
                    <w:rPr>
                      <w:bCs/>
                      <w:color w:val="auto"/>
                      <w:sz w:val="21"/>
                      <w:szCs w:val="21"/>
                    </w:rPr>
                  </w:pPr>
                  <w:r>
                    <w:rPr>
                      <w:rFonts w:hint="eastAsia"/>
                      <w:bCs/>
                      <w:color w:val="auto"/>
                      <w:sz w:val="21"/>
                      <w:szCs w:val="21"/>
                      <w:lang w:val="en-US" w:eastAsia="zh-CN"/>
                    </w:rPr>
                    <w:t>藤、棕、草等制品制造 204</w:t>
                  </w:r>
                </w:p>
              </w:tc>
              <w:tc>
                <w:tcPr>
                  <w:tcW w:w="1215" w:type="dxa"/>
                  <w:shd w:val="clear" w:color="auto" w:fill="auto"/>
                  <w:vAlign w:val="center"/>
                </w:tcPr>
                <w:p w14:paraId="389DFC50">
                  <w:pPr>
                    <w:pageBreakBefore w:val="0"/>
                    <w:kinsoku/>
                    <w:wordWrap/>
                    <w:overflowPunct/>
                    <w:topLinePunct w:val="0"/>
                    <w:autoSpaceDE/>
                    <w:autoSpaceDN/>
                    <w:bidi w:val="0"/>
                    <w:adjustRightInd/>
                    <w:snapToGrid/>
                    <w:ind w:left="0" w:leftChars="0" w:right="0" w:rightChars="0"/>
                    <w:jc w:val="center"/>
                    <w:rPr>
                      <w:bCs/>
                      <w:color w:val="auto"/>
                      <w:sz w:val="21"/>
                      <w:szCs w:val="21"/>
                    </w:rPr>
                  </w:pPr>
                  <w:r>
                    <w:rPr>
                      <w:rFonts w:hint="eastAsia"/>
                      <w:bCs/>
                      <w:color w:val="auto"/>
                      <w:sz w:val="21"/>
                      <w:szCs w:val="21"/>
                      <w:lang w:val="en-US" w:eastAsia="zh-CN"/>
                    </w:rPr>
                    <w:t>涉及通用工序重点管理的</w:t>
                  </w:r>
                </w:p>
              </w:tc>
              <w:tc>
                <w:tcPr>
                  <w:tcW w:w="2160" w:type="dxa"/>
                  <w:shd w:val="clear" w:color="auto" w:fill="auto"/>
                  <w:vAlign w:val="center"/>
                </w:tcPr>
                <w:p w14:paraId="0C5431D5">
                  <w:pPr>
                    <w:pageBreakBefore w:val="0"/>
                    <w:kinsoku/>
                    <w:wordWrap/>
                    <w:overflowPunct/>
                    <w:topLinePunct w:val="0"/>
                    <w:autoSpaceDE/>
                    <w:autoSpaceDN/>
                    <w:bidi w:val="0"/>
                    <w:adjustRightInd/>
                    <w:snapToGrid/>
                    <w:ind w:left="0" w:leftChars="0" w:right="0" w:rightChars="0"/>
                    <w:jc w:val="center"/>
                    <w:rPr>
                      <w:bCs/>
                      <w:color w:val="auto"/>
                      <w:sz w:val="21"/>
                      <w:szCs w:val="21"/>
                    </w:rPr>
                  </w:pPr>
                  <w:r>
                    <w:rPr>
                      <w:rFonts w:hint="eastAsia"/>
                      <w:bCs/>
                      <w:color w:val="auto"/>
                      <w:sz w:val="21"/>
                      <w:szCs w:val="21"/>
                    </w:rPr>
                    <w:t>涉及通用工序简化管理的</w:t>
                  </w:r>
                </w:p>
              </w:tc>
              <w:tc>
                <w:tcPr>
                  <w:tcW w:w="2077" w:type="dxa"/>
                  <w:shd w:val="clear" w:color="auto" w:fill="auto"/>
                  <w:vAlign w:val="center"/>
                </w:tcPr>
                <w:p w14:paraId="3A46FFF0">
                  <w:pPr>
                    <w:pageBreakBefore w:val="0"/>
                    <w:kinsoku/>
                    <w:wordWrap/>
                    <w:overflowPunct/>
                    <w:topLinePunct w:val="0"/>
                    <w:autoSpaceDE/>
                    <w:autoSpaceDN/>
                    <w:bidi w:val="0"/>
                    <w:adjustRightInd/>
                    <w:snapToGrid/>
                    <w:ind w:left="0" w:leftChars="0" w:right="0" w:rightChars="0"/>
                    <w:jc w:val="center"/>
                    <w:rPr>
                      <w:bCs/>
                      <w:color w:val="auto"/>
                      <w:sz w:val="21"/>
                      <w:szCs w:val="21"/>
                    </w:rPr>
                  </w:pPr>
                  <w:r>
                    <w:rPr>
                      <w:rFonts w:hint="eastAsia"/>
                      <w:bCs/>
                      <w:color w:val="auto"/>
                      <w:sz w:val="21"/>
                      <w:szCs w:val="21"/>
                      <w:lang w:val="en-US" w:eastAsia="zh-CN"/>
                    </w:rPr>
                    <w:t>其他</w:t>
                  </w:r>
                </w:p>
                <w:p w14:paraId="0E2D2BB3">
                  <w:pPr>
                    <w:pageBreakBefore w:val="0"/>
                    <w:kinsoku/>
                    <w:wordWrap/>
                    <w:overflowPunct/>
                    <w:topLinePunct w:val="0"/>
                    <w:autoSpaceDE/>
                    <w:autoSpaceDN/>
                    <w:bidi w:val="0"/>
                    <w:adjustRightInd/>
                    <w:snapToGrid/>
                    <w:ind w:left="0" w:leftChars="0" w:right="0" w:rightChars="0"/>
                    <w:jc w:val="center"/>
                    <w:rPr>
                      <w:bCs/>
                      <w:color w:val="auto"/>
                      <w:sz w:val="21"/>
                      <w:szCs w:val="21"/>
                    </w:rPr>
                  </w:pPr>
                </w:p>
              </w:tc>
              <w:tc>
                <w:tcPr>
                  <w:tcW w:w="810" w:type="dxa"/>
                  <w:shd w:val="clear" w:color="auto" w:fill="auto"/>
                  <w:vAlign w:val="center"/>
                </w:tcPr>
                <w:p w14:paraId="3A130710">
                  <w:pPr>
                    <w:pageBreakBefore w:val="0"/>
                    <w:kinsoku/>
                    <w:wordWrap/>
                    <w:overflowPunct/>
                    <w:topLinePunct w:val="0"/>
                    <w:autoSpaceDE/>
                    <w:autoSpaceDN/>
                    <w:bidi w:val="0"/>
                    <w:adjustRightInd/>
                    <w:snapToGrid/>
                    <w:ind w:left="0" w:leftChars="0" w:right="0" w:rightChars="0"/>
                    <w:jc w:val="center"/>
                    <w:rPr>
                      <w:rFonts w:hint="eastAsia" w:eastAsia="宋体"/>
                      <w:b/>
                      <w:bCs w:val="0"/>
                      <w:color w:val="auto"/>
                      <w:sz w:val="21"/>
                      <w:szCs w:val="21"/>
                      <w:lang w:eastAsia="zh-CN"/>
                    </w:rPr>
                  </w:pPr>
                  <w:r>
                    <w:rPr>
                      <w:rFonts w:hint="eastAsia"/>
                      <w:b/>
                      <w:bCs w:val="0"/>
                      <w:color w:val="auto"/>
                      <w:sz w:val="21"/>
                      <w:szCs w:val="21"/>
                      <w:lang w:eastAsia="zh-CN"/>
                    </w:rPr>
                    <w:t>登记</w:t>
                  </w:r>
                </w:p>
              </w:tc>
            </w:tr>
            <w:tr w14:paraId="31CA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8453" w:type="dxa"/>
                  <w:gridSpan w:val="6"/>
                  <w:shd w:val="clear" w:color="auto" w:fill="auto"/>
                  <w:vAlign w:val="center"/>
                </w:tcPr>
                <w:p w14:paraId="1504D955">
                  <w:pPr>
                    <w:pageBreakBefore w:val="0"/>
                    <w:kinsoku/>
                    <w:wordWrap/>
                    <w:overflowPunct/>
                    <w:topLinePunct w:val="0"/>
                    <w:autoSpaceDE/>
                    <w:autoSpaceDN/>
                    <w:bidi w:val="0"/>
                    <w:adjustRightInd/>
                    <w:snapToGrid/>
                    <w:ind w:left="0" w:leftChars="0" w:right="0" w:rightChars="0"/>
                    <w:jc w:val="center"/>
                    <w:rPr>
                      <w:rFonts w:hint="eastAsia"/>
                      <w:b w:val="0"/>
                      <w:bCs/>
                      <w:color w:val="auto"/>
                      <w:sz w:val="21"/>
                      <w:szCs w:val="21"/>
                    </w:rPr>
                  </w:pPr>
                  <w:r>
                    <w:rPr>
                      <w:rFonts w:hint="eastAsia"/>
                      <w:b w:val="0"/>
                      <w:bCs/>
                      <w:color w:val="auto"/>
                      <w:sz w:val="21"/>
                      <w:szCs w:val="21"/>
                      <w:lang w:val="en-US" w:eastAsia="zh-CN"/>
                    </w:rPr>
                    <w:t>五十一、通用工序</w:t>
                  </w:r>
                </w:p>
              </w:tc>
            </w:tr>
            <w:tr w14:paraId="71BE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04" w:type="dxa"/>
                  <w:shd w:val="clear" w:color="auto" w:fill="auto"/>
                  <w:vAlign w:val="center"/>
                </w:tcPr>
                <w:p w14:paraId="6DA45386">
                  <w:pPr>
                    <w:pageBreakBefore w:val="0"/>
                    <w:kinsoku/>
                    <w:wordWrap/>
                    <w:overflowPunct/>
                    <w:topLinePunct w:val="0"/>
                    <w:autoSpaceDE/>
                    <w:autoSpaceDN/>
                    <w:bidi w:val="0"/>
                    <w:adjustRightInd/>
                    <w:snapToGrid/>
                    <w:ind w:left="0" w:leftChars="0" w:right="0" w:rightChars="0"/>
                    <w:jc w:val="center"/>
                    <w:rPr>
                      <w:rFonts w:hint="default"/>
                      <w:b w:val="0"/>
                      <w:bCs/>
                      <w:color w:val="auto"/>
                      <w:sz w:val="21"/>
                      <w:szCs w:val="21"/>
                      <w:lang w:val="en-US" w:eastAsia="zh-CN"/>
                    </w:rPr>
                  </w:pPr>
                  <w:r>
                    <w:rPr>
                      <w:rFonts w:hint="eastAsia"/>
                      <w:b w:val="0"/>
                      <w:bCs/>
                      <w:color w:val="auto"/>
                      <w:sz w:val="21"/>
                      <w:szCs w:val="21"/>
                      <w:lang w:val="en-US" w:eastAsia="zh-CN"/>
                    </w:rPr>
                    <w:t>109</w:t>
                  </w:r>
                </w:p>
              </w:tc>
              <w:tc>
                <w:tcPr>
                  <w:tcW w:w="1587" w:type="dxa"/>
                  <w:shd w:val="clear" w:color="auto" w:fill="auto"/>
                  <w:vAlign w:val="center"/>
                </w:tcPr>
                <w:p w14:paraId="5FA1D24C">
                  <w:pPr>
                    <w:pageBreakBefore w:val="0"/>
                    <w:kinsoku/>
                    <w:wordWrap/>
                    <w:overflowPunct/>
                    <w:topLinePunct w:val="0"/>
                    <w:autoSpaceDE/>
                    <w:autoSpaceDN/>
                    <w:bidi w:val="0"/>
                    <w:adjustRightInd/>
                    <w:snapToGrid/>
                    <w:ind w:left="0" w:leftChars="0" w:right="0" w:rightChars="0"/>
                    <w:jc w:val="center"/>
                    <w:rPr>
                      <w:rFonts w:hint="eastAsia" w:eastAsia="宋体"/>
                      <w:b w:val="0"/>
                      <w:bCs/>
                      <w:color w:val="auto"/>
                      <w:sz w:val="21"/>
                      <w:szCs w:val="21"/>
                      <w:lang w:eastAsia="zh-CN"/>
                    </w:rPr>
                  </w:pPr>
                  <w:r>
                    <w:rPr>
                      <w:rFonts w:hint="eastAsia"/>
                      <w:b w:val="0"/>
                      <w:bCs/>
                      <w:color w:val="auto"/>
                      <w:sz w:val="21"/>
                      <w:szCs w:val="21"/>
                      <w:lang w:eastAsia="zh-CN"/>
                    </w:rPr>
                    <w:t>锅炉</w:t>
                  </w:r>
                </w:p>
              </w:tc>
              <w:tc>
                <w:tcPr>
                  <w:tcW w:w="1215" w:type="dxa"/>
                  <w:shd w:val="clear" w:color="auto" w:fill="auto"/>
                  <w:vAlign w:val="center"/>
                </w:tcPr>
                <w:p w14:paraId="0D1C0EF5">
                  <w:pPr>
                    <w:pageBreakBefore w:val="0"/>
                    <w:kinsoku/>
                    <w:wordWrap/>
                    <w:overflowPunct/>
                    <w:topLinePunct w:val="0"/>
                    <w:autoSpaceDE/>
                    <w:autoSpaceDN/>
                    <w:bidi w:val="0"/>
                    <w:adjustRightInd/>
                    <w:snapToGrid/>
                    <w:ind w:left="0" w:leftChars="0" w:right="0" w:rightChars="0"/>
                    <w:jc w:val="center"/>
                    <w:rPr>
                      <w:rFonts w:hint="eastAsia"/>
                      <w:b w:val="0"/>
                      <w:bCs/>
                      <w:color w:val="auto"/>
                      <w:sz w:val="21"/>
                      <w:szCs w:val="21"/>
                    </w:rPr>
                  </w:pPr>
                  <w:r>
                    <w:rPr>
                      <w:rFonts w:hint="eastAsia"/>
                      <w:b w:val="0"/>
                      <w:bCs/>
                      <w:color w:val="auto"/>
                      <w:sz w:val="21"/>
                      <w:szCs w:val="21"/>
                      <w:lang w:val="en-US" w:eastAsia="zh-CN"/>
                    </w:rPr>
                    <w:t>纳入重点排污单位名录的</w:t>
                  </w:r>
                </w:p>
              </w:tc>
              <w:tc>
                <w:tcPr>
                  <w:tcW w:w="2160" w:type="dxa"/>
                  <w:shd w:val="clear" w:color="auto" w:fill="auto"/>
                  <w:vAlign w:val="center"/>
                </w:tcPr>
                <w:p w14:paraId="528C5CA5">
                  <w:pPr>
                    <w:pageBreakBefore w:val="0"/>
                    <w:kinsoku/>
                    <w:wordWrap/>
                    <w:overflowPunct/>
                    <w:topLinePunct w:val="0"/>
                    <w:autoSpaceDE/>
                    <w:autoSpaceDN/>
                    <w:bidi w:val="0"/>
                    <w:adjustRightInd/>
                    <w:snapToGrid/>
                    <w:ind w:left="0" w:leftChars="0" w:right="0" w:rightChars="0"/>
                    <w:jc w:val="center"/>
                    <w:rPr>
                      <w:rFonts w:hint="eastAsia"/>
                      <w:b w:val="0"/>
                      <w:bCs/>
                      <w:color w:val="auto"/>
                      <w:sz w:val="21"/>
                      <w:szCs w:val="21"/>
                    </w:rPr>
                  </w:pPr>
                  <w:r>
                    <w:rPr>
                      <w:rFonts w:hint="eastAsia"/>
                      <w:b w:val="0"/>
                      <w:bCs/>
                      <w:color w:val="auto"/>
                      <w:sz w:val="21"/>
                      <w:szCs w:val="21"/>
                      <w:lang w:val="en-US" w:eastAsia="zh-CN"/>
                    </w:rPr>
                    <w:t>除纳入重点排污单位名录的，单台或者合计出力 20 吨/小时（14 兆瓦）及以上的锅炉（不含电热锅炉）</w:t>
                  </w:r>
                </w:p>
              </w:tc>
              <w:tc>
                <w:tcPr>
                  <w:tcW w:w="2077" w:type="dxa"/>
                  <w:shd w:val="clear" w:color="auto" w:fill="auto"/>
                  <w:vAlign w:val="center"/>
                </w:tcPr>
                <w:p w14:paraId="10625C2A">
                  <w:pPr>
                    <w:pageBreakBefore w:val="0"/>
                    <w:kinsoku/>
                    <w:wordWrap/>
                    <w:overflowPunct/>
                    <w:topLinePunct w:val="0"/>
                    <w:autoSpaceDE/>
                    <w:autoSpaceDN/>
                    <w:bidi w:val="0"/>
                    <w:adjustRightInd/>
                    <w:snapToGrid/>
                    <w:ind w:left="0" w:leftChars="0" w:right="0" w:rightChars="0"/>
                    <w:jc w:val="center"/>
                    <w:rPr>
                      <w:rFonts w:hint="eastAsia"/>
                      <w:b w:val="0"/>
                      <w:bCs/>
                      <w:color w:val="auto"/>
                      <w:sz w:val="21"/>
                      <w:szCs w:val="21"/>
                    </w:rPr>
                  </w:pPr>
                  <w:r>
                    <w:rPr>
                      <w:rFonts w:hint="eastAsia"/>
                      <w:b w:val="0"/>
                      <w:bCs/>
                      <w:color w:val="auto"/>
                      <w:sz w:val="21"/>
                      <w:szCs w:val="21"/>
                      <w:lang w:val="en-US" w:eastAsia="zh-CN"/>
                    </w:rPr>
                    <w:t xml:space="preserve">除纳入重点排污单位名录的，单台且合 </w:t>
                  </w:r>
                </w:p>
                <w:p w14:paraId="16E9ABC1">
                  <w:pPr>
                    <w:pageBreakBefore w:val="0"/>
                    <w:kinsoku/>
                    <w:wordWrap/>
                    <w:overflowPunct/>
                    <w:topLinePunct w:val="0"/>
                    <w:autoSpaceDE/>
                    <w:autoSpaceDN/>
                    <w:bidi w:val="0"/>
                    <w:adjustRightInd/>
                    <w:snapToGrid/>
                    <w:ind w:left="0" w:leftChars="0" w:right="0" w:rightChars="0"/>
                    <w:jc w:val="center"/>
                    <w:rPr>
                      <w:rFonts w:hint="eastAsia"/>
                      <w:b w:val="0"/>
                      <w:bCs/>
                      <w:color w:val="auto"/>
                      <w:sz w:val="21"/>
                      <w:szCs w:val="21"/>
                    </w:rPr>
                  </w:pPr>
                  <w:r>
                    <w:rPr>
                      <w:rFonts w:hint="eastAsia"/>
                      <w:b w:val="0"/>
                      <w:bCs/>
                      <w:color w:val="auto"/>
                      <w:sz w:val="21"/>
                      <w:szCs w:val="21"/>
                      <w:lang w:val="en-US" w:eastAsia="zh-CN"/>
                    </w:rPr>
                    <w:t xml:space="preserve">计出力 20 吨/小时（14 兆瓦）以下的 </w:t>
                  </w:r>
                </w:p>
                <w:p w14:paraId="570322FB">
                  <w:pPr>
                    <w:pageBreakBefore w:val="0"/>
                    <w:kinsoku/>
                    <w:wordWrap/>
                    <w:overflowPunct/>
                    <w:topLinePunct w:val="0"/>
                    <w:autoSpaceDE/>
                    <w:autoSpaceDN/>
                    <w:bidi w:val="0"/>
                    <w:adjustRightInd/>
                    <w:snapToGrid/>
                    <w:ind w:left="0" w:leftChars="0" w:right="0" w:rightChars="0"/>
                    <w:jc w:val="center"/>
                    <w:rPr>
                      <w:rFonts w:hint="eastAsia"/>
                      <w:b w:val="0"/>
                      <w:bCs/>
                      <w:color w:val="auto"/>
                      <w:sz w:val="21"/>
                      <w:szCs w:val="21"/>
                    </w:rPr>
                  </w:pPr>
                  <w:r>
                    <w:rPr>
                      <w:rFonts w:hint="eastAsia"/>
                      <w:b w:val="0"/>
                      <w:bCs/>
                      <w:color w:val="auto"/>
                      <w:sz w:val="21"/>
                      <w:szCs w:val="21"/>
                      <w:lang w:val="en-US" w:eastAsia="zh-CN"/>
                    </w:rPr>
                    <w:t>锅炉（不含电热锅炉）</w:t>
                  </w:r>
                </w:p>
              </w:tc>
              <w:tc>
                <w:tcPr>
                  <w:tcW w:w="810" w:type="dxa"/>
                  <w:shd w:val="clear" w:color="auto" w:fill="auto"/>
                  <w:vAlign w:val="center"/>
                </w:tcPr>
                <w:p w14:paraId="4850C6C7">
                  <w:pPr>
                    <w:pageBreakBefore w:val="0"/>
                    <w:kinsoku/>
                    <w:wordWrap/>
                    <w:overflowPunct/>
                    <w:topLinePunct w:val="0"/>
                    <w:autoSpaceDE/>
                    <w:autoSpaceDN/>
                    <w:bidi w:val="0"/>
                    <w:adjustRightInd/>
                    <w:snapToGrid/>
                    <w:ind w:left="0" w:leftChars="0" w:right="0" w:rightChars="0"/>
                    <w:jc w:val="center"/>
                    <w:rPr>
                      <w:rFonts w:hint="eastAsia" w:eastAsia="宋体"/>
                      <w:b w:val="0"/>
                      <w:bCs/>
                      <w:color w:val="auto"/>
                      <w:sz w:val="21"/>
                      <w:szCs w:val="21"/>
                      <w:lang w:eastAsia="zh-CN"/>
                    </w:rPr>
                  </w:pPr>
                  <w:r>
                    <w:rPr>
                      <w:rFonts w:hint="eastAsia"/>
                      <w:b/>
                      <w:bCs w:val="0"/>
                      <w:color w:val="auto"/>
                      <w:sz w:val="21"/>
                      <w:szCs w:val="21"/>
                      <w:lang w:eastAsia="zh-CN"/>
                    </w:rPr>
                    <w:t>登记</w:t>
                  </w:r>
                </w:p>
              </w:tc>
            </w:tr>
          </w:tbl>
          <w:p w14:paraId="571167C0">
            <w:pPr>
              <w:pageBreakBefore w:val="0"/>
              <w:kinsoku/>
              <w:wordWrap/>
              <w:overflowPunct/>
              <w:topLinePunct w:val="0"/>
              <w:autoSpaceDE/>
              <w:autoSpaceDN/>
              <w:bidi w:val="0"/>
              <w:adjustRightInd/>
              <w:snapToGrid/>
              <w:spacing w:line="360" w:lineRule="auto"/>
              <w:ind w:left="0" w:leftChars="0" w:right="0" w:rightChars="0" w:firstLine="482" w:firstLineChars="200"/>
              <w:rPr>
                <w:b/>
                <w:color w:val="auto"/>
                <w:sz w:val="24"/>
                <w:szCs w:val="32"/>
              </w:rPr>
            </w:pPr>
            <w:r>
              <w:rPr>
                <w:rFonts w:hint="eastAsia"/>
                <w:b/>
                <w:color w:val="auto"/>
                <w:sz w:val="24"/>
                <w:szCs w:val="32"/>
              </w:rPr>
              <w:t>2</w:t>
            </w:r>
            <w:r>
              <w:rPr>
                <w:b/>
                <w:color w:val="auto"/>
                <w:sz w:val="24"/>
                <w:szCs w:val="32"/>
              </w:rPr>
              <w:t>、项目名称、地点、建设单位</w:t>
            </w:r>
          </w:p>
          <w:p w14:paraId="05D34BCB">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sz w:val="24"/>
                <w:szCs w:val="32"/>
              </w:rPr>
            </w:pPr>
            <w:r>
              <w:rPr>
                <w:color w:val="auto"/>
                <w:sz w:val="24"/>
                <w:szCs w:val="32"/>
              </w:rPr>
              <w:t>建设单位：</w:t>
            </w:r>
            <w:r>
              <w:rPr>
                <w:rFonts w:hint="eastAsia"/>
                <w:color w:val="auto"/>
                <w:sz w:val="24"/>
                <w:szCs w:val="32"/>
                <w:lang w:eastAsia="zh-CN"/>
              </w:rPr>
              <w:t>金寨恒仁竹木科技有限公司</w:t>
            </w:r>
            <w:r>
              <w:rPr>
                <w:color w:val="auto"/>
                <w:sz w:val="24"/>
                <w:szCs w:val="32"/>
              </w:rPr>
              <w:t>；</w:t>
            </w:r>
          </w:p>
          <w:p w14:paraId="666F49F5">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sz w:val="24"/>
                <w:szCs w:val="32"/>
              </w:rPr>
            </w:pPr>
            <w:r>
              <w:rPr>
                <w:color w:val="auto"/>
                <w:sz w:val="24"/>
                <w:szCs w:val="32"/>
              </w:rPr>
              <w:t>项目名称：</w:t>
            </w:r>
            <w:r>
              <w:rPr>
                <w:rFonts w:hint="eastAsia"/>
                <w:color w:val="auto"/>
                <w:sz w:val="24"/>
                <w:lang w:eastAsia="zh-CN"/>
              </w:rPr>
              <w:t>年加工2万吨毛竹高效资源利用项目</w:t>
            </w:r>
            <w:r>
              <w:rPr>
                <w:color w:val="auto"/>
                <w:sz w:val="24"/>
                <w:szCs w:val="32"/>
              </w:rPr>
              <w:t>；</w:t>
            </w:r>
          </w:p>
          <w:p w14:paraId="02C6F691">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sz w:val="24"/>
                <w:szCs w:val="32"/>
              </w:rPr>
            </w:pPr>
            <w:r>
              <w:rPr>
                <w:color w:val="auto"/>
                <w:sz w:val="24"/>
                <w:szCs w:val="32"/>
              </w:rPr>
              <w:t>建设地点：</w:t>
            </w:r>
            <w:r>
              <w:rPr>
                <w:rFonts w:hint="eastAsia"/>
                <w:color w:val="auto"/>
                <w:sz w:val="24"/>
                <w:szCs w:val="32"/>
                <w:lang w:eastAsia="zh-CN"/>
              </w:rPr>
              <w:t>金寨县青山镇毛竹工业园</w:t>
            </w:r>
            <w:r>
              <w:rPr>
                <w:color w:val="auto"/>
                <w:sz w:val="24"/>
                <w:szCs w:val="32"/>
              </w:rPr>
              <w:t>；</w:t>
            </w:r>
          </w:p>
          <w:p w14:paraId="598FC4CD">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sz w:val="24"/>
                <w:szCs w:val="32"/>
              </w:rPr>
            </w:pPr>
            <w:r>
              <w:rPr>
                <w:color w:val="auto"/>
                <w:sz w:val="24"/>
                <w:szCs w:val="32"/>
              </w:rPr>
              <w:t>建设规模：</w:t>
            </w:r>
            <w:r>
              <w:rPr>
                <w:rFonts w:hint="eastAsia"/>
                <w:bCs/>
                <w:color w:val="auto"/>
                <w:sz w:val="24"/>
              </w:rPr>
              <w:t>总</w:t>
            </w:r>
            <w:r>
              <w:rPr>
                <w:rFonts w:hint="eastAsia"/>
                <w:bCs/>
                <w:color w:val="auto"/>
                <w:sz w:val="24"/>
                <w:lang w:val="en-US" w:eastAsia="zh-CN"/>
              </w:rPr>
              <w:t>占地</w:t>
            </w:r>
            <w:r>
              <w:rPr>
                <w:rFonts w:hint="eastAsia"/>
                <w:bCs/>
                <w:color w:val="auto"/>
                <w:sz w:val="24"/>
              </w:rPr>
              <w:t>面积</w:t>
            </w:r>
            <w:r>
              <w:rPr>
                <w:rFonts w:hint="eastAsia"/>
                <w:bCs/>
                <w:color w:val="auto"/>
                <w:sz w:val="24"/>
                <w:lang w:val="en-US" w:eastAsia="zh-CN"/>
              </w:rPr>
              <w:t>约13334m</w:t>
            </w:r>
            <w:r>
              <w:rPr>
                <w:rFonts w:hint="eastAsia"/>
                <w:bCs/>
                <w:color w:val="auto"/>
                <w:sz w:val="24"/>
                <w:vertAlign w:val="superscript"/>
                <w:lang w:val="en-US" w:eastAsia="zh-CN"/>
              </w:rPr>
              <w:t>2</w:t>
            </w:r>
            <w:r>
              <w:rPr>
                <w:rFonts w:hint="eastAsia"/>
                <w:bCs/>
                <w:color w:val="auto"/>
                <w:sz w:val="24"/>
                <w:lang w:eastAsia="zh-CN"/>
              </w:rPr>
              <w:t>（</w:t>
            </w:r>
            <w:r>
              <w:rPr>
                <w:rFonts w:hint="eastAsia"/>
                <w:bCs/>
                <w:color w:val="auto"/>
                <w:sz w:val="24"/>
                <w:lang w:val="en-US" w:eastAsia="zh-CN"/>
              </w:rPr>
              <w:t>20亩），建筑面积8000m</w:t>
            </w:r>
            <w:r>
              <w:rPr>
                <w:rFonts w:hint="eastAsia"/>
                <w:bCs/>
                <w:color w:val="auto"/>
                <w:sz w:val="24"/>
                <w:vertAlign w:val="superscript"/>
                <w:lang w:val="en-US" w:eastAsia="zh-CN"/>
              </w:rPr>
              <w:t>2</w:t>
            </w:r>
            <w:r>
              <w:rPr>
                <w:rFonts w:hint="eastAsia"/>
                <w:bCs/>
                <w:color w:val="auto"/>
                <w:sz w:val="24"/>
                <w:lang w:val="en-US" w:eastAsia="zh-CN"/>
              </w:rPr>
              <w:t>，建设集毛竹初加工，原竹片、竹条、竹帘、竹青丝多条生产线，配套竹材料处理、烘干设施，建成后年加工2万吨毛竹原料生产能力。</w:t>
            </w:r>
          </w:p>
          <w:p w14:paraId="31DC2D10">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sz w:val="24"/>
                <w:szCs w:val="32"/>
              </w:rPr>
            </w:pPr>
            <w:r>
              <w:rPr>
                <w:color w:val="auto"/>
                <w:sz w:val="24"/>
                <w:szCs w:val="32"/>
              </w:rPr>
              <w:t>建设性质：</w:t>
            </w:r>
            <w:r>
              <w:rPr>
                <w:rFonts w:hint="eastAsia"/>
                <w:color w:val="auto"/>
                <w:sz w:val="24"/>
                <w:szCs w:val="32"/>
                <w:lang w:val="en-US" w:eastAsia="zh-CN"/>
              </w:rPr>
              <w:t>新</w:t>
            </w:r>
            <w:r>
              <w:rPr>
                <w:color w:val="auto"/>
                <w:sz w:val="24"/>
                <w:szCs w:val="32"/>
              </w:rPr>
              <w:t>建；</w:t>
            </w:r>
          </w:p>
          <w:p w14:paraId="30823008">
            <w:pPr>
              <w:pageBreakBefore w:val="0"/>
              <w:kinsoku/>
              <w:wordWrap/>
              <w:overflowPunct/>
              <w:topLinePunct w:val="0"/>
              <w:autoSpaceDE/>
              <w:autoSpaceDN/>
              <w:bidi w:val="0"/>
              <w:adjustRightInd/>
              <w:snapToGrid/>
              <w:spacing w:line="360" w:lineRule="auto"/>
              <w:ind w:left="0" w:leftChars="0" w:right="0" w:rightChars="0" w:firstLine="480" w:firstLineChars="200"/>
              <w:rPr>
                <w:b/>
                <w:color w:val="auto"/>
                <w:sz w:val="24"/>
                <w:szCs w:val="21"/>
              </w:rPr>
            </w:pPr>
            <w:r>
              <w:rPr>
                <w:color w:val="auto"/>
                <w:sz w:val="24"/>
                <w:szCs w:val="32"/>
              </w:rPr>
              <w:t>总投资：</w:t>
            </w:r>
            <w:r>
              <w:rPr>
                <w:rFonts w:hint="eastAsia"/>
                <w:color w:val="auto"/>
                <w:sz w:val="24"/>
                <w:szCs w:val="32"/>
                <w:lang w:val="en-US" w:eastAsia="zh-CN"/>
              </w:rPr>
              <w:t>600</w:t>
            </w:r>
            <w:r>
              <w:rPr>
                <w:color w:val="auto"/>
                <w:sz w:val="24"/>
                <w:szCs w:val="32"/>
              </w:rPr>
              <w:t>万元，其中环保投资</w:t>
            </w:r>
            <w:r>
              <w:rPr>
                <w:rFonts w:hint="eastAsia"/>
                <w:color w:val="auto"/>
                <w:sz w:val="24"/>
                <w:szCs w:val="32"/>
                <w:lang w:val="en-US" w:eastAsia="zh-CN"/>
              </w:rPr>
              <w:t>42</w:t>
            </w:r>
            <w:r>
              <w:rPr>
                <w:color w:val="auto"/>
                <w:sz w:val="24"/>
                <w:szCs w:val="32"/>
              </w:rPr>
              <w:t>万元；</w:t>
            </w:r>
          </w:p>
          <w:p w14:paraId="28A2A786">
            <w:pPr>
              <w:pageBreakBefore w:val="0"/>
              <w:tabs>
                <w:tab w:val="left" w:pos="3255"/>
              </w:tabs>
              <w:kinsoku/>
              <w:wordWrap/>
              <w:overflowPunct/>
              <w:topLinePunct w:val="0"/>
              <w:autoSpaceDE/>
              <w:autoSpaceDN/>
              <w:bidi w:val="0"/>
              <w:adjustRightInd/>
              <w:snapToGrid/>
              <w:spacing w:line="240" w:lineRule="auto"/>
              <w:ind w:left="0" w:leftChars="0" w:right="0" w:rightChars="0"/>
              <w:jc w:val="center"/>
              <w:rPr>
                <w:b/>
                <w:color w:val="auto"/>
                <w:szCs w:val="18"/>
              </w:rPr>
            </w:pPr>
            <w:r>
              <w:rPr>
                <w:b/>
                <w:color w:val="auto"/>
                <w:sz w:val="24"/>
                <w:szCs w:val="21"/>
              </w:rPr>
              <w:t>表2-</w:t>
            </w:r>
            <w:r>
              <w:rPr>
                <w:rFonts w:hint="eastAsia"/>
                <w:b/>
                <w:color w:val="auto"/>
                <w:sz w:val="24"/>
                <w:szCs w:val="21"/>
              </w:rPr>
              <w:t>3</w:t>
            </w:r>
            <w:r>
              <w:rPr>
                <w:b/>
                <w:color w:val="auto"/>
                <w:sz w:val="24"/>
                <w:szCs w:val="21"/>
              </w:rPr>
              <w:t xml:space="preserve">  建设项目组成一览表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385"/>
              <w:gridCol w:w="1163"/>
              <w:gridCol w:w="4844"/>
            </w:tblGrid>
            <w:tr w14:paraId="6E87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27" w:type="pct"/>
                  <w:vAlign w:val="center"/>
                </w:tcPr>
                <w:p w14:paraId="779CD428">
                  <w:pPr>
                    <w:pageBreakBefore w:val="0"/>
                    <w:kinsoku/>
                    <w:wordWrap/>
                    <w:overflowPunct/>
                    <w:topLinePunct w:val="0"/>
                    <w:autoSpaceDE/>
                    <w:autoSpaceDN/>
                    <w:bidi w:val="0"/>
                    <w:adjustRightInd/>
                    <w:snapToGrid/>
                    <w:ind w:left="0" w:leftChars="0" w:right="0" w:rightChars="0"/>
                    <w:jc w:val="center"/>
                    <w:rPr>
                      <w:b/>
                      <w:color w:val="auto"/>
                      <w:sz w:val="21"/>
                      <w:szCs w:val="21"/>
                    </w:rPr>
                  </w:pPr>
                  <w:bookmarkStart w:id="2" w:name="OLE_LINK103"/>
                  <w:bookmarkStart w:id="3" w:name="OLE_LINK104"/>
                  <w:bookmarkStart w:id="4" w:name="OLE_LINK105"/>
                  <w:r>
                    <w:rPr>
                      <w:b/>
                      <w:color w:val="auto"/>
                      <w:sz w:val="21"/>
                      <w:szCs w:val="21"/>
                    </w:rPr>
                    <w:t>类别</w:t>
                  </w:r>
                </w:p>
              </w:tc>
              <w:tc>
                <w:tcPr>
                  <w:tcW w:w="819" w:type="pct"/>
                  <w:vAlign w:val="center"/>
                </w:tcPr>
                <w:p w14:paraId="2AB71243">
                  <w:pPr>
                    <w:pageBreakBefore w:val="0"/>
                    <w:kinsoku/>
                    <w:wordWrap/>
                    <w:overflowPunct/>
                    <w:topLinePunct w:val="0"/>
                    <w:autoSpaceDE/>
                    <w:autoSpaceDN/>
                    <w:bidi w:val="0"/>
                    <w:adjustRightInd/>
                    <w:snapToGrid/>
                    <w:ind w:left="0" w:leftChars="0" w:right="0" w:rightChars="0"/>
                    <w:jc w:val="center"/>
                    <w:rPr>
                      <w:b/>
                      <w:color w:val="auto"/>
                      <w:sz w:val="21"/>
                      <w:szCs w:val="21"/>
                    </w:rPr>
                  </w:pPr>
                  <w:r>
                    <w:rPr>
                      <w:b/>
                      <w:color w:val="auto"/>
                      <w:sz w:val="21"/>
                      <w:szCs w:val="21"/>
                    </w:rPr>
                    <w:t>建设名称</w:t>
                  </w:r>
                </w:p>
              </w:tc>
              <w:tc>
                <w:tcPr>
                  <w:tcW w:w="3553" w:type="pct"/>
                  <w:gridSpan w:val="2"/>
                  <w:vAlign w:val="center"/>
                </w:tcPr>
                <w:p w14:paraId="4F840702">
                  <w:pPr>
                    <w:pageBreakBefore w:val="0"/>
                    <w:kinsoku/>
                    <w:wordWrap/>
                    <w:overflowPunct/>
                    <w:topLinePunct w:val="0"/>
                    <w:autoSpaceDE/>
                    <w:autoSpaceDN/>
                    <w:bidi w:val="0"/>
                    <w:adjustRightInd/>
                    <w:snapToGrid/>
                    <w:ind w:left="0" w:leftChars="0" w:right="0" w:rightChars="0"/>
                    <w:jc w:val="center"/>
                    <w:rPr>
                      <w:b/>
                      <w:color w:val="auto"/>
                      <w:sz w:val="21"/>
                      <w:szCs w:val="21"/>
                    </w:rPr>
                  </w:pPr>
                  <w:r>
                    <w:rPr>
                      <w:rFonts w:hint="eastAsia"/>
                      <w:b/>
                      <w:color w:val="auto"/>
                      <w:sz w:val="21"/>
                      <w:szCs w:val="21"/>
                    </w:rPr>
                    <w:t>项目</w:t>
                  </w:r>
                  <w:r>
                    <w:rPr>
                      <w:b/>
                      <w:color w:val="auto"/>
                      <w:sz w:val="21"/>
                      <w:szCs w:val="21"/>
                    </w:rPr>
                    <w:t>工程内容及规模</w:t>
                  </w:r>
                </w:p>
              </w:tc>
            </w:tr>
            <w:tr w14:paraId="102E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27" w:type="pct"/>
                  <w:vMerge w:val="restart"/>
                  <w:vAlign w:val="center"/>
                </w:tcPr>
                <w:p w14:paraId="48F036DE">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主体工程</w:t>
                  </w:r>
                </w:p>
              </w:tc>
              <w:tc>
                <w:tcPr>
                  <w:tcW w:w="819" w:type="pct"/>
                  <w:vAlign w:val="center"/>
                </w:tcPr>
                <w:p w14:paraId="05D274FE">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lang w:val="en-US" w:eastAsia="zh-CN"/>
                    </w:rPr>
                    <w:t>竹制品生产车间</w:t>
                  </w:r>
                </w:p>
              </w:tc>
              <w:tc>
                <w:tcPr>
                  <w:tcW w:w="3553" w:type="pct"/>
                  <w:gridSpan w:val="2"/>
                  <w:vAlign w:val="center"/>
                </w:tcPr>
                <w:p w14:paraId="63EA3E67">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lang w:eastAsia="zh-CN"/>
                    </w:rPr>
                    <w:t>框架结构，高</w:t>
                  </w:r>
                  <w:r>
                    <w:rPr>
                      <w:rFonts w:hint="eastAsia"/>
                      <w:color w:val="auto"/>
                      <w:sz w:val="21"/>
                      <w:szCs w:val="21"/>
                      <w:lang w:val="en-US" w:eastAsia="zh-CN"/>
                    </w:rPr>
                    <w:t>8m，</w:t>
                  </w:r>
                  <w:r>
                    <w:rPr>
                      <w:rFonts w:hint="eastAsia"/>
                      <w:color w:val="auto"/>
                      <w:sz w:val="21"/>
                      <w:szCs w:val="21"/>
                    </w:rPr>
                    <w:t>单层生产车间，</w:t>
                  </w:r>
                  <w:r>
                    <w:rPr>
                      <w:rFonts w:hint="eastAsia"/>
                      <w:color w:val="auto"/>
                      <w:sz w:val="21"/>
                      <w:szCs w:val="21"/>
                      <w:lang w:val="en-US" w:eastAsia="zh-CN"/>
                    </w:rPr>
                    <w:t>位于厂区南侧，</w:t>
                  </w:r>
                  <w:r>
                    <w:rPr>
                      <w:rFonts w:hint="eastAsia"/>
                      <w:color w:val="auto"/>
                      <w:sz w:val="21"/>
                      <w:szCs w:val="21"/>
                    </w:rPr>
                    <w:t>建筑面积</w:t>
                  </w:r>
                  <w:r>
                    <w:rPr>
                      <w:rFonts w:hint="eastAsia"/>
                      <w:color w:val="auto"/>
                      <w:sz w:val="21"/>
                      <w:szCs w:val="21"/>
                      <w:lang w:val="en-US" w:eastAsia="zh-CN"/>
                    </w:rPr>
                    <w:t>约4000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color w:val="auto"/>
                      <w:sz w:val="21"/>
                      <w:szCs w:val="21"/>
                      <w:lang w:val="en-US" w:eastAsia="zh-CN"/>
                    </w:rPr>
                    <w:t>设置半成品区和加工区，年加工2万吨毛竹原料</w:t>
                  </w:r>
                  <w:r>
                    <w:rPr>
                      <w:rFonts w:hint="eastAsia"/>
                      <w:color w:val="auto"/>
                      <w:sz w:val="21"/>
                      <w:szCs w:val="21"/>
                    </w:rPr>
                    <w:t>。</w:t>
                  </w:r>
                </w:p>
              </w:tc>
            </w:tr>
            <w:tr w14:paraId="1AB0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27" w:type="pct"/>
                  <w:vMerge w:val="continue"/>
                  <w:vAlign w:val="center"/>
                </w:tcPr>
                <w:p w14:paraId="1631ACF8">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Align w:val="center"/>
                </w:tcPr>
                <w:p w14:paraId="65E0134C">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烘干区</w:t>
                  </w:r>
                </w:p>
              </w:tc>
              <w:tc>
                <w:tcPr>
                  <w:tcW w:w="3553" w:type="pct"/>
                  <w:gridSpan w:val="2"/>
                  <w:vAlign w:val="center"/>
                </w:tcPr>
                <w:p w14:paraId="1D722E74">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位于厂区东侧，</w:t>
                  </w:r>
                  <w:r>
                    <w:rPr>
                      <w:rFonts w:hint="eastAsia"/>
                      <w:color w:val="auto"/>
                      <w:sz w:val="21"/>
                      <w:szCs w:val="21"/>
                    </w:rPr>
                    <w:t>建筑面积</w:t>
                  </w:r>
                  <w:r>
                    <w:rPr>
                      <w:rFonts w:hint="eastAsia"/>
                      <w:color w:val="auto"/>
                      <w:sz w:val="21"/>
                      <w:szCs w:val="21"/>
                      <w:lang w:val="en-US" w:eastAsia="zh-CN"/>
                    </w:rPr>
                    <w:t>约600</w:t>
                  </w:r>
                  <w:r>
                    <w:rPr>
                      <w:rFonts w:hint="eastAsia"/>
                      <w:color w:val="auto"/>
                      <w:sz w:val="21"/>
                      <w:szCs w:val="21"/>
                    </w:rPr>
                    <w:t>m</w:t>
                  </w:r>
                  <w:r>
                    <w:rPr>
                      <w:rFonts w:hint="eastAsia"/>
                      <w:color w:val="auto"/>
                      <w:sz w:val="21"/>
                      <w:szCs w:val="21"/>
                      <w:vertAlign w:val="superscript"/>
                    </w:rPr>
                    <w:t>2</w:t>
                  </w:r>
                  <w:r>
                    <w:rPr>
                      <w:rFonts w:hint="eastAsia"/>
                      <w:color w:val="auto"/>
                      <w:sz w:val="21"/>
                      <w:szCs w:val="21"/>
                    </w:rPr>
                    <w:t>，</w:t>
                  </w:r>
                  <w:r>
                    <w:rPr>
                      <w:rFonts w:hint="eastAsia"/>
                      <w:color w:val="auto"/>
                      <w:sz w:val="21"/>
                      <w:szCs w:val="21"/>
                      <w:lang w:val="en-US" w:eastAsia="zh-CN"/>
                    </w:rPr>
                    <w:t>设置30m</w:t>
                  </w:r>
                  <w:r>
                    <w:rPr>
                      <w:rFonts w:hint="eastAsia"/>
                      <w:color w:val="auto"/>
                      <w:sz w:val="21"/>
                      <w:szCs w:val="21"/>
                      <w:vertAlign w:val="superscript"/>
                      <w:lang w:val="en-US" w:eastAsia="zh-CN"/>
                    </w:rPr>
                    <w:t>2</w:t>
                  </w:r>
                  <w:r>
                    <w:rPr>
                      <w:rFonts w:hint="eastAsia"/>
                      <w:color w:val="auto"/>
                      <w:sz w:val="21"/>
                      <w:szCs w:val="21"/>
                      <w:lang w:val="en-US" w:eastAsia="zh-CN"/>
                    </w:rPr>
                    <w:t>锅炉区、8个15</w:t>
                  </w:r>
                  <w:r>
                    <w:rPr>
                      <w:rFonts w:hint="eastAsia"/>
                      <w:color w:val="auto"/>
                      <w:sz w:val="21"/>
                      <w:szCs w:val="21"/>
                    </w:rPr>
                    <w:t>m</w:t>
                  </w:r>
                  <w:r>
                    <w:rPr>
                      <w:rFonts w:hint="eastAsia"/>
                      <w:color w:val="auto"/>
                      <w:sz w:val="21"/>
                      <w:szCs w:val="21"/>
                      <w:vertAlign w:val="superscript"/>
                    </w:rPr>
                    <w:t>2</w:t>
                  </w:r>
                  <w:r>
                    <w:rPr>
                      <w:rFonts w:hint="eastAsia"/>
                      <w:color w:val="auto"/>
                      <w:sz w:val="21"/>
                      <w:szCs w:val="21"/>
                      <w:lang w:val="en-US" w:eastAsia="zh-CN"/>
                    </w:rPr>
                    <w:t>烘干房和软化区</w:t>
                  </w:r>
                  <w:r>
                    <w:rPr>
                      <w:rFonts w:hint="eastAsia"/>
                      <w:color w:val="auto"/>
                      <w:sz w:val="21"/>
                      <w:szCs w:val="21"/>
                    </w:rPr>
                    <w:t>。</w:t>
                  </w:r>
                </w:p>
              </w:tc>
            </w:tr>
            <w:tr w14:paraId="4145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27" w:type="pct"/>
                  <w:vMerge w:val="restart"/>
                  <w:vAlign w:val="center"/>
                </w:tcPr>
                <w:p w14:paraId="16B9C516">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储运工程</w:t>
                  </w:r>
                </w:p>
              </w:tc>
              <w:tc>
                <w:tcPr>
                  <w:tcW w:w="819" w:type="pct"/>
                  <w:vAlign w:val="center"/>
                </w:tcPr>
                <w:p w14:paraId="2FDEA06A">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lang w:val="en-US" w:eastAsia="zh-CN"/>
                    </w:rPr>
                    <w:t>原料区</w:t>
                  </w:r>
                </w:p>
              </w:tc>
              <w:tc>
                <w:tcPr>
                  <w:tcW w:w="3553" w:type="pct"/>
                  <w:gridSpan w:val="2"/>
                  <w:vAlign w:val="center"/>
                </w:tcPr>
                <w:p w14:paraId="3C643AC2">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位于厂区西侧，占地面积约1000m</w:t>
                  </w:r>
                  <w:r>
                    <w:rPr>
                      <w:rFonts w:hint="eastAsia"/>
                      <w:color w:val="auto"/>
                      <w:sz w:val="21"/>
                      <w:szCs w:val="21"/>
                      <w:vertAlign w:val="superscript"/>
                      <w:lang w:val="en-US" w:eastAsia="zh-CN"/>
                    </w:rPr>
                    <w:t>2</w:t>
                  </w:r>
                  <w:r>
                    <w:rPr>
                      <w:rFonts w:hint="eastAsia"/>
                      <w:color w:val="auto"/>
                      <w:sz w:val="21"/>
                      <w:szCs w:val="21"/>
                    </w:rPr>
                    <w:t>，主要用于储存</w:t>
                  </w:r>
                  <w:r>
                    <w:rPr>
                      <w:rFonts w:hint="eastAsia"/>
                      <w:color w:val="auto"/>
                      <w:sz w:val="21"/>
                      <w:szCs w:val="21"/>
                      <w:lang w:eastAsia="zh-CN"/>
                    </w:rPr>
                    <w:t>毛竹</w:t>
                  </w:r>
                  <w:r>
                    <w:rPr>
                      <w:rFonts w:hint="eastAsia"/>
                      <w:color w:val="auto"/>
                      <w:sz w:val="21"/>
                      <w:szCs w:val="21"/>
                    </w:rPr>
                    <w:t>原料</w:t>
                  </w:r>
                </w:p>
              </w:tc>
            </w:tr>
            <w:tr w14:paraId="6837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27" w:type="pct"/>
                  <w:vMerge w:val="continue"/>
                  <w:vAlign w:val="center"/>
                </w:tcPr>
                <w:p w14:paraId="22789129">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1385" w:type="dxa"/>
                  <w:vAlign w:val="center"/>
                </w:tcPr>
                <w:p w14:paraId="6A2B46C0">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成品区</w:t>
                  </w:r>
                </w:p>
              </w:tc>
              <w:tc>
                <w:tcPr>
                  <w:tcW w:w="6007" w:type="dxa"/>
                  <w:gridSpan w:val="2"/>
                  <w:vAlign w:val="center"/>
                </w:tcPr>
                <w:p w14:paraId="5D02D080">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竹制品生产车间西侧，建筑面积约200m</w:t>
                  </w:r>
                  <w:r>
                    <w:rPr>
                      <w:rFonts w:hint="eastAsia"/>
                      <w:color w:val="auto"/>
                      <w:sz w:val="21"/>
                      <w:szCs w:val="21"/>
                      <w:vertAlign w:val="superscript"/>
                      <w:lang w:val="en-US" w:eastAsia="zh-CN"/>
                    </w:rPr>
                    <w:t>2</w:t>
                  </w:r>
                  <w:r>
                    <w:rPr>
                      <w:rFonts w:hint="eastAsia"/>
                      <w:color w:val="auto"/>
                      <w:sz w:val="21"/>
                      <w:szCs w:val="21"/>
                      <w:lang w:eastAsia="zh-CN"/>
                    </w:rPr>
                    <w:t>；</w:t>
                  </w:r>
                  <w:r>
                    <w:rPr>
                      <w:rFonts w:hint="eastAsia"/>
                      <w:color w:val="auto"/>
                      <w:sz w:val="21"/>
                      <w:szCs w:val="21"/>
                      <w:lang w:val="en-US" w:eastAsia="zh-CN"/>
                    </w:rPr>
                    <w:t>烘干区北侧，建筑面积约100m</w:t>
                  </w:r>
                  <w:r>
                    <w:rPr>
                      <w:rFonts w:hint="eastAsia"/>
                      <w:color w:val="auto"/>
                      <w:sz w:val="21"/>
                      <w:szCs w:val="21"/>
                      <w:vertAlign w:val="superscript"/>
                      <w:lang w:val="en-US" w:eastAsia="zh-CN"/>
                    </w:rPr>
                    <w:t>2</w:t>
                  </w:r>
                  <w:r>
                    <w:rPr>
                      <w:rFonts w:hint="eastAsia"/>
                      <w:color w:val="auto"/>
                      <w:sz w:val="21"/>
                      <w:szCs w:val="21"/>
                    </w:rPr>
                    <w:t>，主要用于储存</w:t>
                  </w:r>
                  <w:r>
                    <w:rPr>
                      <w:rFonts w:hint="eastAsia"/>
                      <w:color w:val="auto"/>
                      <w:sz w:val="21"/>
                      <w:szCs w:val="21"/>
                      <w:lang w:val="en-US" w:eastAsia="zh-CN"/>
                    </w:rPr>
                    <w:t>成品</w:t>
                  </w:r>
                </w:p>
              </w:tc>
            </w:tr>
            <w:tr w14:paraId="1DAB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27" w:type="pct"/>
                  <w:vMerge w:val="continue"/>
                  <w:vAlign w:val="center"/>
                </w:tcPr>
                <w:p w14:paraId="23F6A55C">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Align w:val="center"/>
                </w:tcPr>
                <w:p w14:paraId="648CEE93">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化学品库</w:t>
                  </w:r>
                </w:p>
              </w:tc>
              <w:tc>
                <w:tcPr>
                  <w:tcW w:w="3553" w:type="pct"/>
                  <w:gridSpan w:val="2"/>
                  <w:vAlign w:val="center"/>
                </w:tcPr>
                <w:p w14:paraId="3197E448">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rPr>
                    <w:t>位于</w:t>
                  </w:r>
                  <w:r>
                    <w:rPr>
                      <w:rFonts w:hint="eastAsia"/>
                      <w:color w:val="auto"/>
                      <w:sz w:val="21"/>
                      <w:szCs w:val="21"/>
                      <w:lang w:val="en-US" w:eastAsia="zh-CN"/>
                    </w:rPr>
                    <w:t>厂区东北角</w:t>
                  </w:r>
                  <w:r>
                    <w:rPr>
                      <w:rFonts w:hint="eastAsia"/>
                      <w:color w:val="auto"/>
                      <w:sz w:val="21"/>
                      <w:szCs w:val="21"/>
                    </w:rPr>
                    <w:t>，建筑面积</w:t>
                  </w:r>
                  <w:r>
                    <w:rPr>
                      <w:rFonts w:hint="eastAsia"/>
                      <w:color w:val="auto"/>
                      <w:sz w:val="21"/>
                      <w:szCs w:val="21"/>
                      <w:lang w:val="en-US" w:eastAsia="zh-CN"/>
                    </w:rPr>
                    <w:t>8</w:t>
                  </w:r>
                  <w:r>
                    <w:rPr>
                      <w:rFonts w:hint="eastAsia"/>
                      <w:color w:val="auto"/>
                      <w:sz w:val="21"/>
                      <w:szCs w:val="21"/>
                    </w:rPr>
                    <w:t>m</w:t>
                  </w:r>
                  <w:r>
                    <w:rPr>
                      <w:rFonts w:hint="eastAsia"/>
                      <w:color w:val="auto"/>
                      <w:sz w:val="21"/>
                      <w:szCs w:val="21"/>
                      <w:vertAlign w:val="superscript"/>
                    </w:rPr>
                    <w:t>2</w:t>
                  </w:r>
                  <w:r>
                    <w:rPr>
                      <w:rFonts w:hint="eastAsia"/>
                      <w:color w:val="auto"/>
                      <w:sz w:val="21"/>
                      <w:szCs w:val="21"/>
                    </w:rPr>
                    <w:t>，主要</w:t>
                  </w:r>
                  <w:r>
                    <w:rPr>
                      <w:rFonts w:hint="eastAsia"/>
                      <w:color w:val="auto"/>
                      <w:sz w:val="21"/>
                      <w:szCs w:val="21"/>
                      <w:lang w:eastAsia="zh-CN"/>
                    </w:rPr>
                    <w:t>用于存放片碱和润滑油</w:t>
                  </w:r>
                </w:p>
              </w:tc>
            </w:tr>
            <w:tr w14:paraId="289E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7" w:type="pct"/>
                  <w:vAlign w:val="center"/>
                </w:tcPr>
                <w:p w14:paraId="707FC0EE">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辅助工程</w:t>
                  </w:r>
                </w:p>
              </w:tc>
              <w:tc>
                <w:tcPr>
                  <w:tcW w:w="819" w:type="pct"/>
                  <w:vAlign w:val="center"/>
                </w:tcPr>
                <w:p w14:paraId="6F1476FC">
                  <w:pPr>
                    <w:pStyle w:val="13"/>
                    <w:pageBreakBefore w:val="0"/>
                    <w:kinsoku/>
                    <w:wordWrap/>
                    <w:overflowPunct/>
                    <w:topLinePunct w:val="0"/>
                    <w:autoSpaceDE/>
                    <w:autoSpaceDN/>
                    <w:bidi w:val="0"/>
                    <w:adjustRightInd/>
                    <w:snapToGrid/>
                    <w:spacing w:before="0" w:after="0" w:line="240" w:lineRule="auto"/>
                    <w:ind w:left="0" w:leftChars="0" w:right="0" w:rightChars="0"/>
                    <w:jc w:val="center"/>
                    <w:rPr>
                      <w:rFonts w:hint="eastAsia" w:eastAsia="宋体"/>
                      <w:color w:val="auto"/>
                      <w:kern w:val="2"/>
                      <w:sz w:val="21"/>
                      <w:szCs w:val="21"/>
                      <w:lang w:val="en-US" w:eastAsia="zh-CN"/>
                    </w:rPr>
                  </w:pPr>
                  <w:r>
                    <w:rPr>
                      <w:rFonts w:hint="eastAsia"/>
                      <w:color w:val="auto"/>
                      <w:kern w:val="2"/>
                      <w:sz w:val="21"/>
                      <w:szCs w:val="21"/>
                      <w:lang w:val="en-US" w:eastAsia="zh-CN"/>
                    </w:rPr>
                    <w:t>办公区</w:t>
                  </w:r>
                </w:p>
              </w:tc>
              <w:tc>
                <w:tcPr>
                  <w:tcW w:w="3553" w:type="pct"/>
                  <w:gridSpan w:val="2"/>
                  <w:vAlign w:val="center"/>
                </w:tcPr>
                <w:p w14:paraId="3C7F08C8">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rPr>
                    <w:t>位于</w:t>
                  </w:r>
                  <w:r>
                    <w:rPr>
                      <w:rFonts w:hint="eastAsia"/>
                      <w:color w:val="auto"/>
                      <w:sz w:val="21"/>
                      <w:szCs w:val="21"/>
                      <w:lang w:val="en-US" w:eastAsia="zh-CN"/>
                    </w:rPr>
                    <w:t>厂区北侧</w:t>
                  </w:r>
                  <w:r>
                    <w:rPr>
                      <w:rFonts w:hint="eastAsia"/>
                      <w:color w:val="auto"/>
                      <w:sz w:val="21"/>
                      <w:szCs w:val="21"/>
                    </w:rPr>
                    <w:t>，建筑面积</w:t>
                  </w:r>
                  <w:r>
                    <w:rPr>
                      <w:rFonts w:hint="eastAsia"/>
                      <w:color w:val="auto"/>
                      <w:sz w:val="21"/>
                      <w:szCs w:val="21"/>
                      <w:lang w:val="en-US" w:eastAsia="zh-CN"/>
                    </w:rPr>
                    <w:t>250</w:t>
                  </w:r>
                  <w:r>
                    <w:rPr>
                      <w:rFonts w:hint="eastAsia"/>
                      <w:color w:val="auto"/>
                      <w:sz w:val="21"/>
                      <w:szCs w:val="21"/>
                    </w:rPr>
                    <w:t>m</w:t>
                  </w:r>
                  <w:r>
                    <w:rPr>
                      <w:rFonts w:hint="eastAsia"/>
                      <w:color w:val="auto"/>
                      <w:sz w:val="21"/>
                      <w:szCs w:val="21"/>
                      <w:vertAlign w:val="superscript"/>
                    </w:rPr>
                    <w:t>2</w:t>
                  </w:r>
                  <w:r>
                    <w:rPr>
                      <w:rFonts w:hint="eastAsia"/>
                      <w:color w:val="auto"/>
                      <w:sz w:val="21"/>
                      <w:szCs w:val="21"/>
                    </w:rPr>
                    <w:t>，主要作为员工办公和</w:t>
                  </w:r>
                  <w:r>
                    <w:rPr>
                      <w:rFonts w:hint="eastAsia"/>
                      <w:color w:val="auto"/>
                      <w:sz w:val="21"/>
                      <w:szCs w:val="21"/>
                      <w:lang w:val="en-US" w:eastAsia="zh-CN"/>
                    </w:rPr>
                    <w:t>休息</w:t>
                  </w:r>
                </w:p>
              </w:tc>
            </w:tr>
            <w:tr w14:paraId="7EA5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7" w:type="pct"/>
                  <w:vMerge w:val="restart"/>
                  <w:vAlign w:val="center"/>
                </w:tcPr>
                <w:p w14:paraId="1CA9AA9B">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公用工程</w:t>
                  </w:r>
                </w:p>
              </w:tc>
              <w:tc>
                <w:tcPr>
                  <w:tcW w:w="819" w:type="pct"/>
                  <w:vAlign w:val="center"/>
                </w:tcPr>
                <w:p w14:paraId="6EA15FCD">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给水</w:t>
                  </w:r>
                </w:p>
              </w:tc>
              <w:tc>
                <w:tcPr>
                  <w:tcW w:w="3553" w:type="pct"/>
                  <w:gridSpan w:val="2"/>
                  <w:vAlign w:val="center"/>
                </w:tcPr>
                <w:p w14:paraId="770FB766">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lang w:val="en-US" w:eastAsia="zh-CN"/>
                    </w:rPr>
                    <w:t>市政管网供水，</w:t>
                  </w:r>
                  <w:r>
                    <w:rPr>
                      <w:color w:val="auto"/>
                      <w:sz w:val="21"/>
                      <w:szCs w:val="21"/>
                    </w:rPr>
                    <w:t>年用水量</w:t>
                  </w:r>
                  <w:r>
                    <w:rPr>
                      <w:rFonts w:hint="eastAsia"/>
                      <w:color w:val="auto"/>
                      <w:sz w:val="21"/>
                      <w:szCs w:val="21"/>
                      <w:lang w:val="en-US" w:eastAsia="zh-CN"/>
                    </w:rPr>
                    <w:t>1950</w:t>
                  </w:r>
                  <w:r>
                    <w:rPr>
                      <w:rFonts w:hint="eastAsia"/>
                      <w:color w:val="auto"/>
                      <w:sz w:val="21"/>
                      <w:szCs w:val="21"/>
                    </w:rPr>
                    <w:t>t</w:t>
                  </w:r>
                  <w:r>
                    <w:rPr>
                      <w:color w:val="auto"/>
                      <w:sz w:val="21"/>
                      <w:szCs w:val="21"/>
                    </w:rPr>
                    <w:t>/a</w:t>
                  </w:r>
                </w:p>
              </w:tc>
            </w:tr>
            <w:tr w14:paraId="5354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Merge w:val="continue"/>
                  <w:vAlign w:val="center"/>
                </w:tcPr>
                <w:p w14:paraId="45D113E6">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Align w:val="center"/>
                </w:tcPr>
                <w:p w14:paraId="4BDBC632">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排水</w:t>
                  </w:r>
                </w:p>
              </w:tc>
              <w:tc>
                <w:tcPr>
                  <w:tcW w:w="3553" w:type="pct"/>
                  <w:gridSpan w:val="2"/>
                  <w:vAlign w:val="center"/>
                </w:tcPr>
                <w:p w14:paraId="4E6EA930">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rPr>
                    <w:t>生活污水经化粪池处理后，</w:t>
                  </w:r>
                  <w:r>
                    <w:rPr>
                      <w:rFonts w:hint="eastAsia"/>
                      <w:color w:val="auto"/>
                      <w:sz w:val="21"/>
                      <w:szCs w:val="21"/>
                      <w:lang w:eastAsia="zh-CN"/>
                    </w:rPr>
                    <w:t>定期清掏外运</w:t>
                  </w:r>
                  <w:r>
                    <w:rPr>
                      <w:rFonts w:hint="eastAsia"/>
                      <w:color w:val="auto"/>
                      <w:sz w:val="21"/>
                      <w:szCs w:val="21"/>
                    </w:rPr>
                    <w:t>，不外排</w:t>
                  </w:r>
                  <w:r>
                    <w:rPr>
                      <w:rFonts w:hint="eastAsia"/>
                      <w:color w:val="auto"/>
                      <w:sz w:val="21"/>
                      <w:szCs w:val="21"/>
                      <w:lang w:eastAsia="zh-CN"/>
                    </w:rPr>
                    <w:t>；喷淋塔废水沉淀后循环使用，不外排。</w:t>
                  </w:r>
                </w:p>
              </w:tc>
            </w:tr>
            <w:tr w14:paraId="4795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Merge w:val="continue"/>
                  <w:vAlign w:val="center"/>
                </w:tcPr>
                <w:p w14:paraId="22DB4525">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Align w:val="center"/>
                </w:tcPr>
                <w:p w14:paraId="42584B69">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供电</w:t>
                  </w:r>
                </w:p>
              </w:tc>
              <w:tc>
                <w:tcPr>
                  <w:tcW w:w="3553" w:type="pct"/>
                  <w:gridSpan w:val="2"/>
                  <w:vAlign w:val="center"/>
                </w:tcPr>
                <w:p w14:paraId="582C939B">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rPr>
                    <w:t>市供电电网供电，年用电</w:t>
                  </w:r>
                  <w:r>
                    <w:rPr>
                      <w:rFonts w:hint="eastAsia"/>
                      <w:color w:val="auto"/>
                      <w:sz w:val="21"/>
                      <w:szCs w:val="21"/>
                      <w:lang w:val="en-US" w:eastAsia="zh-CN"/>
                    </w:rPr>
                    <w:t>50</w:t>
                  </w:r>
                  <w:r>
                    <w:rPr>
                      <w:rFonts w:hint="eastAsia"/>
                      <w:color w:val="auto"/>
                      <w:sz w:val="21"/>
                      <w:szCs w:val="21"/>
                    </w:rPr>
                    <w:t>万</w:t>
                  </w:r>
                  <w:r>
                    <w:rPr>
                      <w:rFonts w:hint="eastAsia"/>
                      <w:color w:val="auto"/>
                      <w:sz w:val="21"/>
                      <w:szCs w:val="21"/>
                      <w:lang w:eastAsia="zh-CN"/>
                    </w:rPr>
                    <w:t>kW·h</w:t>
                  </w:r>
                </w:p>
              </w:tc>
            </w:tr>
            <w:tr w14:paraId="025F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Merge w:val="restart"/>
                  <w:vAlign w:val="center"/>
                </w:tcPr>
                <w:p w14:paraId="32EB9622">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环保工程</w:t>
                  </w:r>
                </w:p>
              </w:tc>
              <w:tc>
                <w:tcPr>
                  <w:tcW w:w="819" w:type="pct"/>
                  <w:vMerge w:val="restart"/>
                  <w:vAlign w:val="center"/>
                </w:tcPr>
                <w:p w14:paraId="12F14EBA">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废气</w:t>
                  </w:r>
                </w:p>
              </w:tc>
              <w:tc>
                <w:tcPr>
                  <w:tcW w:w="688" w:type="pct"/>
                  <w:vMerge w:val="restart"/>
                  <w:vAlign w:val="center"/>
                </w:tcPr>
                <w:p w14:paraId="28BE715F">
                  <w:pPr>
                    <w:pStyle w:val="13"/>
                    <w:pageBreakBefore w:val="0"/>
                    <w:kinsoku/>
                    <w:wordWrap/>
                    <w:overflowPunct/>
                    <w:topLinePunct w:val="0"/>
                    <w:autoSpaceDE/>
                    <w:autoSpaceDN/>
                    <w:bidi w:val="0"/>
                    <w:adjustRightInd/>
                    <w:snapToGrid/>
                    <w:spacing w:before="0" w:after="0" w:line="240" w:lineRule="auto"/>
                    <w:ind w:left="0" w:leftChars="0" w:right="0" w:rightChars="0"/>
                    <w:jc w:val="center"/>
                    <w:rPr>
                      <w:rFonts w:hint="eastAsia" w:eastAsia="宋体"/>
                      <w:color w:val="auto"/>
                      <w:kern w:val="2"/>
                      <w:sz w:val="21"/>
                      <w:szCs w:val="21"/>
                      <w:lang w:eastAsia="zh-CN"/>
                    </w:rPr>
                  </w:pPr>
                  <w:r>
                    <w:rPr>
                      <w:rFonts w:hint="eastAsia"/>
                      <w:color w:val="auto"/>
                      <w:kern w:val="2"/>
                      <w:sz w:val="21"/>
                      <w:szCs w:val="21"/>
                      <w:lang w:val="en-US" w:eastAsia="zh-CN"/>
                    </w:rPr>
                    <w:t>粉尘</w:t>
                  </w:r>
                </w:p>
              </w:tc>
              <w:tc>
                <w:tcPr>
                  <w:tcW w:w="2865" w:type="pct"/>
                  <w:vAlign w:val="center"/>
                </w:tcPr>
                <w:p w14:paraId="691CCBB6">
                  <w:pPr>
                    <w:pageBreakBefore w:val="0"/>
                    <w:kinsoku/>
                    <w:wordWrap/>
                    <w:overflowPunct/>
                    <w:topLinePunct w:val="0"/>
                    <w:autoSpaceDE/>
                    <w:autoSpaceDN/>
                    <w:bidi w:val="0"/>
                    <w:adjustRightInd/>
                    <w:snapToGrid/>
                    <w:ind w:left="0" w:leftChars="0" w:right="0" w:right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裁断、破条等机加工工序产生竹屑粉尘</w:t>
                  </w:r>
                  <w:r>
                    <w:rPr>
                      <w:rFonts w:hint="eastAsia" w:cs="Times New Roman"/>
                      <w:color w:val="auto"/>
                      <w:kern w:val="2"/>
                      <w:sz w:val="21"/>
                      <w:szCs w:val="21"/>
                      <w:lang w:val="en-US" w:eastAsia="zh-CN" w:bidi="ar-SA"/>
                    </w:rPr>
                    <w:t>自然沉降后无组织排放</w:t>
                  </w:r>
                </w:p>
              </w:tc>
            </w:tr>
            <w:tr w14:paraId="1968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Merge w:val="continue"/>
                  <w:vAlign w:val="center"/>
                </w:tcPr>
                <w:p w14:paraId="714AEBD1">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Merge w:val="continue"/>
                  <w:vAlign w:val="center"/>
                </w:tcPr>
                <w:p w14:paraId="690FBB96">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8" w:type="pct"/>
                  <w:vMerge w:val="continue"/>
                  <w:vAlign w:val="center"/>
                </w:tcPr>
                <w:p w14:paraId="0E86A040">
                  <w:pPr>
                    <w:pStyle w:val="13"/>
                    <w:pageBreakBefore w:val="0"/>
                    <w:kinsoku/>
                    <w:wordWrap/>
                    <w:overflowPunct/>
                    <w:topLinePunct w:val="0"/>
                    <w:autoSpaceDE/>
                    <w:autoSpaceDN/>
                    <w:bidi w:val="0"/>
                    <w:adjustRightInd/>
                    <w:snapToGrid/>
                    <w:spacing w:before="0" w:after="0" w:line="240" w:lineRule="auto"/>
                    <w:ind w:left="0" w:leftChars="0" w:right="0" w:rightChars="0"/>
                    <w:jc w:val="center"/>
                    <w:rPr>
                      <w:rFonts w:hint="eastAsia" w:eastAsia="宋体"/>
                      <w:color w:val="auto"/>
                      <w:kern w:val="2"/>
                      <w:sz w:val="21"/>
                      <w:szCs w:val="21"/>
                      <w:lang w:eastAsia="zh-CN"/>
                    </w:rPr>
                  </w:pPr>
                </w:p>
              </w:tc>
              <w:tc>
                <w:tcPr>
                  <w:tcW w:w="2865" w:type="pct"/>
                  <w:vAlign w:val="center"/>
                </w:tcPr>
                <w:p w14:paraId="6B0234E3">
                  <w:pPr>
                    <w:pageBreakBefore w:val="0"/>
                    <w:kinsoku/>
                    <w:wordWrap/>
                    <w:overflowPunct/>
                    <w:topLinePunct w:val="0"/>
                    <w:autoSpaceDE/>
                    <w:autoSpaceDN/>
                    <w:bidi w:val="0"/>
                    <w:adjustRightInd/>
                    <w:snapToGrid/>
                    <w:ind w:left="0" w:leftChars="0" w:right="0" w:right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建设单位使用生物质专用锅炉，生物质燃烧</w:t>
                  </w:r>
                  <w:r>
                    <w:rPr>
                      <w:rFonts w:hint="eastAsia"/>
                      <w:color w:val="auto"/>
                      <w:sz w:val="21"/>
                      <w:szCs w:val="21"/>
                    </w:rPr>
                    <w:t>废气通过</w:t>
                  </w:r>
                  <w:r>
                    <w:rPr>
                      <w:rFonts w:hint="eastAsia"/>
                      <w:color w:val="auto"/>
                      <w:sz w:val="21"/>
                      <w:szCs w:val="21"/>
                      <w:lang w:val="en-US" w:eastAsia="zh-CN"/>
                    </w:rPr>
                    <w:t>低氮燃烧</w:t>
                  </w:r>
                  <w:r>
                    <w:rPr>
                      <w:rFonts w:hint="eastAsia"/>
                      <w:color w:val="auto"/>
                      <w:sz w:val="21"/>
                      <w:szCs w:val="21"/>
                      <w:lang w:eastAsia="zh-CN"/>
                    </w:rPr>
                    <w:t>器</w:t>
                  </w:r>
                  <w:r>
                    <w:rPr>
                      <w:rFonts w:hint="eastAsia"/>
                      <w:color w:val="auto"/>
                      <w:sz w:val="21"/>
                      <w:szCs w:val="21"/>
                      <w:lang w:val="en-US" w:eastAsia="zh-CN"/>
                    </w:rPr>
                    <w:t>+SCR脱硝+多管旋风除尘+高效布袋除尘器+碱液喷淋塔脱硫+15m高排气筒（DA001）排放</w:t>
                  </w:r>
                </w:p>
              </w:tc>
            </w:tr>
            <w:tr w14:paraId="0E27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Merge w:val="continue"/>
                  <w:vAlign w:val="center"/>
                </w:tcPr>
                <w:p w14:paraId="7A75BEDB">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Align w:val="center"/>
                </w:tcPr>
                <w:p w14:paraId="2C884B1D">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废水</w:t>
                  </w:r>
                </w:p>
              </w:tc>
              <w:tc>
                <w:tcPr>
                  <w:tcW w:w="3553" w:type="pct"/>
                  <w:gridSpan w:val="2"/>
                  <w:vAlign w:val="center"/>
                </w:tcPr>
                <w:p w14:paraId="29871D7A">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rPr>
                    <w:t>生活污水经化粪池处理后，</w:t>
                  </w:r>
                  <w:r>
                    <w:rPr>
                      <w:rFonts w:hint="eastAsia"/>
                      <w:color w:val="auto"/>
                      <w:sz w:val="21"/>
                      <w:szCs w:val="21"/>
                      <w:lang w:eastAsia="zh-CN"/>
                    </w:rPr>
                    <w:t>定期清掏外运；喷淋塔废水沉淀后循环使用，不外排。锅炉水循环使用，不外排。</w:t>
                  </w:r>
                </w:p>
              </w:tc>
            </w:tr>
            <w:tr w14:paraId="0AEB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Merge w:val="continue"/>
                  <w:vAlign w:val="center"/>
                </w:tcPr>
                <w:p w14:paraId="27FBDC58">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Align w:val="center"/>
                </w:tcPr>
                <w:p w14:paraId="33E40FF3">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噪声</w:t>
                  </w:r>
                </w:p>
              </w:tc>
              <w:tc>
                <w:tcPr>
                  <w:tcW w:w="3553" w:type="pct"/>
                  <w:gridSpan w:val="2"/>
                  <w:vAlign w:val="center"/>
                </w:tcPr>
                <w:p w14:paraId="6E24652D">
                  <w:pPr>
                    <w:pageBreakBefore w:val="0"/>
                    <w:kinsoku/>
                    <w:wordWrap/>
                    <w:overflowPunct/>
                    <w:topLinePunct w:val="0"/>
                    <w:autoSpaceDE/>
                    <w:autoSpaceDN/>
                    <w:bidi w:val="0"/>
                    <w:adjustRightInd/>
                    <w:snapToGrid/>
                    <w:ind w:left="0" w:leftChars="0" w:right="0" w:rightChars="0"/>
                    <w:jc w:val="center"/>
                    <w:textAlignment w:val="baseline"/>
                    <w:rPr>
                      <w:color w:val="auto"/>
                      <w:kern w:val="0"/>
                      <w:sz w:val="21"/>
                      <w:szCs w:val="21"/>
                    </w:rPr>
                  </w:pPr>
                  <w:r>
                    <w:rPr>
                      <w:bCs/>
                      <w:color w:val="auto"/>
                      <w:kern w:val="0"/>
                      <w:sz w:val="21"/>
                      <w:szCs w:val="21"/>
                    </w:rPr>
                    <w:t>采取优选低噪声设备、车间内</w:t>
                  </w:r>
                  <w:r>
                    <w:rPr>
                      <w:rFonts w:hint="eastAsia"/>
                      <w:bCs/>
                      <w:color w:val="auto"/>
                      <w:kern w:val="0"/>
                      <w:sz w:val="21"/>
                      <w:szCs w:val="21"/>
                      <w:lang w:val="en-US" w:eastAsia="zh-CN"/>
                    </w:rPr>
                    <w:t>合理</w:t>
                  </w:r>
                  <w:r>
                    <w:rPr>
                      <w:bCs/>
                      <w:color w:val="auto"/>
                      <w:kern w:val="0"/>
                      <w:sz w:val="21"/>
                      <w:szCs w:val="21"/>
                    </w:rPr>
                    <w:t>布置、隔声</w:t>
                  </w:r>
                  <w:r>
                    <w:rPr>
                      <w:rFonts w:hint="eastAsia"/>
                      <w:bCs/>
                      <w:color w:val="auto"/>
                      <w:kern w:val="0"/>
                      <w:sz w:val="21"/>
                      <w:szCs w:val="21"/>
                    </w:rPr>
                    <w:t>、</w:t>
                  </w:r>
                  <w:r>
                    <w:rPr>
                      <w:bCs/>
                      <w:color w:val="auto"/>
                      <w:kern w:val="0"/>
                      <w:sz w:val="21"/>
                      <w:szCs w:val="21"/>
                    </w:rPr>
                    <w:t>减振等措施</w:t>
                  </w:r>
                  <w:r>
                    <w:rPr>
                      <w:rFonts w:hint="eastAsia"/>
                      <w:bCs/>
                      <w:color w:val="auto"/>
                      <w:kern w:val="0"/>
                      <w:sz w:val="21"/>
                      <w:szCs w:val="21"/>
                    </w:rPr>
                    <w:t>，确保噪声达标排放</w:t>
                  </w:r>
                </w:p>
              </w:tc>
            </w:tr>
            <w:tr w14:paraId="1C77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27" w:type="pct"/>
                  <w:vMerge w:val="continue"/>
                  <w:vAlign w:val="center"/>
                </w:tcPr>
                <w:p w14:paraId="009BEDC5">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Merge w:val="restart"/>
                  <w:vAlign w:val="center"/>
                </w:tcPr>
                <w:p w14:paraId="35D16918">
                  <w:pPr>
                    <w:pageBreakBefore w:val="0"/>
                    <w:kinsoku/>
                    <w:wordWrap/>
                    <w:overflowPunct/>
                    <w:topLinePunct w:val="0"/>
                    <w:autoSpaceDE/>
                    <w:autoSpaceDN/>
                    <w:bidi w:val="0"/>
                    <w:adjustRightInd/>
                    <w:snapToGrid/>
                    <w:ind w:left="0" w:leftChars="0" w:right="0" w:rightChars="0"/>
                    <w:jc w:val="center"/>
                    <w:rPr>
                      <w:color w:val="auto"/>
                      <w:kern w:val="0"/>
                      <w:sz w:val="21"/>
                      <w:szCs w:val="21"/>
                    </w:rPr>
                  </w:pPr>
                  <w:r>
                    <w:rPr>
                      <w:color w:val="auto"/>
                      <w:kern w:val="0"/>
                      <w:sz w:val="21"/>
                      <w:szCs w:val="21"/>
                    </w:rPr>
                    <w:t>固废</w:t>
                  </w:r>
                </w:p>
              </w:tc>
              <w:tc>
                <w:tcPr>
                  <w:tcW w:w="688" w:type="pct"/>
                  <w:vAlign w:val="center"/>
                </w:tcPr>
                <w:p w14:paraId="3D578FBB">
                  <w:pPr>
                    <w:pStyle w:val="13"/>
                    <w:pageBreakBefore w:val="0"/>
                    <w:kinsoku/>
                    <w:wordWrap/>
                    <w:overflowPunct/>
                    <w:topLinePunct w:val="0"/>
                    <w:autoSpaceDE/>
                    <w:autoSpaceDN/>
                    <w:bidi w:val="0"/>
                    <w:adjustRightInd/>
                    <w:snapToGrid/>
                    <w:spacing w:before="0" w:after="0" w:line="240" w:lineRule="auto"/>
                    <w:ind w:left="0" w:leftChars="0" w:right="0" w:rightChars="0"/>
                    <w:jc w:val="center"/>
                    <w:rPr>
                      <w:bCs/>
                      <w:color w:val="auto"/>
                      <w:sz w:val="21"/>
                      <w:szCs w:val="21"/>
                    </w:rPr>
                  </w:pPr>
                  <w:r>
                    <w:rPr>
                      <w:rFonts w:hint="eastAsia"/>
                      <w:bCs/>
                      <w:color w:val="auto"/>
                      <w:sz w:val="21"/>
                      <w:szCs w:val="21"/>
                    </w:rPr>
                    <w:t>一般固废</w:t>
                  </w:r>
                </w:p>
              </w:tc>
              <w:tc>
                <w:tcPr>
                  <w:tcW w:w="2865" w:type="pct"/>
                  <w:vAlign w:val="center"/>
                </w:tcPr>
                <w:p w14:paraId="3952D11E">
                  <w:pPr>
                    <w:pStyle w:val="13"/>
                    <w:pageBreakBefore w:val="0"/>
                    <w:kinsoku/>
                    <w:wordWrap/>
                    <w:overflowPunct/>
                    <w:topLinePunct w:val="0"/>
                    <w:autoSpaceDE/>
                    <w:autoSpaceDN/>
                    <w:bidi w:val="0"/>
                    <w:adjustRightInd/>
                    <w:snapToGrid/>
                    <w:spacing w:before="0" w:after="0" w:line="240" w:lineRule="auto"/>
                    <w:ind w:left="0" w:leftChars="0" w:right="0" w:rightChars="0"/>
                    <w:jc w:val="center"/>
                    <w:rPr>
                      <w:bCs/>
                      <w:color w:val="auto"/>
                      <w:sz w:val="21"/>
                      <w:szCs w:val="21"/>
                    </w:rPr>
                  </w:pPr>
                  <w:r>
                    <w:rPr>
                      <w:rFonts w:hint="eastAsia"/>
                      <w:bCs/>
                      <w:color w:val="auto"/>
                      <w:sz w:val="21"/>
                      <w:szCs w:val="21"/>
                      <w:lang w:val="en-US" w:eastAsia="zh-CN"/>
                    </w:rPr>
                    <w:t>在厂区南侧</w:t>
                  </w:r>
                  <w:r>
                    <w:rPr>
                      <w:rFonts w:hint="eastAsia"/>
                      <w:bCs/>
                      <w:color w:val="auto"/>
                      <w:sz w:val="21"/>
                      <w:szCs w:val="21"/>
                    </w:rPr>
                    <w:t>设置</w:t>
                  </w:r>
                  <w:r>
                    <w:rPr>
                      <w:rFonts w:hint="eastAsia"/>
                      <w:bCs/>
                      <w:color w:val="auto"/>
                      <w:sz w:val="21"/>
                      <w:szCs w:val="21"/>
                      <w:lang w:val="en-US" w:eastAsia="zh-CN"/>
                    </w:rPr>
                    <w:t>10</w:t>
                  </w:r>
                  <w:r>
                    <w:rPr>
                      <w:rFonts w:hint="eastAsia"/>
                      <w:bCs/>
                      <w:color w:val="auto"/>
                      <w:sz w:val="21"/>
                      <w:szCs w:val="21"/>
                    </w:rPr>
                    <w:t>0m</w:t>
                  </w:r>
                  <w:r>
                    <w:rPr>
                      <w:rFonts w:hint="eastAsia"/>
                      <w:bCs/>
                      <w:color w:val="auto"/>
                      <w:sz w:val="21"/>
                      <w:szCs w:val="21"/>
                      <w:vertAlign w:val="superscript"/>
                    </w:rPr>
                    <w:t>2</w:t>
                  </w:r>
                  <w:r>
                    <w:rPr>
                      <w:rFonts w:hint="eastAsia"/>
                      <w:bCs/>
                      <w:color w:val="auto"/>
                      <w:sz w:val="21"/>
                      <w:szCs w:val="21"/>
                    </w:rPr>
                    <w:t>的一般固废暂存间</w:t>
                  </w:r>
                </w:p>
              </w:tc>
            </w:tr>
            <w:tr w14:paraId="7270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7" w:type="pct"/>
                  <w:vMerge w:val="continue"/>
                  <w:vAlign w:val="center"/>
                </w:tcPr>
                <w:p w14:paraId="25E77265">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Merge w:val="continue"/>
                  <w:vAlign w:val="center"/>
                </w:tcPr>
                <w:p w14:paraId="2E44E405">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8" w:type="pct"/>
                  <w:vAlign w:val="center"/>
                </w:tcPr>
                <w:p w14:paraId="6DE5630D">
                  <w:pPr>
                    <w:pStyle w:val="13"/>
                    <w:pageBreakBefore w:val="0"/>
                    <w:kinsoku/>
                    <w:wordWrap/>
                    <w:overflowPunct/>
                    <w:topLinePunct w:val="0"/>
                    <w:autoSpaceDE/>
                    <w:autoSpaceDN/>
                    <w:bidi w:val="0"/>
                    <w:adjustRightInd/>
                    <w:snapToGrid/>
                    <w:spacing w:before="0" w:after="0" w:line="240" w:lineRule="auto"/>
                    <w:ind w:left="0" w:leftChars="0" w:right="0" w:rightChars="0"/>
                    <w:jc w:val="center"/>
                    <w:rPr>
                      <w:bCs/>
                      <w:color w:val="auto"/>
                      <w:sz w:val="21"/>
                      <w:szCs w:val="21"/>
                    </w:rPr>
                  </w:pPr>
                  <w:r>
                    <w:rPr>
                      <w:rFonts w:hint="eastAsia"/>
                      <w:bCs/>
                      <w:color w:val="auto"/>
                      <w:sz w:val="21"/>
                      <w:szCs w:val="21"/>
                    </w:rPr>
                    <w:t>危险废物</w:t>
                  </w:r>
                </w:p>
              </w:tc>
              <w:tc>
                <w:tcPr>
                  <w:tcW w:w="2865" w:type="pct"/>
                  <w:vAlign w:val="center"/>
                </w:tcPr>
                <w:p w14:paraId="06A17328">
                  <w:pPr>
                    <w:pStyle w:val="13"/>
                    <w:pageBreakBefore w:val="0"/>
                    <w:kinsoku/>
                    <w:wordWrap/>
                    <w:overflowPunct/>
                    <w:topLinePunct w:val="0"/>
                    <w:autoSpaceDE/>
                    <w:autoSpaceDN/>
                    <w:bidi w:val="0"/>
                    <w:adjustRightInd/>
                    <w:snapToGrid/>
                    <w:spacing w:before="0" w:after="0" w:line="240" w:lineRule="auto"/>
                    <w:ind w:left="0" w:leftChars="0" w:right="0" w:rightChars="0"/>
                    <w:jc w:val="center"/>
                    <w:rPr>
                      <w:bCs/>
                      <w:color w:val="auto"/>
                      <w:sz w:val="21"/>
                      <w:szCs w:val="21"/>
                    </w:rPr>
                  </w:pPr>
                  <w:r>
                    <w:rPr>
                      <w:rFonts w:hint="eastAsia"/>
                      <w:bCs/>
                      <w:color w:val="auto"/>
                      <w:sz w:val="21"/>
                      <w:szCs w:val="21"/>
                      <w:lang w:val="en-US" w:eastAsia="zh-CN"/>
                    </w:rPr>
                    <w:t>在厂区东北侧</w:t>
                  </w:r>
                  <w:r>
                    <w:rPr>
                      <w:rFonts w:hint="eastAsia"/>
                      <w:bCs/>
                      <w:color w:val="auto"/>
                      <w:sz w:val="21"/>
                      <w:szCs w:val="21"/>
                    </w:rPr>
                    <w:t>设置</w:t>
                  </w:r>
                  <w:r>
                    <w:rPr>
                      <w:rFonts w:hint="eastAsia"/>
                      <w:bCs/>
                      <w:color w:val="auto"/>
                      <w:sz w:val="21"/>
                      <w:szCs w:val="21"/>
                      <w:lang w:val="en-US" w:eastAsia="zh-CN"/>
                    </w:rPr>
                    <w:t>5</w:t>
                  </w:r>
                  <w:r>
                    <w:rPr>
                      <w:rFonts w:hint="eastAsia"/>
                      <w:bCs/>
                      <w:color w:val="auto"/>
                      <w:sz w:val="21"/>
                      <w:szCs w:val="21"/>
                    </w:rPr>
                    <w:t>m</w:t>
                  </w:r>
                  <w:r>
                    <w:rPr>
                      <w:rFonts w:hint="eastAsia"/>
                      <w:bCs/>
                      <w:color w:val="auto"/>
                      <w:sz w:val="21"/>
                      <w:szCs w:val="21"/>
                      <w:vertAlign w:val="superscript"/>
                    </w:rPr>
                    <w:t>2</w:t>
                  </w:r>
                  <w:r>
                    <w:rPr>
                      <w:rFonts w:hint="eastAsia"/>
                      <w:bCs/>
                      <w:color w:val="auto"/>
                      <w:sz w:val="21"/>
                      <w:szCs w:val="21"/>
                    </w:rPr>
                    <w:t>的危废间用于暂存危废</w:t>
                  </w:r>
                </w:p>
              </w:tc>
            </w:tr>
            <w:tr w14:paraId="1C16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7" w:type="pct"/>
                  <w:vMerge w:val="continue"/>
                  <w:vAlign w:val="center"/>
                </w:tcPr>
                <w:p w14:paraId="605C1C9D">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819" w:type="pct"/>
                  <w:vMerge w:val="continue"/>
                  <w:vAlign w:val="center"/>
                </w:tcPr>
                <w:p w14:paraId="4BD8AFC0">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688" w:type="pct"/>
                  <w:vAlign w:val="center"/>
                </w:tcPr>
                <w:p w14:paraId="1ADADE5F">
                  <w:pPr>
                    <w:pStyle w:val="13"/>
                    <w:pageBreakBefore w:val="0"/>
                    <w:kinsoku/>
                    <w:wordWrap/>
                    <w:overflowPunct/>
                    <w:topLinePunct w:val="0"/>
                    <w:autoSpaceDE/>
                    <w:autoSpaceDN/>
                    <w:bidi w:val="0"/>
                    <w:adjustRightInd/>
                    <w:snapToGrid/>
                    <w:spacing w:before="0" w:after="0" w:line="240" w:lineRule="auto"/>
                    <w:ind w:left="0" w:leftChars="0" w:right="0" w:rightChars="0"/>
                    <w:jc w:val="center"/>
                    <w:rPr>
                      <w:bCs/>
                      <w:color w:val="auto"/>
                      <w:sz w:val="21"/>
                      <w:szCs w:val="21"/>
                    </w:rPr>
                  </w:pPr>
                  <w:r>
                    <w:rPr>
                      <w:rFonts w:hint="eastAsia"/>
                      <w:bCs/>
                      <w:color w:val="auto"/>
                      <w:sz w:val="21"/>
                      <w:szCs w:val="21"/>
                    </w:rPr>
                    <w:t>生活垃圾</w:t>
                  </w:r>
                </w:p>
              </w:tc>
              <w:tc>
                <w:tcPr>
                  <w:tcW w:w="2865" w:type="pct"/>
                  <w:vAlign w:val="center"/>
                </w:tcPr>
                <w:p w14:paraId="6194340B">
                  <w:pPr>
                    <w:pStyle w:val="13"/>
                    <w:pageBreakBefore w:val="0"/>
                    <w:kinsoku/>
                    <w:wordWrap/>
                    <w:overflowPunct/>
                    <w:topLinePunct w:val="0"/>
                    <w:autoSpaceDE/>
                    <w:autoSpaceDN/>
                    <w:bidi w:val="0"/>
                    <w:adjustRightInd/>
                    <w:snapToGrid/>
                    <w:spacing w:before="0" w:after="0" w:line="240" w:lineRule="auto"/>
                    <w:ind w:left="0" w:leftChars="0" w:right="0" w:rightChars="0"/>
                    <w:jc w:val="center"/>
                    <w:rPr>
                      <w:bCs/>
                      <w:color w:val="auto"/>
                      <w:sz w:val="21"/>
                      <w:szCs w:val="21"/>
                    </w:rPr>
                  </w:pPr>
                  <w:r>
                    <w:rPr>
                      <w:rFonts w:hint="eastAsia"/>
                      <w:bCs/>
                      <w:color w:val="auto"/>
                      <w:sz w:val="21"/>
                      <w:szCs w:val="21"/>
                    </w:rPr>
                    <w:t>厂区内设置若干垃圾桶，由环卫部门定期清运。</w:t>
                  </w:r>
                </w:p>
              </w:tc>
            </w:tr>
            <w:bookmarkEnd w:id="2"/>
            <w:bookmarkEnd w:id="3"/>
            <w:bookmarkEnd w:id="4"/>
          </w:tbl>
          <w:p w14:paraId="084B72C0">
            <w:pPr>
              <w:pageBreakBefore w:val="0"/>
              <w:kinsoku/>
              <w:wordWrap/>
              <w:overflowPunct/>
              <w:topLinePunct w:val="0"/>
              <w:autoSpaceDE/>
              <w:autoSpaceDN/>
              <w:bidi w:val="0"/>
              <w:adjustRightInd/>
              <w:snapToGrid/>
              <w:spacing w:line="360" w:lineRule="auto"/>
              <w:ind w:left="0" w:leftChars="0" w:right="0" w:rightChars="0" w:firstLine="482" w:firstLineChars="200"/>
              <w:rPr>
                <w:b/>
                <w:color w:val="auto"/>
                <w:sz w:val="24"/>
                <w:szCs w:val="32"/>
              </w:rPr>
            </w:pPr>
            <w:r>
              <w:rPr>
                <w:rFonts w:hint="eastAsia"/>
                <w:b/>
                <w:color w:val="auto"/>
                <w:sz w:val="24"/>
                <w:szCs w:val="32"/>
              </w:rPr>
              <w:t>3</w:t>
            </w:r>
            <w:r>
              <w:rPr>
                <w:b/>
                <w:color w:val="auto"/>
                <w:sz w:val="24"/>
                <w:szCs w:val="32"/>
              </w:rPr>
              <w:t>、项目规模及产品方案</w:t>
            </w:r>
          </w:p>
          <w:p w14:paraId="3A7DC401">
            <w:pPr>
              <w:pageBreakBefore w:val="0"/>
              <w:kinsoku/>
              <w:wordWrap/>
              <w:overflowPunct/>
              <w:topLinePunct w:val="0"/>
              <w:autoSpaceDE/>
              <w:autoSpaceDN/>
              <w:bidi w:val="0"/>
              <w:adjustRightInd/>
              <w:snapToGrid/>
              <w:spacing w:line="360" w:lineRule="auto"/>
              <w:ind w:left="0" w:leftChars="0" w:right="0" w:rightChars="0" w:firstLine="480" w:firstLineChars="200"/>
              <w:rPr>
                <w:b/>
                <w:color w:val="auto"/>
                <w:sz w:val="24"/>
                <w:szCs w:val="21"/>
              </w:rPr>
            </w:pPr>
            <w:r>
              <w:rPr>
                <w:rFonts w:hint="eastAsia"/>
                <w:color w:val="auto"/>
                <w:sz w:val="24"/>
                <w:szCs w:val="32"/>
              </w:rPr>
              <w:t>本</w:t>
            </w:r>
            <w:r>
              <w:rPr>
                <w:color w:val="auto"/>
                <w:sz w:val="24"/>
                <w:szCs w:val="32"/>
              </w:rPr>
              <w:t>项目产品主要为</w:t>
            </w:r>
            <w:r>
              <w:rPr>
                <w:rFonts w:hint="eastAsia"/>
                <w:bCs/>
                <w:color w:val="auto"/>
                <w:sz w:val="21"/>
                <w:szCs w:val="21"/>
                <w:lang w:val="en-US" w:eastAsia="zh-CN"/>
              </w:rPr>
              <w:t>重</w:t>
            </w:r>
            <w:r>
              <w:rPr>
                <w:rFonts w:hint="eastAsia"/>
                <w:bCs/>
                <w:color w:val="auto"/>
                <w:sz w:val="24"/>
                <w:lang w:val="en-US" w:eastAsia="zh-CN"/>
              </w:rPr>
              <w:t>竹材料（竹条）、竹青丝、竹帘、竹片</w:t>
            </w:r>
            <w:r>
              <w:rPr>
                <w:color w:val="auto"/>
                <w:sz w:val="24"/>
                <w:szCs w:val="32"/>
              </w:rPr>
              <w:t>，</w:t>
            </w:r>
            <w:r>
              <w:rPr>
                <w:rFonts w:hint="eastAsia"/>
                <w:color w:val="auto"/>
                <w:sz w:val="24"/>
                <w:szCs w:val="32"/>
              </w:rPr>
              <w:t>项目</w:t>
            </w:r>
            <w:r>
              <w:rPr>
                <w:color w:val="auto"/>
                <w:sz w:val="24"/>
                <w:szCs w:val="32"/>
              </w:rPr>
              <w:t>产品方案及规模详见下表。</w:t>
            </w:r>
          </w:p>
          <w:p w14:paraId="770E2AC4">
            <w:pPr>
              <w:pageBreakBefore w:val="0"/>
              <w:tabs>
                <w:tab w:val="left" w:pos="3255"/>
              </w:tabs>
              <w:kinsoku/>
              <w:wordWrap/>
              <w:overflowPunct/>
              <w:topLinePunct w:val="0"/>
              <w:autoSpaceDE/>
              <w:autoSpaceDN/>
              <w:bidi w:val="0"/>
              <w:adjustRightInd/>
              <w:snapToGrid/>
              <w:spacing w:line="360" w:lineRule="auto"/>
              <w:ind w:left="0" w:leftChars="0" w:right="0" w:rightChars="0"/>
              <w:jc w:val="center"/>
              <w:rPr>
                <w:b/>
                <w:color w:val="auto"/>
                <w:sz w:val="24"/>
                <w:szCs w:val="21"/>
              </w:rPr>
            </w:pPr>
            <w:r>
              <w:rPr>
                <w:b/>
                <w:color w:val="auto"/>
                <w:sz w:val="24"/>
                <w:szCs w:val="21"/>
              </w:rPr>
              <w:t>表2-</w:t>
            </w:r>
            <w:r>
              <w:rPr>
                <w:rFonts w:hint="eastAsia"/>
                <w:b/>
                <w:color w:val="auto"/>
                <w:sz w:val="24"/>
                <w:szCs w:val="21"/>
                <w:lang w:val="en-US" w:eastAsia="zh-CN"/>
              </w:rPr>
              <w:t xml:space="preserve">4  </w:t>
            </w:r>
            <w:r>
              <w:rPr>
                <w:rFonts w:hint="eastAsia"/>
                <w:b/>
                <w:color w:val="auto"/>
                <w:sz w:val="24"/>
                <w:szCs w:val="21"/>
              </w:rPr>
              <w:t>项目产品方案及规模</w:t>
            </w:r>
          </w:p>
          <w:tbl>
            <w:tblPr>
              <w:tblStyle w:val="32"/>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920"/>
              <w:gridCol w:w="1065"/>
              <w:gridCol w:w="990"/>
              <w:gridCol w:w="1980"/>
              <w:gridCol w:w="1743"/>
            </w:tblGrid>
            <w:tr w14:paraId="1E71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5" w:type="dxa"/>
                  <w:vAlign w:val="center"/>
                </w:tcPr>
                <w:p w14:paraId="7062AA08">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920" w:type="dxa"/>
                  <w:vAlign w:val="center"/>
                </w:tcPr>
                <w:p w14:paraId="067E9BD2">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产品名称</w:t>
                  </w:r>
                </w:p>
              </w:tc>
              <w:tc>
                <w:tcPr>
                  <w:tcW w:w="1065" w:type="dxa"/>
                  <w:vAlign w:val="center"/>
                </w:tcPr>
                <w:p w14:paraId="7F29EE1A">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年产量</w:t>
                  </w:r>
                </w:p>
              </w:tc>
              <w:tc>
                <w:tcPr>
                  <w:tcW w:w="990" w:type="dxa"/>
                  <w:vAlign w:val="center"/>
                </w:tcPr>
                <w:p w14:paraId="198EC875">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单位</w:t>
                  </w:r>
                </w:p>
              </w:tc>
              <w:tc>
                <w:tcPr>
                  <w:tcW w:w="1980" w:type="dxa"/>
                  <w:vAlign w:val="center"/>
                </w:tcPr>
                <w:p w14:paraId="1869EB9A">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规格</w:t>
                  </w:r>
                </w:p>
              </w:tc>
              <w:tc>
                <w:tcPr>
                  <w:tcW w:w="1743" w:type="dxa"/>
                  <w:vAlign w:val="center"/>
                </w:tcPr>
                <w:p w14:paraId="0072DD7F">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含水率</w:t>
                  </w:r>
                </w:p>
              </w:tc>
            </w:tr>
            <w:tr w14:paraId="4377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Align w:val="center"/>
                </w:tcPr>
                <w:p w14:paraId="0DE38D25">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20" w:type="dxa"/>
                  <w:vAlign w:val="center"/>
                </w:tcPr>
                <w:p w14:paraId="54D8F52A">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sz w:val="21"/>
                      <w:szCs w:val="21"/>
                      <w:lang w:val="en-US" w:eastAsia="zh-CN"/>
                    </w:rPr>
                    <w:t>重竹材料（竹条）</w:t>
                  </w:r>
                </w:p>
              </w:tc>
              <w:tc>
                <w:tcPr>
                  <w:tcW w:w="1065" w:type="dxa"/>
                  <w:vAlign w:val="center"/>
                </w:tcPr>
                <w:p w14:paraId="6E1AC301">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3000</w:t>
                  </w:r>
                </w:p>
              </w:tc>
              <w:tc>
                <w:tcPr>
                  <w:tcW w:w="990" w:type="dxa"/>
                  <w:vAlign w:val="center"/>
                </w:tcPr>
                <w:p w14:paraId="56C0BBB7">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w:t>
                  </w:r>
                </w:p>
              </w:tc>
              <w:tc>
                <w:tcPr>
                  <w:tcW w:w="1980" w:type="dxa"/>
                  <w:vAlign w:val="center"/>
                </w:tcPr>
                <w:p w14:paraId="7677A794">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Φ8-15mm</w:t>
                  </w:r>
                </w:p>
              </w:tc>
              <w:tc>
                <w:tcPr>
                  <w:tcW w:w="1743" w:type="dxa"/>
                  <w:vAlign w:val="center"/>
                </w:tcPr>
                <w:p w14:paraId="57A5BC67">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含水率约10%</w:t>
                  </w:r>
                </w:p>
              </w:tc>
            </w:tr>
            <w:tr w14:paraId="65A1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55" w:type="dxa"/>
                  <w:vAlign w:val="center"/>
                </w:tcPr>
                <w:p w14:paraId="3A8D1101">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920" w:type="dxa"/>
                  <w:vAlign w:val="center"/>
                </w:tcPr>
                <w:p w14:paraId="10D07C19">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竹青丝</w:t>
                  </w:r>
                </w:p>
              </w:tc>
              <w:tc>
                <w:tcPr>
                  <w:tcW w:w="1065" w:type="dxa"/>
                  <w:vAlign w:val="center"/>
                </w:tcPr>
                <w:p w14:paraId="757D59EC">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1500</w:t>
                  </w:r>
                </w:p>
              </w:tc>
              <w:tc>
                <w:tcPr>
                  <w:tcW w:w="990" w:type="dxa"/>
                  <w:vAlign w:val="center"/>
                </w:tcPr>
                <w:p w14:paraId="061C34FB">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w:t>
                  </w:r>
                </w:p>
              </w:tc>
              <w:tc>
                <w:tcPr>
                  <w:tcW w:w="1980" w:type="dxa"/>
                  <w:vAlign w:val="center"/>
                </w:tcPr>
                <w:p w14:paraId="7E65A447">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长：1.65-1.8m</w:t>
                  </w:r>
                </w:p>
              </w:tc>
              <w:tc>
                <w:tcPr>
                  <w:tcW w:w="1743" w:type="dxa"/>
                  <w:vAlign w:val="center"/>
                </w:tcPr>
                <w:p w14:paraId="4CFDA39F">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A34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55" w:type="dxa"/>
                  <w:vAlign w:val="center"/>
                </w:tcPr>
                <w:p w14:paraId="1717872F">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920" w:type="dxa"/>
                  <w:vAlign w:val="center"/>
                </w:tcPr>
                <w:p w14:paraId="4648A491">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竹帘</w:t>
                  </w:r>
                </w:p>
              </w:tc>
              <w:tc>
                <w:tcPr>
                  <w:tcW w:w="1065" w:type="dxa"/>
                  <w:vAlign w:val="center"/>
                </w:tcPr>
                <w:p w14:paraId="649AEB36">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1000000</w:t>
                  </w:r>
                </w:p>
              </w:tc>
              <w:tc>
                <w:tcPr>
                  <w:tcW w:w="990" w:type="dxa"/>
                  <w:vAlign w:val="center"/>
                </w:tcPr>
                <w:p w14:paraId="57521D8E">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张</w:t>
                  </w:r>
                </w:p>
              </w:tc>
              <w:tc>
                <w:tcPr>
                  <w:tcW w:w="1980" w:type="dxa"/>
                  <w:vAlign w:val="center"/>
                </w:tcPr>
                <w:p w14:paraId="0F0314B9">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L2.8m×W1.8m</w:t>
                  </w:r>
                </w:p>
              </w:tc>
              <w:tc>
                <w:tcPr>
                  <w:tcW w:w="1743" w:type="dxa"/>
                  <w:vAlign w:val="center"/>
                </w:tcPr>
                <w:p w14:paraId="0A8A6744">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p>
              </w:tc>
            </w:tr>
            <w:tr w14:paraId="4BB0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55" w:type="dxa"/>
                  <w:vAlign w:val="center"/>
                </w:tcPr>
                <w:p w14:paraId="565D065D">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920" w:type="dxa"/>
                  <w:vAlign w:val="center"/>
                </w:tcPr>
                <w:p w14:paraId="31DFB614">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竹片</w:t>
                  </w:r>
                </w:p>
              </w:tc>
              <w:tc>
                <w:tcPr>
                  <w:tcW w:w="1065" w:type="dxa"/>
                  <w:vAlign w:val="center"/>
                </w:tcPr>
                <w:p w14:paraId="5845351E">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c>
                <w:tcPr>
                  <w:tcW w:w="990" w:type="dxa"/>
                  <w:vAlign w:val="center"/>
                </w:tcPr>
                <w:p w14:paraId="53320F93">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w:t>
                  </w:r>
                </w:p>
              </w:tc>
              <w:tc>
                <w:tcPr>
                  <w:tcW w:w="1980" w:type="dxa"/>
                  <w:vAlign w:val="center"/>
                </w:tcPr>
                <w:p w14:paraId="4708CF8F">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w:t>
                  </w:r>
                  <w:r>
                    <w:rPr>
                      <w:rFonts w:hint="eastAsia" w:cs="Times New Roman"/>
                      <w:color w:val="auto"/>
                      <w:sz w:val="21"/>
                      <w:szCs w:val="21"/>
                      <w:lang w:val="en-US" w:eastAsia="zh-CN"/>
                    </w:rPr>
                    <w:t>0.05</w:t>
                  </w:r>
                  <w:r>
                    <w:rPr>
                      <w:rFonts w:hint="default" w:ascii="Times New Roman" w:hAnsi="Times New Roman" w:cs="Times New Roman"/>
                      <w:color w:val="auto"/>
                      <w:sz w:val="21"/>
                      <w:szCs w:val="21"/>
                      <w:lang w:val="en-US" w:eastAsia="zh-CN"/>
                    </w:rPr>
                    <w:t>m×W</w:t>
                  </w:r>
                  <w:r>
                    <w:rPr>
                      <w:rFonts w:hint="eastAsia" w:cs="Times New Roman"/>
                      <w:color w:val="auto"/>
                      <w:sz w:val="21"/>
                      <w:szCs w:val="21"/>
                      <w:lang w:val="en-US" w:eastAsia="zh-CN"/>
                    </w:rPr>
                    <w:t>0.04</w:t>
                  </w:r>
                  <w:r>
                    <w:rPr>
                      <w:rFonts w:hint="default" w:ascii="Times New Roman" w:hAnsi="Times New Roman" w:cs="Times New Roman"/>
                      <w:color w:val="auto"/>
                      <w:sz w:val="21"/>
                      <w:szCs w:val="21"/>
                      <w:lang w:val="en-US" w:eastAsia="zh-CN"/>
                    </w:rPr>
                    <w:t>m</w:t>
                  </w:r>
                </w:p>
              </w:tc>
              <w:tc>
                <w:tcPr>
                  <w:tcW w:w="1743" w:type="dxa"/>
                  <w:vAlign w:val="center"/>
                </w:tcPr>
                <w:p w14:paraId="71F11BAA">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eastAsia="zh-CN"/>
                    </w:rPr>
                  </w:pPr>
                </w:p>
              </w:tc>
            </w:tr>
          </w:tbl>
          <w:p w14:paraId="03E7EE42">
            <w:pPr>
              <w:pageBreakBefore w:val="0"/>
              <w:kinsoku/>
              <w:wordWrap/>
              <w:overflowPunct/>
              <w:topLinePunct w:val="0"/>
              <w:autoSpaceDE/>
              <w:autoSpaceDN/>
              <w:bidi w:val="0"/>
              <w:adjustRightInd/>
              <w:snapToGrid/>
              <w:spacing w:line="360" w:lineRule="auto"/>
              <w:ind w:right="0" w:rightChars="0" w:firstLine="482" w:firstLineChars="200"/>
              <w:rPr>
                <w:b/>
                <w:color w:val="auto"/>
                <w:sz w:val="24"/>
                <w:szCs w:val="32"/>
              </w:rPr>
            </w:pPr>
            <w:r>
              <w:rPr>
                <w:rFonts w:hint="eastAsia"/>
                <w:b/>
                <w:color w:val="auto"/>
                <w:sz w:val="24"/>
                <w:szCs w:val="32"/>
              </w:rPr>
              <w:t>4</w:t>
            </w:r>
            <w:r>
              <w:rPr>
                <w:b/>
                <w:color w:val="auto"/>
                <w:sz w:val="24"/>
                <w:szCs w:val="32"/>
              </w:rPr>
              <w:t>、主要生产设备</w:t>
            </w:r>
          </w:p>
          <w:p w14:paraId="6861023D">
            <w:pPr>
              <w:pageBreakBefore w:val="0"/>
              <w:kinsoku/>
              <w:wordWrap/>
              <w:overflowPunct/>
              <w:topLinePunct w:val="0"/>
              <w:autoSpaceDE/>
              <w:autoSpaceDN/>
              <w:bidi w:val="0"/>
              <w:adjustRightInd/>
              <w:snapToGrid/>
              <w:spacing w:line="360" w:lineRule="auto"/>
              <w:ind w:left="0" w:leftChars="0" w:right="0" w:rightChars="0" w:firstLine="480" w:firstLineChars="200"/>
              <w:rPr>
                <w:rFonts w:hint="eastAsia" w:eastAsia="宋体"/>
                <w:bCs/>
                <w:color w:val="auto"/>
                <w:sz w:val="24"/>
                <w:szCs w:val="32"/>
                <w:lang w:eastAsia="zh-CN"/>
              </w:rPr>
            </w:pPr>
            <w:r>
              <w:rPr>
                <w:rFonts w:hint="eastAsia"/>
                <w:bCs/>
                <w:color w:val="auto"/>
                <w:sz w:val="24"/>
                <w:szCs w:val="32"/>
              </w:rPr>
              <w:t>本</w:t>
            </w:r>
            <w:r>
              <w:rPr>
                <w:bCs/>
                <w:color w:val="auto"/>
                <w:sz w:val="24"/>
                <w:szCs w:val="32"/>
              </w:rPr>
              <w:t>项目设备见下表</w:t>
            </w:r>
            <w:r>
              <w:rPr>
                <w:rFonts w:hint="eastAsia"/>
                <w:bCs/>
                <w:color w:val="auto"/>
                <w:sz w:val="24"/>
                <w:szCs w:val="32"/>
                <w:lang w:eastAsia="zh-CN"/>
              </w:rPr>
              <w:t>：</w:t>
            </w:r>
          </w:p>
          <w:p w14:paraId="0717A647">
            <w:pPr>
              <w:pageBreakBefore w:val="0"/>
              <w:tabs>
                <w:tab w:val="left" w:pos="3255"/>
              </w:tabs>
              <w:kinsoku/>
              <w:wordWrap/>
              <w:overflowPunct/>
              <w:topLinePunct w:val="0"/>
              <w:autoSpaceDE/>
              <w:autoSpaceDN/>
              <w:bidi w:val="0"/>
              <w:adjustRightInd/>
              <w:snapToGrid/>
              <w:spacing w:line="360" w:lineRule="auto"/>
              <w:ind w:left="0" w:leftChars="0" w:right="0" w:rightChars="0"/>
              <w:jc w:val="center"/>
              <w:rPr>
                <w:b/>
                <w:color w:val="auto"/>
                <w:sz w:val="24"/>
                <w:szCs w:val="21"/>
              </w:rPr>
            </w:pPr>
            <w:r>
              <w:rPr>
                <w:b/>
                <w:color w:val="auto"/>
                <w:sz w:val="24"/>
                <w:szCs w:val="21"/>
              </w:rPr>
              <w:t>表2-</w:t>
            </w:r>
            <w:r>
              <w:rPr>
                <w:rFonts w:hint="eastAsia"/>
                <w:b/>
                <w:color w:val="auto"/>
                <w:sz w:val="24"/>
                <w:szCs w:val="21"/>
                <w:lang w:val="en-US" w:eastAsia="zh-CN"/>
              </w:rPr>
              <w:t>5</w:t>
            </w:r>
            <w:r>
              <w:rPr>
                <w:b/>
                <w:color w:val="auto"/>
                <w:sz w:val="24"/>
                <w:szCs w:val="21"/>
              </w:rPr>
              <w:t xml:space="preserve">  项目设备一览表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098"/>
              <w:gridCol w:w="2037"/>
              <w:gridCol w:w="1861"/>
              <w:gridCol w:w="1566"/>
            </w:tblGrid>
            <w:tr w14:paraId="3CB7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527" w:type="pct"/>
                  <w:vAlign w:val="center"/>
                </w:tcPr>
                <w:p w14:paraId="1BC7D87B">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b/>
                      <w:bCs/>
                      <w:color w:val="auto"/>
                      <w:sz w:val="21"/>
                      <w:szCs w:val="21"/>
                    </w:rPr>
                    <w:t>序号</w:t>
                  </w:r>
                </w:p>
              </w:tc>
              <w:tc>
                <w:tcPr>
                  <w:tcW w:w="1240" w:type="pct"/>
                  <w:vAlign w:val="center"/>
                </w:tcPr>
                <w:p w14:paraId="3EECA770">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b/>
                      <w:bCs/>
                      <w:color w:val="auto"/>
                      <w:sz w:val="21"/>
                      <w:szCs w:val="21"/>
                    </w:rPr>
                    <w:t>设备名称</w:t>
                  </w:r>
                </w:p>
              </w:tc>
              <w:tc>
                <w:tcPr>
                  <w:tcW w:w="1204" w:type="pct"/>
                  <w:vAlign w:val="center"/>
                </w:tcPr>
                <w:p w14:paraId="0095F9EC">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b/>
                      <w:bCs/>
                      <w:color w:val="auto"/>
                      <w:sz w:val="21"/>
                      <w:szCs w:val="21"/>
                    </w:rPr>
                    <w:t>规型格号</w:t>
                  </w:r>
                </w:p>
              </w:tc>
              <w:tc>
                <w:tcPr>
                  <w:tcW w:w="1100" w:type="pct"/>
                  <w:vAlign w:val="center"/>
                </w:tcPr>
                <w:p w14:paraId="2DD8D426">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b/>
                      <w:bCs/>
                      <w:color w:val="auto"/>
                      <w:sz w:val="21"/>
                      <w:szCs w:val="21"/>
                    </w:rPr>
                    <w:t>数量（台/套）</w:t>
                  </w:r>
                </w:p>
              </w:tc>
              <w:tc>
                <w:tcPr>
                  <w:tcW w:w="926" w:type="pct"/>
                  <w:vAlign w:val="center"/>
                </w:tcPr>
                <w:p w14:paraId="7416EAE2">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rFonts w:hint="eastAsia"/>
                      <w:b/>
                      <w:bCs/>
                      <w:color w:val="auto"/>
                      <w:sz w:val="21"/>
                      <w:szCs w:val="21"/>
                    </w:rPr>
                    <w:t>工序</w:t>
                  </w:r>
                </w:p>
              </w:tc>
            </w:tr>
            <w:tr w14:paraId="1217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vAlign w:val="center"/>
                </w:tcPr>
                <w:p w14:paraId="67B23D71">
                  <w:pPr>
                    <w:pageBreakBefore w:val="0"/>
                    <w:kinsoku/>
                    <w:wordWrap/>
                    <w:overflowPunct/>
                    <w:topLinePunct w:val="0"/>
                    <w:autoSpaceDE/>
                    <w:autoSpaceDN/>
                    <w:bidi w:val="0"/>
                    <w:adjustRightInd/>
                    <w:snapToGrid/>
                    <w:ind w:left="0" w:leftChars="0" w:right="0" w:rightChars="0"/>
                    <w:jc w:val="center"/>
                    <w:rPr>
                      <w:rFonts w:hint="eastAsia"/>
                      <w:color w:val="auto"/>
                      <w:sz w:val="21"/>
                      <w:szCs w:val="21"/>
                    </w:rPr>
                  </w:pPr>
                  <w:r>
                    <w:rPr>
                      <w:rFonts w:hint="eastAsia"/>
                      <w:color w:val="auto"/>
                      <w:sz w:val="21"/>
                      <w:szCs w:val="21"/>
                    </w:rPr>
                    <w:t>1</w:t>
                  </w:r>
                </w:p>
              </w:tc>
              <w:tc>
                <w:tcPr>
                  <w:tcW w:w="1240" w:type="pct"/>
                  <w:vAlign w:val="center"/>
                </w:tcPr>
                <w:p w14:paraId="2F3A6CD1">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锯竹机</w:t>
                  </w:r>
                </w:p>
              </w:tc>
              <w:tc>
                <w:tcPr>
                  <w:tcW w:w="1204" w:type="pct"/>
                  <w:vAlign w:val="center"/>
                </w:tcPr>
                <w:p w14:paraId="0330EEC1">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w:t>
                  </w:r>
                </w:p>
              </w:tc>
              <w:tc>
                <w:tcPr>
                  <w:tcW w:w="1100" w:type="pct"/>
                  <w:vAlign w:val="center"/>
                </w:tcPr>
                <w:p w14:paraId="79177CDE">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5</w:t>
                  </w:r>
                </w:p>
              </w:tc>
              <w:tc>
                <w:tcPr>
                  <w:tcW w:w="926" w:type="pct"/>
                  <w:vAlign w:val="center"/>
                </w:tcPr>
                <w:p w14:paraId="53ECC20B">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裁断</w:t>
                  </w:r>
                </w:p>
              </w:tc>
            </w:tr>
            <w:tr w14:paraId="3318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vAlign w:val="center"/>
                </w:tcPr>
                <w:p w14:paraId="3CDA1F43">
                  <w:pPr>
                    <w:pageBreakBefore w:val="0"/>
                    <w:kinsoku/>
                    <w:wordWrap/>
                    <w:overflowPunct/>
                    <w:topLinePunct w:val="0"/>
                    <w:autoSpaceDE/>
                    <w:autoSpaceDN/>
                    <w:bidi w:val="0"/>
                    <w:adjustRightInd/>
                    <w:snapToGrid/>
                    <w:ind w:left="0" w:leftChars="0" w:right="0" w:rightChars="0"/>
                    <w:jc w:val="center"/>
                    <w:rPr>
                      <w:rFonts w:hint="eastAsia"/>
                      <w:color w:val="auto"/>
                      <w:sz w:val="21"/>
                      <w:szCs w:val="21"/>
                    </w:rPr>
                  </w:pPr>
                  <w:r>
                    <w:rPr>
                      <w:rFonts w:hint="eastAsia"/>
                      <w:color w:val="auto"/>
                      <w:sz w:val="21"/>
                      <w:szCs w:val="21"/>
                    </w:rPr>
                    <w:t>2</w:t>
                  </w:r>
                </w:p>
              </w:tc>
              <w:tc>
                <w:tcPr>
                  <w:tcW w:w="1240" w:type="pct"/>
                  <w:vAlign w:val="center"/>
                </w:tcPr>
                <w:p w14:paraId="1582037E">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开片机</w:t>
                  </w:r>
                </w:p>
              </w:tc>
              <w:tc>
                <w:tcPr>
                  <w:tcW w:w="1204" w:type="pct"/>
                  <w:vAlign w:val="center"/>
                </w:tcPr>
                <w:p w14:paraId="7C8E699A">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w:t>
                  </w:r>
                </w:p>
              </w:tc>
              <w:tc>
                <w:tcPr>
                  <w:tcW w:w="1100" w:type="pct"/>
                  <w:vAlign w:val="center"/>
                </w:tcPr>
                <w:p w14:paraId="53F5D15F">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5</w:t>
                  </w:r>
                </w:p>
              </w:tc>
              <w:tc>
                <w:tcPr>
                  <w:tcW w:w="926" w:type="pct"/>
                  <w:vAlign w:val="center"/>
                </w:tcPr>
                <w:p w14:paraId="2BD84711">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开片</w:t>
                  </w:r>
                </w:p>
              </w:tc>
            </w:tr>
            <w:tr w14:paraId="4CB6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vAlign w:val="center"/>
                </w:tcPr>
                <w:p w14:paraId="05708DEA">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lang w:val="en-US" w:eastAsia="zh-CN"/>
                    </w:rPr>
                    <w:t>3</w:t>
                  </w:r>
                </w:p>
              </w:tc>
              <w:tc>
                <w:tcPr>
                  <w:tcW w:w="1240" w:type="pct"/>
                  <w:vAlign w:val="center"/>
                </w:tcPr>
                <w:p w14:paraId="4E06379C">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 xml:space="preserve">重竹材疏解机 </w:t>
                  </w:r>
                </w:p>
              </w:tc>
              <w:tc>
                <w:tcPr>
                  <w:tcW w:w="1204" w:type="pct"/>
                  <w:vAlign w:val="center"/>
                </w:tcPr>
                <w:p w14:paraId="6A45160F">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w:t>
                  </w:r>
                </w:p>
              </w:tc>
              <w:tc>
                <w:tcPr>
                  <w:tcW w:w="1100" w:type="pct"/>
                  <w:vAlign w:val="center"/>
                </w:tcPr>
                <w:p w14:paraId="16745394">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5</w:t>
                  </w:r>
                </w:p>
              </w:tc>
              <w:tc>
                <w:tcPr>
                  <w:tcW w:w="926" w:type="pct"/>
                  <w:vAlign w:val="center"/>
                </w:tcPr>
                <w:p w14:paraId="5DEBFD7D">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破条</w:t>
                  </w:r>
                </w:p>
              </w:tc>
            </w:tr>
            <w:tr w14:paraId="5FFB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shd w:val="clear" w:color="auto" w:fill="auto"/>
                  <w:vAlign w:val="center"/>
                </w:tcPr>
                <w:p w14:paraId="31F8E27F">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1240" w:type="pct"/>
                  <w:shd w:val="clear" w:color="auto" w:fill="auto"/>
                  <w:vAlign w:val="center"/>
                </w:tcPr>
                <w:p w14:paraId="610EEC8F">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拉丝机</w:t>
                  </w:r>
                </w:p>
              </w:tc>
              <w:tc>
                <w:tcPr>
                  <w:tcW w:w="1204" w:type="pct"/>
                  <w:shd w:val="clear" w:color="auto" w:fill="auto"/>
                  <w:vAlign w:val="center"/>
                </w:tcPr>
                <w:p w14:paraId="3A7C6449">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100" w:type="pct"/>
                  <w:shd w:val="clear" w:color="auto" w:fill="auto"/>
                  <w:vAlign w:val="center"/>
                </w:tcPr>
                <w:p w14:paraId="29BD9E4C">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w:t>
                  </w:r>
                </w:p>
              </w:tc>
              <w:tc>
                <w:tcPr>
                  <w:tcW w:w="926" w:type="pct"/>
                  <w:shd w:val="clear" w:color="auto" w:fill="auto"/>
                  <w:vAlign w:val="center"/>
                </w:tcPr>
                <w:p w14:paraId="7411308F">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拉丝</w:t>
                  </w:r>
                </w:p>
              </w:tc>
            </w:tr>
            <w:tr w14:paraId="6EE9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shd w:val="clear" w:color="auto" w:fill="auto"/>
                  <w:vAlign w:val="center"/>
                </w:tcPr>
                <w:p w14:paraId="0A6E04A0">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1240" w:type="pct"/>
                  <w:shd w:val="clear" w:color="auto" w:fill="auto"/>
                  <w:vAlign w:val="center"/>
                </w:tcPr>
                <w:p w14:paraId="328A4310">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自动大剖机</w:t>
                  </w:r>
                </w:p>
              </w:tc>
              <w:tc>
                <w:tcPr>
                  <w:tcW w:w="1204" w:type="pct"/>
                  <w:shd w:val="clear" w:color="auto" w:fill="auto"/>
                  <w:vAlign w:val="center"/>
                </w:tcPr>
                <w:p w14:paraId="1BCAB548">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w:t>
                  </w:r>
                </w:p>
              </w:tc>
              <w:tc>
                <w:tcPr>
                  <w:tcW w:w="1100" w:type="pct"/>
                  <w:shd w:val="clear" w:color="auto" w:fill="auto"/>
                  <w:vAlign w:val="center"/>
                </w:tcPr>
                <w:p w14:paraId="2B9FA736">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2</w:t>
                  </w:r>
                </w:p>
              </w:tc>
              <w:tc>
                <w:tcPr>
                  <w:tcW w:w="926" w:type="pct"/>
                  <w:shd w:val="clear" w:color="auto" w:fill="auto"/>
                  <w:vAlign w:val="center"/>
                </w:tcPr>
                <w:p w14:paraId="7BAFD601">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破条</w:t>
                  </w:r>
                </w:p>
              </w:tc>
            </w:tr>
            <w:tr w14:paraId="3424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shd w:val="clear" w:color="auto" w:fill="auto"/>
                  <w:vAlign w:val="center"/>
                </w:tcPr>
                <w:p w14:paraId="76FA70DC">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w:t>
                  </w:r>
                </w:p>
              </w:tc>
              <w:tc>
                <w:tcPr>
                  <w:tcW w:w="1240" w:type="pct"/>
                  <w:shd w:val="clear" w:color="auto" w:fill="auto"/>
                  <w:vAlign w:val="center"/>
                </w:tcPr>
                <w:p w14:paraId="727D4FF9">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手动大剖机</w:t>
                  </w:r>
                </w:p>
              </w:tc>
              <w:tc>
                <w:tcPr>
                  <w:tcW w:w="1204" w:type="pct"/>
                  <w:shd w:val="clear" w:color="auto" w:fill="auto"/>
                  <w:vAlign w:val="center"/>
                </w:tcPr>
                <w:p w14:paraId="00EB4AFE">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w:t>
                  </w:r>
                </w:p>
              </w:tc>
              <w:tc>
                <w:tcPr>
                  <w:tcW w:w="1100" w:type="pct"/>
                  <w:shd w:val="clear" w:color="auto" w:fill="auto"/>
                  <w:vAlign w:val="center"/>
                </w:tcPr>
                <w:p w14:paraId="07A9B79D">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4</w:t>
                  </w:r>
                </w:p>
              </w:tc>
              <w:tc>
                <w:tcPr>
                  <w:tcW w:w="926" w:type="pct"/>
                  <w:shd w:val="clear" w:color="auto" w:fill="auto"/>
                  <w:vAlign w:val="center"/>
                </w:tcPr>
                <w:p w14:paraId="25A09598">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破条</w:t>
                  </w:r>
                </w:p>
              </w:tc>
            </w:tr>
            <w:tr w14:paraId="0269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shd w:val="clear" w:color="auto" w:fill="auto"/>
                  <w:vAlign w:val="center"/>
                </w:tcPr>
                <w:p w14:paraId="24A5CECD">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w:t>
                  </w:r>
                </w:p>
              </w:tc>
              <w:tc>
                <w:tcPr>
                  <w:tcW w:w="1240" w:type="pct"/>
                  <w:shd w:val="clear" w:color="auto" w:fill="auto"/>
                  <w:vAlign w:val="center"/>
                </w:tcPr>
                <w:p w14:paraId="30D02559">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分片机</w:t>
                  </w:r>
                </w:p>
              </w:tc>
              <w:tc>
                <w:tcPr>
                  <w:tcW w:w="1204" w:type="pct"/>
                  <w:shd w:val="clear" w:color="auto" w:fill="auto"/>
                  <w:vAlign w:val="center"/>
                </w:tcPr>
                <w:p w14:paraId="5D627513">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w:t>
                  </w:r>
                </w:p>
              </w:tc>
              <w:tc>
                <w:tcPr>
                  <w:tcW w:w="1100" w:type="pct"/>
                  <w:shd w:val="clear" w:color="auto" w:fill="auto"/>
                  <w:vAlign w:val="center"/>
                </w:tcPr>
                <w:p w14:paraId="3D46D725">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4</w:t>
                  </w:r>
                </w:p>
              </w:tc>
              <w:tc>
                <w:tcPr>
                  <w:tcW w:w="926" w:type="pct"/>
                  <w:shd w:val="clear" w:color="auto" w:fill="auto"/>
                  <w:vAlign w:val="center"/>
                </w:tcPr>
                <w:p w14:paraId="1562AB30">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分片</w:t>
                  </w:r>
                </w:p>
              </w:tc>
            </w:tr>
            <w:tr w14:paraId="3EDF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shd w:val="clear" w:color="auto" w:fill="auto"/>
                  <w:vAlign w:val="center"/>
                </w:tcPr>
                <w:p w14:paraId="407D7A7E">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w:t>
                  </w:r>
                </w:p>
              </w:tc>
              <w:tc>
                <w:tcPr>
                  <w:tcW w:w="1240" w:type="pct"/>
                  <w:shd w:val="clear" w:color="auto" w:fill="auto"/>
                  <w:vAlign w:val="center"/>
                </w:tcPr>
                <w:p w14:paraId="5405161F">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双层编帘机</w:t>
                  </w:r>
                </w:p>
              </w:tc>
              <w:tc>
                <w:tcPr>
                  <w:tcW w:w="1204" w:type="pct"/>
                  <w:shd w:val="clear" w:color="auto" w:fill="auto"/>
                  <w:vAlign w:val="center"/>
                </w:tcPr>
                <w:p w14:paraId="463531DB">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w:t>
                  </w:r>
                </w:p>
              </w:tc>
              <w:tc>
                <w:tcPr>
                  <w:tcW w:w="1100" w:type="pct"/>
                  <w:shd w:val="clear" w:color="auto" w:fill="auto"/>
                  <w:vAlign w:val="center"/>
                </w:tcPr>
                <w:p w14:paraId="60C4926A">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20</w:t>
                  </w:r>
                </w:p>
              </w:tc>
              <w:tc>
                <w:tcPr>
                  <w:tcW w:w="926" w:type="pct"/>
                  <w:shd w:val="clear" w:color="auto" w:fill="auto"/>
                  <w:vAlign w:val="center"/>
                </w:tcPr>
                <w:p w14:paraId="23A89497">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编帘</w:t>
                  </w:r>
                </w:p>
              </w:tc>
            </w:tr>
            <w:tr w14:paraId="7301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shd w:val="clear" w:color="auto" w:fill="auto"/>
                  <w:vAlign w:val="center"/>
                </w:tcPr>
                <w:p w14:paraId="7DC4FF01">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w:t>
                  </w:r>
                </w:p>
              </w:tc>
              <w:tc>
                <w:tcPr>
                  <w:tcW w:w="1240" w:type="pct"/>
                  <w:shd w:val="clear" w:color="auto" w:fill="auto"/>
                  <w:vAlign w:val="center"/>
                </w:tcPr>
                <w:p w14:paraId="28B51409">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蒸汽锅炉</w:t>
                  </w:r>
                </w:p>
              </w:tc>
              <w:tc>
                <w:tcPr>
                  <w:tcW w:w="1204" w:type="pct"/>
                  <w:shd w:val="clear" w:color="auto" w:fill="auto"/>
                  <w:vAlign w:val="center"/>
                </w:tcPr>
                <w:p w14:paraId="4712E02D">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4t/h</w:t>
                  </w:r>
                </w:p>
              </w:tc>
              <w:tc>
                <w:tcPr>
                  <w:tcW w:w="1100" w:type="pct"/>
                  <w:shd w:val="clear" w:color="auto" w:fill="auto"/>
                  <w:vAlign w:val="center"/>
                </w:tcPr>
                <w:p w14:paraId="03144BDB">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1</w:t>
                  </w:r>
                </w:p>
              </w:tc>
              <w:tc>
                <w:tcPr>
                  <w:tcW w:w="926" w:type="pct"/>
                  <w:shd w:val="clear" w:color="auto" w:fill="auto"/>
                  <w:vAlign w:val="center"/>
                </w:tcPr>
                <w:p w14:paraId="18691455">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烘干</w:t>
                  </w:r>
                </w:p>
              </w:tc>
            </w:tr>
            <w:tr w14:paraId="4D6E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27" w:type="pct"/>
                  <w:shd w:val="clear" w:color="auto" w:fill="auto"/>
                  <w:vAlign w:val="center"/>
                </w:tcPr>
                <w:p w14:paraId="7DA26163">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240" w:type="pct"/>
                  <w:vAlign w:val="center"/>
                </w:tcPr>
                <w:p w14:paraId="1458222F">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烘干房</w:t>
                  </w:r>
                </w:p>
              </w:tc>
              <w:tc>
                <w:tcPr>
                  <w:tcW w:w="1204" w:type="pct"/>
                  <w:vAlign w:val="center"/>
                </w:tcPr>
                <w:p w14:paraId="312906F7">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5m×3m×3m</w:t>
                  </w:r>
                </w:p>
              </w:tc>
              <w:tc>
                <w:tcPr>
                  <w:tcW w:w="1100" w:type="pct"/>
                  <w:vAlign w:val="center"/>
                </w:tcPr>
                <w:p w14:paraId="22019D4A">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lang w:val="en-US" w:eastAsia="zh-CN"/>
                    </w:rPr>
                    <w:t>8</w:t>
                  </w:r>
                </w:p>
              </w:tc>
              <w:tc>
                <w:tcPr>
                  <w:tcW w:w="926" w:type="pct"/>
                  <w:vMerge w:val="restart"/>
                  <w:vAlign w:val="center"/>
                </w:tcPr>
                <w:p w14:paraId="6578FCC9">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lang w:val="en-US" w:eastAsia="zh-CN"/>
                    </w:rPr>
                    <w:t>烘干</w:t>
                  </w:r>
                </w:p>
              </w:tc>
            </w:tr>
            <w:tr w14:paraId="6115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27" w:type="pct"/>
                  <w:shd w:val="clear" w:color="auto" w:fill="auto"/>
                  <w:vAlign w:val="center"/>
                </w:tcPr>
                <w:p w14:paraId="19BDDB1F">
                  <w:pPr>
                    <w:pageBreakBefore w:val="0"/>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240" w:type="pct"/>
                  <w:vAlign w:val="center"/>
                </w:tcPr>
                <w:p w14:paraId="51451FCA">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lang w:eastAsia="zh-CN"/>
                    </w:rPr>
                    <w:t>竹片软化设施</w:t>
                  </w:r>
                </w:p>
              </w:tc>
              <w:tc>
                <w:tcPr>
                  <w:tcW w:w="1204" w:type="pct"/>
                  <w:vAlign w:val="center"/>
                </w:tcPr>
                <w:p w14:paraId="1ED413A4">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5m×3m</w:t>
                  </w:r>
                </w:p>
              </w:tc>
              <w:tc>
                <w:tcPr>
                  <w:tcW w:w="1100" w:type="pct"/>
                  <w:vAlign w:val="center"/>
                </w:tcPr>
                <w:p w14:paraId="55CA7616">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1</w:t>
                  </w:r>
                </w:p>
              </w:tc>
              <w:tc>
                <w:tcPr>
                  <w:tcW w:w="926" w:type="pct"/>
                  <w:vMerge w:val="continue"/>
                  <w:vAlign w:val="center"/>
                </w:tcPr>
                <w:p w14:paraId="76D3FFCB">
                  <w:pPr>
                    <w:pageBreakBefore w:val="0"/>
                    <w:kinsoku/>
                    <w:wordWrap/>
                    <w:overflowPunct/>
                    <w:topLinePunct w:val="0"/>
                    <w:autoSpaceDE/>
                    <w:autoSpaceDN/>
                    <w:bidi w:val="0"/>
                    <w:adjustRightInd/>
                    <w:snapToGrid/>
                    <w:ind w:left="0" w:leftChars="0" w:right="0" w:rightChars="0"/>
                    <w:jc w:val="center"/>
                    <w:rPr>
                      <w:rFonts w:hint="eastAsia"/>
                      <w:color w:val="auto"/>
                      <w:sz w:val="21"/>
                      <w:szCs w:val="21"/>
                    </w:rPr>
                  </w:pPr>
                </w:p>
              </w:tc>
            </w:tr>
            <w:tr w14:paraId="2856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vAlign w:val="center"/>
                </w:tcPr>
                <w:p w14:paraId="2342C595">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12</w:t>
                  </w:r>
                </w:p>
              </w:tc>
              <w:tc>
                <w:tcPr>
                  <w:tcW w:w="1240" w:type="pct"/>
                  <w:vAlign w:val="center"/>
                </w:tcPr>
                <w:p w14:paraId="09BF4A32">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叉车</w:t>
                  </w:r>
                </w:p>
              </w:tc>
              <w:tc>
                <w:tcPr>
                  <w:tcW w:w="1204" w:type="pct"/>
                  <w:vAlign w:val="center"/>
                </w:tcPr>
                <w:p w14:paraId="5A27D164">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2t/h</w:t>
                  </w:r>
                </w:p>
              </w:tc>
              <w:tc>
                <w:tcPr>
                  <w:tcW w:w="1100" w:type="pct"/>
                  <w:vAlign w:val="center"/>
                </w:tcPr>
                <w:p w14:paraId="7863A16E">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3</w:t>
                  </w:r>
                </w:p>
              </w:tc>
              <w:tc>
                <w:tcPr>
                  <w:tcW w:w="926" w:type="pct"/>
                  <w:vAlign w:val="center"/>
                </w:tcPr>
                <w:p w14:paraId="12289599">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w:t>
                  </w:r>
                </w:p>
              </w:tc>
            </w:tr>
            <w:tr w14:paraId="0209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vAlign w:val="center"/>
                </w:tcPr>
                <w:p w14:paraId="14A3AC9D">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13</w:t>
                  </w:r>
                </w:p>
              </w:tc>
              <w:tc>
                <w:tcPr>
                  <w:tcW w:w="1240" w:type="pct"/>
                  <w:vAlign w:val="center"/>
                </w:tcPr>
                <w:p w14:paraId="43C68FDC">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地磅</w:t>
                  </w:r>
                </w:p>
              </w:tc>
              <w:tc>
                <w:tcPr>
                  <w:tcW w:w="1204" w:type="pct"/>
                  <w:vAlign w:val="center"/>
                </w:tcPr>
                <w:p w14:paraId="3D55DFE4">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w:t>
                  </w:r>
                </w:p>
              </w:tc>
              <w:tc>
                <w:tcPr>
                  <w:tcW w:w="1100" w:type="pct"/>
                  <w:vAlign w:val="center"/>
                </w:tcPr>
                <w:p w14:paraId="4C1F3B33">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1</w:t>
                  </w:r>
                </w:p>
              </w:tc>
              <w:tc>
                <w:tcPr>
                  <w:tcW w:w="926" w:type="pct"/>
                  <w:vAlign w:val="center"/>
                </w:tcPr>
                <w:p w14:paraId="07DC203B">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w:t>
                  </w:r>
                </w:p>
              </w:tc>
            </w:tr>
            <w:tr w14:paraId="293C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000" w:type="pct"/>
                  <w:gridSpan w:val="5"/>
                  <w:vAlign w:val="center"/>
                </w:tcPr>
                <w:p w14:paraId="3F3CA98F">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环保设施</w:t>
                  </w:r>
                </w:p>
              </w:tc>
            </w:tr>
            <w:tr w14:paraId="2A4B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vAlign w:val="center"/>
                </w:tcPr>
                <w:p w14:paraId="01AA514D">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14</w:t>
                  </w:r>
                </w:p>
              </w:tc>
              <w:tc>
                <w:tcPr>
                  <w:tcW w:w="1240" w:type="pct"/>
                  <w:vAlign w:val="center"/>
                </w:tcPr>
                <w:p w14:paraId="5738D94F">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布袋除尘器</w:t>
                  </w:r>
                </w:p>
              </w:tc>
              <w:tc>
                <w:tcPr>
                  <w:tcW w:w="1204" w:type="pct"/>
                  <w:vAlign w:val="center"/>
                </w:tcPr>
                <w:p w14:paraId="36DEDA28">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w:t>
                  </w:r>
                </w:p>
              </w:tc>
              <w:tc>
                <w:tcPr>
                  <w:tcW w:w="1100" w:type="pct"/>
                  <w:vAlign w:val="center"/>
                </w:tcPr>
                <w:p w14:paraId="2220E1C3">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1</w:t>
                  </w:r>
                </w:p>
              </w:tc>
              <w:tc>
                <w:tcPr>
                  <w:tcW w:w="926" w:type="pct"/>
                  <w:vAlign w:val="center"/>
                </w:tcPr>
                <w:p w14:paraId="71EB2665">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废气处理</w:t>
                  </w:r>
                </w:p>
              </w:tc>
            </w:tr>
            <w:tr w14:paraId="7BD0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vAlign w:val="center"/>
                </w:tcPr>
                <w:p w14:paraId="3FB78C0B">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15</w:t>
                  </w:r>
                </w:p>
              </w:tc>
              <w:tc>
                <w:tcPr>
                  <w:tcW w:w="1240" w:type="pct"/>
                  <w:vAlign w:val="center"/>
                </w:tcPr>
                <w:p w14:paraId="1C136049">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风机</w:t>
                  </w:r>
                </w:p>
              </w:tc>
              <w:tc>
                <w:tcPr>
                  <w:tcW w:w="1204" w:type="pct"/>
                  <w:vAlign w:val="center"/>
                </w:tcPr>
                <w:p w14:paraId="5CDF3168">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5000m</w:t>
                  </w:r>
                  <w:r>
                    <w:rPr>
                      <w:rFonts w:hint="eastAsia"/>
                      <w:color w:val="auto"/>
                      <w:sz w:val="21"/>
                      <w:szCs w:val="21"/>
                      <w:vertAlign w:val="superscript"/>
                      <w:lang w:val="en-US" w:eastAsia="zh-CN"/>
                    </w:rPr>
                    <w:t>3</w:t>
                  </w:r>
                </w:p>
              </w:tc>
              <w:tc>
                <w:tcPr>
                  <w:tcW w:w="1100" w:type="pct"/>
                  <w:vAlign w:val="center"/>
                </w:tcPr>
                <w:p w14:paraId="47187393">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1</w:t>
                  </w:r>
                </w:p>
              </w:tc>
              <w:tc>
                <w:tcPr>
                  <w:tcW w:w="926" w:type="pct"/>
                  <w:vAlign w:val="center"/>
                </w:tcPr>
                <w:p w14:paraId="301531DA">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废气处理</w:t>
                  </w:r>
                </w:p>
              </w:tc>
            </w:tr>
            <w:tr w14:paraId="54D6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7" w:type="pct"/>
                  <w:vAlign w:val="center"/>
                </w:tcPr>
                <w:p w14:paraId="2DABCA12">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16</w:t>
                  </w:r>
                </w:p>
              </w:tc>
              <w:tc>
                <w:tcPr>
                  <w:tcW w:w="1240" w:type="pct"/>
                  <w:vAlign w:val="center"/>
                </w:tcPr>
                <w:p w14:paraId="64A9934A">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脱硝脱硫设施</w:t>
                  </w:r>
                </w:p>
              </w:tc>
              <w:tc>
                <w:tcPr>
                  <w:tcW w:w="1204" w:type="pct"/>
                  <w:vAlign w:val="center"/>
                </w:tcPr>
                <w:p w14:paraId="4C579E0D">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w:t>
                  </w:r>
                </w:p>
              </w:tc>
              <w:tc>
                <w:tcPr>
                  <w:tcW w:w="1100" w:type="pct"/>
                  <w:vAlign w:val="center"/>
                </w:tcPr>
                <w:p w14:paraId="6BB4461D">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1</w:t>
                  </w:r>
                </w:p>
              </w:tc>
              <w:tc>
                <w:tcPr>
                  <w:tcW w:w="926" w:type="pct"/>
                  <w:vAlign w:val="center"/>
                </w:tcPr>
                <w:p w14:paraId="35CD007F">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废气处理</w:t>
                  </w:r>
                </w:p>
              </w:tc>
            </w:tr>
          </w:tbl>
          <w:p w14:paraId="1C43A7FD">
            <w:pPr>
              <w:pageBreakBefore w:val="0"/>
              <w:kinsoku/>
              <w:wordWrap/>
              <w:overflowPunct/>
              <w:topLinePunct w:val="0"/>
              <w:autoSpaceDE/>
              <w:autoSpaceDN/>
              <w:bidi w:val="0"/>
              <w:adjustRightInd/>
              <w:snapToGrid/>
              <w:spacing w:line="360" w:lineRule="auto"/>
              <w:ind w:left="0" w:leftChars="0" w:right="0" w:rightChars="0" w:firstLine="482" w:firstLineChars="200"/>
              <w:rPr>
                <w:b/>
                <w:color w:val="auto"/>
                <w:sz w:val="24"/>
                <w:szCs w:val="32"/>
              </w:rPr>
            </w:pPr>
            <w:r>
              <w:rPr>
                <w:rFonts w:hint="eastAsia"/>
                <w:b/>
                <w:color w:val="auto"/>
                <w:sz w:val="24"/>
                <w:szCs w:val="32"/>
              </w:rPr>
              <w:t>5</w:t>
            </w:r>
            <w:r>
              <w:rPr>
                <w:b/>
                <w:color w:val="auto"/>
                <w:sz w:val="24"/>
                <w:szCs w:val="32"/>
              </w:rPr>
              <w:t>、主要原辅材料</w:t>
            </w:r>
          </w:p>
          <w:p w14:paraId="1A350FAB">
            <w:pPr>
              <w:pageBreakBefore w:val="0"/>
              <w:kinsoku/>
              <w:wordWrap/>
              <w:overflowPunct/>
              <w:topLinePunct w:val="0"/>
              <w:autoSpaceDE/>
              <w:autoSpaceDN/>
              <w:bidi w:val="0"/>
              <w:adjustRightInd/>
              <w:snapToGrid/>
              <w:spacing w:line="360" w:lineRule="auto"/>
              <w:ind w:left="0" w:leftChars="0" w:right="0" w:rightChars="0" w:firstLine="480" w:firstLineChars="200"/>
              <w:rPr>
                <w:b/>
                <w:color w:val="auto"/>
                <w:sz w:val="24"/>
              </w:rPr>
            </w:pPr>
            <w:r>
              <w:rPr>
                <w:color w:val="auto"/>
                <w:sz w:val="24"/>
                <w:szCs w:val="32"/>
              </w:rPr>
              <w:t>本项目主要原辅材料消耗情况见下表。</w:t>
            </w:r>
            <w:r>
              <w:rPr>
                <w:b/>
                <w:color w:val="auto"/>
                <w:sz w:val="24"/>
              </w:rPr>
              <w:t xml:space="preserve"> </w:t>
            </w:r>
          </w:p>
          <w:p w14:paraId="22F93437">
            <w:pPr>
              <w:pageBreakBefore w:val="0"/>
              <w:tabs>
                <w:tab w:val="left" w:pos="3255"/>
              </w:tabs>
              <w:kinsoku/>
              <w:wordWrap/>
              <w:overflowPunct/>
              <w:topLinePunct w:val="0"/>
              <w:autoSpaceDE/>
              <w:autoSpaceDN/>
              <w:bidi w:val="0"/>
              <w:adjustRightInd/>
              <w:snapToGrid/>
              <w:spacing w:line="360" w:lineRule="auto"/>
              <w:ind w:left="0" w:leftChars="0" w:right="0" w:rightChars="0"/>
              <w:jc w:val="center"/>
              <w:rPr>
                <w:b/>
                <w:color w:val="auto"/>
                <w:sz w:val="24"/>
              </w:rPr>
            </w:pPr>
            <w:r>
              <w:rPr>
                <w:b/>
                <w:color w:val="auto"/>
                <w:sz w:val="24"/>
              </w:rPr>
              <w:t>表2-</w:t>
            </w:r>
            <w:r>
              <w:rPr>
                <w:rFonts w:hint="eastAsia"/>
                <w:b/>
                <w:color w:val="auto"/>
                <w:sz w:val="24"/>
                <w:lang w:val="en-US" w:eastAsia="zh-CN"/>
              </w:rPr>
              <w:t>6</w:t>
            </w:r>
            <w:r>
              <w:rPr>
                <w:b/>
                <w:color w:val="auto"/>
                <w:sz w:val="24"/>
              </w:rPr>
              <w:t xml:space="preserve">  项目原辅材料一览表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282"/>
              <w:gridCol w:w="1278"/>
              <w:gridCol w:w="1026"/>
              <w:gridCol w:w="835"/>
              <w:gridCol w:w="959"/>
              <w:gridCol w:w="1423"/>
              <w:gridCol w:w="1093"/>
            </w:tblGrid>
            <w:tr w14:paraId="3957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29" w:type="pct"/>
                  <w:vAlign w:val="center"/>
                </w:tcPr>
                <w:p w14:paraId="1F56C4DF">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color w:val="auto"/>
                      <w:kern w:val="0"/>
                      <w:sz w:val="21"/>
                      <w:szCs w:val="21"/>
                    </w:rPr>
                    <w:t>序号</w:t>
                  </w:r>
                </w:p>
              </w:tc>
              <w:tc>
                <w:tcPr>
                  <w:tcW w:w="758" w:type="pct"/>
                  <w:vAlign w:val="center"/>
                </w:tcPr>
                <w:p w14:paraId="22CC1EAF">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color w:val="auto"/>
                      <w:kern w:val="0"/>
                      <w:sz w:val="21"/>
                      <w:szCs w:val="21"/>
                    </w:rPr>
                    <w:t>名称</w:t>
                  </w:r>
                </w:p>
              </w:tc>
              <w:tc>
                <w:tcPr>
                  <w:tcW w:w="755" w:type="pct"/>
                  <w:vAlign w:val="center"/>
                </w:tcPr>
                <w:p w14:paraId="1B10909D">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color w:val="auto"/>
                      <w:kern w:val="0"/>
                      <w:sz w:val="21"/>
                      <w:szCs w:val="21"/>
                    </w:rPr>
                    <w:t>年耗量</w:t>
                  </w:r>
                </w:p>
              </w:tc>
              <w:tc>
                <w:tcPr>
                  <w:tcW w:w="606" w:type="pct"/>
                  <w:vAlign w:val="center"/>
                </w:tcPr>
                <w:p w14:paraId="33C1DECB">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color w:val="auto"/>
                      <w:kern w:val="0"/>
                      <w:sz w:val="21"/>
                      <w:szCs w:val="21"/>
                    </w:rPr>
                    <w:t>最大储存量</w:t>
                  </w:r>
                </w:p>
              </w:tc>
              <w:tc>
                <w:tcPr>
                  <w:tcW w:w="493" w:type="pct"/>
                  <w:vAlign w:val="center"/>
                </w:tcPr>
                <w:p w14:paraId="404F1D06">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color w:val="auto"/>
                      <w:kern w:val="0"/>
                      <w:sz w:val="21"/>
                      <w:szCs w:val="21"/>
                    </w:rPr>
                    <w:t>储存周期</w:t>
                  </w:r>
                </w:p>
              </w:tc>
              <w:tc>
                <w:tcPr>
                  <w:tcW w:w="567" w:type="pct"/>
                  <w:vAlign w:val="center"/>
                </w:tcPr>
                <w:p w14:paraId="06895838">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rFonts w:hint="eastAsia"/>
                      <w:color w:val="auto"/>
                      <w:kern w:val="0"/>
                      <w:sz w:val="21"/>
                      <w:szCs w:val="21"/>
                    </w:rPr>
                    <w:t>规格</w:t>
                  </w:r>
                </w:p>
              </w:tc>
              <w:tc>
                <w:tcPr>
                  <w:tcW w:w="841" w:type="pct"/>
                  <w:vAlign w:val="center"/>
                </w:tcPr>
                <w:p w14:paraId="11480CFB">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rFonts w:hint="eastAsia"/>
                      <w:color w:val="auto"/>
                      <w:kern w:val="0"/>
                      <w:sz w:val="21"/>
                      <w:szCs w:val="21"/>
                    </w:rPr>
                    <w:t>性状</w:t>
                  </w:r>
                </w:p>
              </w:tc>
              <w:tc>
                <w:tcPr>
                  <w:tcW w:w="646" w:type="pct"/>
                  <w:vAlign w:val="center"/>
                </w:tcPr>
                <w:p w14:paraId="30A40691">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color w:val="auto"/>
                      <w:kern w:val="0"/>
                      <w:sz w:val="21"/>
                      <w:szCs w:val="21"/>
                    </w:rPr>
                    <w:t>存储位置</w:t>
                  </w:r>
                </w:p>
              </w:tc>
            </w:tr>
            <w:tr w14:paraId="5B0A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29" w:type="pct"/>
                  <w:vAlign w:val="center"/>
                </w:tcPr>
                <w:p w14:paraId="372142C6">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color w:val="auto"/>
                      <w:kern w:val="0"/>
                      <w:sz w:val="21"/>
                      <w:szCs w:val="21"/>
                    </w:rPr>
                    <w:t>1</w:t>
                  </w:r>
                </w:p>
              </w:tc>
              <w:tc>
                <w:tcPr>
                  <w:tcW w:w="758" w:type="pct"/>
                  <w:vAlign w:val="center"/>
                </w:tcPr>
                <w:p w14:paraId="717AAF4B">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kern w:val="0"/>
                      <w:sz w:val="21"/>
                      <w:szCs w:val="21"/>
                      <w:lang w:val="en-US" w:eastAsia="zh-CN"/>
                    </w:rPr>
                    <w:t>竹材</w:t>
                  </w:r>
                </w:p>
              </w:tc>
              <w:tc>
                <w:tcPr>
                  <w:tcW w:w="755" w:type="pct"/>
                  <w:vAlign w:val="center"/>
                </w:tcPr>
                <w:p w14:paraId="604CBB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20000t</w:t>
                  </w:r>
                </w:p>
              </w:tc>
              <w:tc>
                <w:tcPr>
                  <w:tcW w:w="606" w:type="pct"/>
                  <w:vAlign w:val="center"/>
                </w:tcPr>
                <w:p w14:paraId="3490C9E7">
                  <w:pPr>
                    <w:pageBreakBefore w:val="0"/>
                    <w:kinsoku/>
                    <w:wordWrap/>
                    <w:overflowPunct/>
                    <w:topLinePunct w:val="0"/>
                    <w:autoSpaceDE/>
                    <w:autoSpaceDN/>
                    <w:bidi w:val="0"/>
                    <w:adjustRightInd/>
                    <w:snapToGrid/>
                    <w:ind w:left="0" w:leftChars="0" w:right="0" w:rightChars="0"/>
                    <w:jc w:val="center"/>
                    <w:rPr>
                      <w:snapToGrid w:val="0"/>
                      <w:color w:val="auto"/>
                      <w:kern w:val="0"/>
                      <w:sz w:val="21"/>
                      <w:szCs w:val="21"/>
                    </w:rPr>
                  </w:pPr>
                  <w:r>
                    <w:rPr>
                      <w:rFonts w:hint="eastAsia"/>
                      <w:snapToGrid w:val="0"/>
                      <w:color w:val="auto"/>
                      <w:kern w:val="0"/>
                      <w:sz w:val="21"/>
                      <w:szCs w:val="21"/>
                      <w:lang w:val="en-US" w:eastAsia="zh-CN"/>
                    </w:rPr>
                    <w:t>200</w:t>
                  </w:r>
                  <w:r>
                    <w:rPr>
                      <w:rFonts w:hint="eastAsia"/>
                      <w:snapToGrid w:val="0"/>
                      <w:color w:val="auto"/>
                      <w:kern w:val="0"/>
                      <w:sz w:val="21"/>
                      <w:szCs w:val="21"/>
                    </w:rPr>
                    <w:t>t</w:t>
                  </w:r>
                </w:p>
              </w:tc>
              <w:tc>
                <w:tcPr>
                  <w:tcW w:w="493" w:type="pct"/>
                  <w:vAlign w:val="center"/>
                </w:tcPr>
                <w:p w14:paraId="23B9A3D3">
                  <w:pPr>
                    <w:pageBreakBefore w:val="0"/>
                    <w:kinsoku/>
                    <w:wordWrap/>
                    <w:overflowPunct/>
                    <w:topLinePunct w:val="0"/>
                    <w:autoSpaceDE/>
                    <w:autoSpaceDN/>
                    <w:bidi w:val="0"/>
                    <w:adjustRightInd/>
                    <w:snapToGrid/>
                    <w:ind w:left="0" w:leftChars="0" w:right="0" w:rightChars="0"/>
                    <w:jc w:val="center"/>
                    <w:rPr>
                      <w:snapToGrid w:val="0"/>
                      <w:color w:val="auto"/>
                      <w:kern w:val="0"/>
                      <w:sz w:val="21"/>
                      <w:szCs w:val="21"/>
                    </w:rPr>
                  </w:pPr>
                  <w:r>
                    <w:rPr>
                      <w:rFonts w:hint="eastAsia"/>
                      <w:snapToGrid w:val="0"/>
                      <w:color w:val="auto"/>
                      <w:kern w:val="0"/>
                      <w:sz w:val="21"/>
                      <w:szCs w:val="21"/>
                      <w:lang w:val="en-US" w:eastAsia="zh-CN"/>
                    </w:rPr>
                    <w:t>3</w:t>
                  </w:r>
                  <w:r>
                    <w:rPr>
                      <w:rFonts w:hint="eastAsia"/>
                      <w:snapToGrid w:val="0"/>
                      <w:color w:val="auto"/>
                      <w:kern w:val="0"/>
                      <w:sz w:val="21"/>
                      <w:szCs w:val="21"/>
                    </w:rPr>
                    <w:t>天</w:t>
                  </w:r>
                </w:p>
              </w:tc>
              <w:tc>
                <w:tcPr>
                  <w:tcW w:w="567" w:type="pct"/>
                  <w:vAlign w:val="center"/>
                </w:tcPr>
                <w:p w14:paraId="552F4E71">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rFonts w:hint="eastAsia"/>
                      <w:color w:val="auto"/>
                      <w:kern w:val="0"/>
                      <w:sz w:val="21"/>
                      <w:szCs w:val="21"/>
                      <w:lang w:val="en-US" w:eastAsia="zh-CN"/>
                    </w:rPr>
                    <w:t>/</w:t>
                  </w:r>
                </w:p>
              </w:tc>
              <w:tc>
                <w:tcPr>
                  <w:tcW w:w="841" w:type="pct"/>
                  <w:vAlign w:val="center"/>
                </w:tcPr>
                <w:p w14:paraId="69CBBAC7">
                  <w:pPr>
                    <w:pageBreakBefore w:val="0"/>
                    <w:widowControl/>
                    <w:kinsoku/>
                    <w:wordWrap/>
                    <w:overflowPunct/>
                    <w:topLinePunct w:val="0"/>
                    <w:autoSpaceDE/>
                    <w:autoSpaceDN/>
                    <w:bidi w:val="0"/>
                    <w:adjustRightInd/>
                    <w:snapToGrid/>
                    <w:ind w:left="0" w:leftChars="0" w:right="0" w:rightChars="0"/>
                    <w:jc w:val="center"/>
                    <w:rPr>
                      <w:rFonts w:hint="eastAsia" w:eastAsia="宋体"/>
                      <w:color w:val="auto"/>
                      <w:kern w:val="0"/>
                      <w:sz w:val="21"/>
                      <w:szCs w:val="21"/>
                      <w:lang w:eastAsia="zh-CN"/>
                    </w:rPr>
                  </w:pPr>
                  <w:r>
                    <w:rPr>
                      <w:rFonts w:hint="eastAsia"/>
                      <w:color w:val="auto"/>
                      <w:kern w:val="0"/>
                      <w:sz w:val="21"/>
                      <w:szCs w:val="21"/>
                    </w:rPr>
                    <w:t>固态，堆放于原材料</w:t>
                  </w:r>
                  <w:r>
                    <w:rPr>
                      <w:rFonts w:hint="eastAsia"/>
                      <w:color w:val="auto"/>
                      <w:kern w:val="0"/>
                      <w:sz w:val="21"/>
                      <w:szCs w:val="21"/>
                      <w:lang w:eastAsia="zh-CN"/>
                    </w:rPr>
                    <w:t>区</w:t>
                  </w:r>
                </w:p>
              </w:tc>
              <w:tc>
                <w:tcPr>
                  <w:tcW w:w="646" w:type="pct"/>
                  <w:vAlign w:val="center"/>
                </w:tcPr>
                <w:p w14:paraId="73817029">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rFonts w:hint="eastAsia"/>
                      <w:color w:val="auto"/>
                      <w:kern w:val="0"/>
                      <w:sz w:val="21"/>
                      <w:szCs w:val="21"/>
                    </w:rPr>
                    <w:t>原料区</w:t>
                  </w:r>
                </w:p>
              </w:tc>
            </w:tr>
            <w:tr w14:paraId="30C0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29" w:type="pct"/>
                  <w:vAlign w:val="center"/>
                </w:tcPr>
                <w:p w14:paraId="13AC4308">
                  <w:pPr>
                    <w:pageBreakBefore w:val="0"/>
                    <w:widowControl/>
                    <w:kinsoku/>
                    <w:wordWrap/>
                    <w:overflowPunct/>
                    <w:topLinePunct w:val="0"/>
                    <w:autoSpaceDE/>
                    <w:autoSpaceDN/>
                    <w:bidi w:val="0"/>
                    <w:adjustRightInd/>
                    <w:snapToGrid/>
                    <w:ind w:left="0" w:leftChars="0" w:right="0" w:rightChars="0"/>
                    <w:jc w:val="center"/>
                    <w:rPr>
                      <w:rFonts w:hint="eastAsia" w:eastAsia="宋体"/>
                      <w:color w:val="auto"/>
                      <w:kern w:val="0"/>
                      <w:sz w:val="21"/>
                      <w:szCs w:val="21"/>
                      <w:lang w:val="en-US" w:eastAsia="zh-CN"/>
                    </w:rPr>
                  </w:pPr>
                  <w:r>
                    <w:rPr>
                      <w:rFonts w:hint="eastAsia"/>
                      <w:color w:val="auto"/>
                      <w:kern w:val="0"/>
                      <w:sz w:val="21"/>
                      <w:szCs w:val="21"/>
                      <w:lang w:val="en-US" w:eastAsia="zh-CN"/>
                    </w:rPr>
                    <w:t>2</w:t>
                  </w:r>
                </w:p>
              </w:tc>
              <w:tc>
                <w:tcPr>
                  <w:tcW w:w="758" w:type="pct"/>
                  <w:vAlign w:val="center"/>
                </w:tcPr>
                <w:p w14:paraId="5D525F8D">
                  <w:pPr>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生物质燃料</w:t>
                  </w:r>
                </w:p>
              </w:tc>
              <w:tc>
                <w:tcPr>
                  <w:tcW w:w="755" w:type="pct"/>
                  <w:vAlign w:val="center"/>
                </w:tcPr>
                <w:p w14:paraId="1CE9DD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2130t</w:t>
                  </w:r>
                </w:p>
              </w:tc>
              <w:tc>
                <w:tcPr>
                  <w:tcW w:w="606" w:type="pct"/>
                  <w:vAlign w:val="center"/>
                </w:tcPr>
                <w:p w14:paraId="2B98A6F3">
                  <w:pPr>
                    <w:pageBreakBefore w:val="0"/>
                    <w:widowControl/>
                    <w:kinsoku/>
                    <w:wordWrap/>
                    <w:overflowPunct/>
                    <w:topLinePunct w:val="0"/>
                    <w:autoSpaceDE/>
                    <w:autoSpaceDN/>
                    <w:bidi w:val="0"/>
                    <w:adjustRightInd/>
                    <w:snapToGrid/>
                    <w:ind w:left="0" w:leftChars="0" w:right="0" w:rightChars="0"/>
                    <w:jc w:val="center"/>
                    <w:rPr>
                      <w:rFonts w:hint="default" w:eastAsia="宋体"/>
                      <w:color w:val="auto"/>
                      <w:kern w:val="0"/>
                      <w:sz w:val="21"/>
                      <w:szCs w:val="21"/>
                      <w:lang w:val="en-US" w:eastAsia="zh-CN"/>
                    </w:rPr>
                  </w:pPr>
                  <w:r>
                    <w:rPr>
                      <w:rFonts w:hint="eastAsia"/>
                      <w:color w:val="auto"/>
                      <w:kern w:val="0"/>
                      <w:sz w:val="21"/>
                      <w:szCs w:val="21"/>
                      <w:lang w:val="en-US" w:eastAsia="zh-CN"/>
                    </w:rPr>
                    <w:t>25t</w:t>
                  </w:r>
                </w:p>
              </w:tc>
              <w:tc>
                <w:tcPr>
                  <w:tcW w:w="493" w:type="pct"/>
                  <w:vAlign w:val="center"/>
                </w:tcPr>
                <w:p w14:paraId="111E54D9">
                  <w:pPr>
                    <w:pageBreakBefore w:val="0"/>
                    <w:widowControl/>
                    <w:kinsoku/>
                    <w:wordWrap/>
                    <w:overflowPunct/>
                    <w:topLinePunct w:val="0"/>
                    <w:autoSpaceDE/>
                    <w:autoSpaceDN/>
                    <w:bidi w:val="0"/>
                    <w:adjustRightInd/>
                    <w:snapToGrid/>
                    <w:ind w:left="0" w:leftChars="0" w:right="0" w:rightChars="0"/>
                    <w:jc w:val="center"/>
                    <w:rPr>
                      <w:color w:val="auto"/>
                      <w:kern w:val="0"/>
                      <w:sz w:val="21"/>
                      <w:szCs w:val="21"/>
                    </w:rPr>
                  </w:pPr>
                  <w:r>
                    <w:rPr>
                      <w:rFonts w:hint="eastAsia"/>
                      <w:snapToGrid w:val="0"/>
                      <w:color w:val="auto"/>
                      <w:kern w:val="0"/>
                      <w:sz w:val="21"/>
                      <w:szCs w:val="21"/>
                      <w:lang w:val="en-US" w:eastAsia="zh-CN"/>
                    </w:rPr>
                    <w:t>3</w:t>
                  </w:r>
                  <w:r>
                    <w:rPr>
                      <w:rFonts w:hint="eastAsia"/>
                      <w:snapToGrid w:val="0"/>
                      <w:color w:val="auto"/>
                      <w:kern w:val="0"/>
                      <w:sz w:val="21"/>
                      <w:szCs w:val="21"/>
                    </w:rPr>
                    <w:t>天</w:t>
                  </w:r>
                </w:p>
              </w:tc>
              <w:tc>
                <w:tcPr>
                  <w:tcW w:w="567" w:type="pct"/>
                  <w:vAlign w:val="center"/>
                </w:tcPr>
                <w:p w14:paraId="422FD890">
                  <w:pPr>
                    <w:pageBreakBefore w:val="0"/>
                    <w:widowControl/>
                    <w:kinsoku/>
                    <w:wordWrap/>
                    <w:overflowPunct/>
                    <w:topLinePunct w:val="0"/>
                    <w:autoSpaceDE/>
                    <w:autoSpaceDN/>
                    <w:bidi w:val="0"/>
                    <w:adjustRightInd/>
                    <w:snapToGrid/>
                    <w:ind w:left="0" w:leftChars="0" w:right="0" w:rightChars="0"/>
                    <w:jc w:val="center"/>
                    <w:rPr>
                      <w:rFonts w:hint="default" w:eastAsia="宋体"/>
                      <w:color w:val="auto"/>
                      <w:kern w:val="0"/>
                      <w:sz w:val="21"/>
                      <w:szCs w:val="21"/>
                      <w:lang w:val="en-US" w:eastAsia="zh-CN"/>
                    </w:rPr>
                  </w:pPr>
                  <w:r>
                    <w:rPr>
                      <w:rFonts w:hint="eastAsia"/>
                      <w:color w:val="auto"/>
                      <w:kern w:val="0"/>
                      <w:sz w:val="21"/>
                      <w:szCs w:val="21"/>
                      <w:lang w:val="en-US" w:eastAsia="zh-CN"/>
                    </w:rPr>
                    <w:t>/</w:t>
                  </w:r>
                </w:p>
              </w:tc>
              <w:tc>
                <w:tcPr>
                  <w:tcW w:w="841" w:type="pct"/>
                  <w:vAlign w:val="center"/>
                </w:tcPr>
                <w:p w14:paraId="0BEC8C90">
                  <w:pPr>
                    <w:pageBreakBefore w:val="0"/>
                    <w:widowControl/>
                    <w:kinsoku/>
                    <w:wordWrap/>
                    <w:overflowPunct/>
                    <w:topLinePunct w:val="0"/>
                    <w:autoSpaceDE/>
                    <w:autoSpaceDN/>
                    <w:bidi w:val="0"/>
                    <w:adjustRightInd/>
                    <w:snapToGrid/>
                    <w:ind w:left="0" w:leftChars="0" w:right="0" w:rightChars="0"/>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固态，堆放于原料</w:t>
                  </w:r>
                  <w:r>
                    <w:rPr>
                      <w:rFonts w:hint="eastAsia"/>
                      <w:color w:val="auto"/>
                      <w:kern w:val="0"/>
                      <w:sz w:val="21"/>
                      <w:szCs w:val="21"/>
                      <w:lang w:eastAsia="zh-CN"/>
                    </w:rPr>
                    <w:t>间</w:t>
                  </w:r>
                </w:p>
              </w:tc>
              <w:tc>
                <w:tcPr>
                  <w:tcW w:w="646" w:type="pct"/>
                  <w:vAlign w:val="center"/>
                </w:tcPr>
                <w:p w14:paraId="5F1EC095">
                  <w:pPr>
                    <w:pageBreakBefore w:val="0"/>
                    <w:widowControl/>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烘干区</w:t>
                  </w:r>
                </w:p>
              </w:tc>
            </w:tr>
            <w:tr w14:paraId="44D3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29" w:type="pct"/>
                  <w:vAlign w:val="center"/>
                </w:tcPr>
                <w:p w14:paraId="013F9113">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3</w:t>
                  </w:r>
                </w:p>
              </w:tc>
              <w:tc>
                <w:tcPr>
                  <w:tcW w:w="758" w:type="pct"/>
                  <w:vAlign w:val="center"/>
                </w:tcPr>
                <w:p w14:paraId="444A05CF">
                  <w:pPr>
                    <w:pageBreakBefore w:val="0"/>
                    <w:kinsoku/>
                    <w:wordWrap/>
                    <w:overflowPunct/>
                    <w:topLinePunct w:val="0"/>
                    <w:autoSpaceDE/>
                    <w:autoSpaceDN/>
                    <w:bidi w:val="0"/>
                    <w:adjustRightInd/>
                    <w:snapToGrid/>
                    <w:ind w:left="0" w:leftChars="0" w:right="0" w:rightChars="0"/>
                    <w:jc w:val="center"/>
                    <w:rPr>
                      <w:rFonts w:hint="default" w:cs="Times New Roman"/>
                      <w:color w:val="auto"/>
                      <w:kern w:val="2"/>
                      <w:sz w:val="21"/>
                      <w:szCs w:val="21"/>
                      <w:lang w:val="en-US" w:eastAsia="zh-CN" w:bidi="ar-SA"/>
                    </w:rPr>
                  </w:pPr>
                  <w:r>
                    <w:rPr>
                      <w:rFonts w:hint="default" w:cs="Times New Roman"/>
                      <w:color w:val="auto"/>
                      <w:kern w:val="2"/>
                      <w:sz w:val="21"/>
                      <w:szCs w:val="21"/>
                      <w:lang w:val="en-US" w:eastAsia="zh-CN" w:bidi="ar-SA"/>
                    </w:rPr>
                    <w:t>氢氧化钙</w:t>
                  </w:r>
                </w:p>
              </w:tc>
              <w:tc>
                <w:tcPr>
                  <w:tcW w:w="755" w:type="pct"/>
                  <w:vAlign w:val="center"/>
                </w:tcPr>
                <w:p w14:paraId="57D02A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0.3t</w:t>
                  </w:r>
                </w:p>
              </w:tc>
              <w:tc>
                <w:tcPr>
                  <w:tcW w:w="606" w:type="pct"/>
                  <w:vAlign w:val="center"/>
                </w:tcPr>
                <w:p w14:paraId="35EA91F0">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0.05t</w:t>
                  </w:r>
                </w:p>
              </w:tc>
              <w:tc>
                <w:tcPr>
                  <w:tcW w:w="493" w:type="pct"/>
                  <w:vAlign w:val="center"/>
                </w:tcPr>
                <w:p w14:paraId="0F1429B2">
                  <w:pPr>
                    <w:pageBreakBefore w:val="0"/>
                    <w:widowControl/>
                    <w:kinsoku/>
                    <w:wordWrap/>
                    <w:overflowPunct/>
                    <w:topLinePunct w:val="0"/>
                    <w:autoSpaceDE/>
                    <w:autoSpaceDN/>
                    <w:bidi w:val="0"/>
                    <w:adjustRightInd/>
                    <w:snapToGrid/>
                    <w:ind w:left="0" w:leftChars="0" w:right="0" w:rightChars="0"/>
                    <w:jc w:val="center"/>
                    <w:rPr>
                      <w:rFonts w:hint="default"/>
                      <w:snapToGrid w:val="0"/>
                      <w:color w:val="auto"/>
                      <w:kern w:val="0"/>
                      <w:sz w:val="21"/>
                      <w:szCs w:val="21"/>
                      <w:lang w:val="en-US" w:eastAsia="zh-CN"/>
                    </w:rPr>
                  </w:pPr>
                  <w:r>
                    <w:rPr>
                      <w:rFonts w:hint="eastAsia"/>
                      <w:snapToGrid w:val="0"/>
                      <w:color w:val="auto"/>
                      <w:kern w:val="0"/>
                      <w:sz w:val="21"/>
                      <w:szCs w:val="21"/>
                      <w:lang w:val="en-US" w:eastAsia="zh-CN"/>
                    </w:rPr>
                    <w:t>/</w:t>
                  </w:r>
                </w:p>
              </w:tc>
              <w:tc>
                <w:tcPr>
                  <w:tcW w:w="567" w:type="pct"/>
                  <w:vAlign w:val="center"/>
                </w:tcPr>
                <w:p w14:paraId="5B32280A">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841" w:type="pct"/>
                  <w:vAlign w:val="center"/>
                </w:tcPr>
                <w:p w14:paraId="2FABBF73">
                  <w:pPr>
                    <w:pageBreakBefore w:val="0"/>
                    <w:widowControl/>
                    <w:kinsoku/>
                    <w:wordWrap/>
                    <w:overflowPunct/>
                    <w:topLinePunct w:val="0"/>
                    <w:autoSpaceDE/>
                    <w:autoSpaceDN/>
                    <w:bidi w:val="0"/>
                    <w:adjustRightInd/>
                    <w:snapToGrid/>
                    <w:ind w:left="0" w:leftChars="0" w:right="0" w:rightChars="0"/>
                    <w:jc w:val="center"/>
                    <w:rPr>
                      <w:rFonts w:hint="eastAsia"/>
                      <w:color w:val="auto"/>
                      <w:kern w:val="0"/>
                      <w:sz w:val="21"/>
                      <w:szCs w:val="21"/>
                    </w:rPr>
                  </w:pPr>
                  <w:r>
                    <w:rPr>
                      <w:rFonts w:hint="eastAsia"/>
                      <w:color w:val="auto"/>
                      <w:kern w:val="0"/>
                      <w:sz w:val="21"/>
                      <w:szCs w:val="21"/>
                    </w:rPr>
                    <w:t>固态，堆放于原料</w:t>
                  </w:r>
                  <w:r>
                    <w:rPr>
                      <w:rFonts w:hint="eastAsia"/>
                      <w:color w:val="auto"/>
                      <w:kern w:val="0"/>
                      <w:sz w:val="21"/>
                      <w:szCs w:val="21"/>
                      <w:lang w:eastAsia="zh-CN"/>
                    </w:rPr>
                    <w:t>间</w:t>
                  </w:r>
                </w:p>
              </w:tc>
              <w:tc>
                <w:tcPr>
                  <w:tcW w:w="646" w:type="pct"/>
                  <w:vAlign w:val="center"/>
                </w:tcPr>
                <w:p w14:paraId="76518699">
                  <w:pPr>
                    <w:pageBreakBefore w:val="0"/>
                    <w:widowControl/>
                    <w:kinsoku/>
                    <w:wordWrap/>
                    <w:overflowPunct/>
                    <w:topLinePunct w:val="0"/>
                    <w:autoSpaceDE/>
                    <w:autoSpaceDN/>
                    <w:bidi w:val="0"/>
                    <w:adjustRightInd/>
                    <w:snapToGrid/>
                    <w:ind w:left="0" w:leftChars="0" w:right="0" w:rightChars="0"/>
                    <w:jc w:val="center"/>
                    <w:rPr>
                      <w:rFonts w:hint="eastAsia"/>
                      <w:color w:val="auto"/>
                      <w:kern w:val="0"/>
                      <w:sz w:val="21"/>
                      <w:szCs w:val="21"/>
                    </w:rPr>
                  </w:pPr>
                  <w:r>
                    <w:rPr>
                      <w:rFonts w:hint="eastAsia"/>
                      <w:color w:val="auto"/>
                      <w:sz w:val="21"/>
                      <w:szCs w:val="21"/>
                      <w:lang w:val="en-US" w:eastAsia="zh-CN"/>
                    </w:rPr>
                    <w:t>化学品库</w:t>
                  </w:r>
                </w:p>
              </w:tc>
            </w:tr>
            <w:tr w14:paraId="08BF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29" w:type="pct"/>
                  <w:vAlign w:val="center"/>
                </w:tcPr>
                <w:p w14:paraId="780F1D85">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4</w:t>
                  </w:r>
                </w:p>
              </w:tc>
              <w:tc>
                <w:tcPr>
                  <w:tcW w:w="758" w:type="pct"/>
                  <w:vAlign w:val="center"/>
                </w:tcPr>
                <w:p w14:paraId="698FCF8E">
                  <w:pPr>
                    <w:pageBreakBefore w:val="0"/>
                    <w:kinsoku/>
                    <w:wordWrap/>
                    <w:overflowPunct/>
                    <w:topLinePunct w:val="0"/>
                    <w:autoSpaceDE/>
                    <w:autoSpaceDN/>
                    <w:bidi w:val="0"/>
                    <w:adjustRightInd/>
                    <w:snapToGrid/>
                    <w:ind w:left="0" w:leftChars="0" w:right="0" w:rightChars="0"/>
                    <w:jc w:val="center"/>
                    <w:rPr>
                      <w:rFonts w:hint="default" w:cs="Times New Roman"/>
                      <w:color w:val="auto"/>
                      <w:kern w:val="2"/>
                      <w:sz w:val="21"/>
                      <w:szCs w:val="21"/>
                      <w:lang w:val="en-US" w:eastAsia="zh-CN" w:bidi="ar-SA"/>
                    </w:rPr>
                  </w:pPr>
                  <w:r>
                    <w:rPr>
                      <w:rFonts w:hint="eastAsia"/>
                      <w:color w:val="auto"/>
                      <w:sz w:val="21"/>
                      <w:szCs w:val="21"/>
                    </w:rPr>
                    <w:t>润滑油</w:t>
                  </w:r>
                </w:p>
              </w:tc>
              <w:tc>
                <w:tcPr>
                  <w:tcW w:w="755" w:type="pct"/>
                  <w:vAlign w:val="center"/>
                </w:tcPr>
                <w:p w14:paraId="2C9288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kern w:val="2"/>
                      <w:sz w:val="21"/>
                      <w:szCs w:val="21"/>
                      <w:lang w:val="en-US" w:eastAsia="zh-CN" w:bidi="ar-SA"/>
                    </w:rPr>
                  </w:pPr>
                  <w:r>
                    <w:rPr>
                      <w:rFonts w:hint="eastAsia"/>
                      <w:color w:val="auto"/>
                      <w:sz w:val="24"/>
                    </w:rPr>
                    <w:t>0.</w:t>
                  </w:r>
                  <w:r>
                    <w:rPr>
                      <w:rFonts w:hint="eastAsia"/>
                      <w:color w:val="auto"/>
                      <w:sz w:val="24"/>
                      <w:lang w:val="en-US" w:eastAsia="zh-CN"/>
                    </w:rPr>
                    <w:t>2</w:t>
                  </w:r>
                  <w:r>
                    <w:rPr>
                      <w:rFonts w:hint="eastAsia"/>
                      <w:color w:val="auto"/>
                      <w:sz w:val="24"/>
                    </w:rPr>
                    <w:t>t</w:t>
                  </w:r>
                </w:p>
              </w:tc>
              <w:tc>
                <w:tcPr>
                  <w:tcW w:w="606" w:type="pct"/>
                  <w:vAlign w:val="center"/>
                </w:tcPr>
                <w:p w14:paraId="3C965C69">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0.05t</w:t>
                  </w:r>
                </w:p>
              </w:tc>
              <w:tc>
                <w:tcPr>
                  <w:tcW w:w="493" w:type="pct"/>
                  <w:vAlign w:val="center"/>
                </w:tcPr>
                <w:p w14:paraId="4AA50E7E">
                  <w:pPr>
                    <w:pageBreakBefore w:val="0"/>
                    <w:widowControl/>
                    <w:kinsoku/>
                    <w:wordWrap/>
                    <w:overflowPunct/>
                    <w:topLinePunct w:val="0"/>
                    <w:autoSpaceDE/>
                    <w:autoSpaceDN/>
                    <w:bidi w:val="0"/>
                    <w:adjustRightInd/>
                    <w:snapToGrid/>
                    <w:ind w:left="0" w:leftChars="0" w:right="0" w:rightChars="0"/>
                    <w:jc w:val="center"/>
                    <w:rPr>
                      <w:rFonts w:hint="default"/>
                      <w:snapToGrid w:val="0"/>
                      <w:color w:val="auto"/>
                      <w:kern w:val="0"/>
                      <w:sz w:val="21"/>
                      <w:szCs w:val="21"/>
                      <w:lang w:val="en-US" w:eastAsia="zh-CN"/>
                    </w:rPr>
                  </w:pPr>
                  <w:r>
                    <w:rPr>
                      <w:rFonts w:hint="eastAsia"/>
                      <w:snapToGrid w:val="0"/>
                      <w:color w:val="auto"/>
                      <w:kern w:val="0"/>
                      <w:sz w:val="21"/>
                      <w:szCs w:val="21"/>
                      <w:lang w:val="en-US" w:eastAsia="zh-CN"/>
                    </w:rPr>
                    <w:t>/</w:t>
                  </w:r>
                </w:p>
              </w:tc>
              <w:tc>
                <w:tcPr>
                  <w:tcW w:w="567" w:type="pct"/>
                  <w:vAlign w:val="center"/>
                </w:tcPr>
                <w:p w14:paraId="2AE4FD38">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default"/>
                      <w:color w:val="auto"/>
                      <w:kern w:val="0"/>
                      <w:sz w:val="21"/>
                      <w:szCs w:val="21"/>
                      <w:lang w:val="en-US" w:eastAsia="zh-CN"/>
                    </w:rPr>
                    <w:t>25kg/桶</w:t>
                  </w:r>
                </w:p>
              </w:tc>
              <w:tc>
                <w:tcPr>
                  <w:tcW w:w="841" w:type="pct"/>
                  <w:vAlign w:val="center"/>
                </w:tcPr>
                <w:p w14:paraId="632D226D">
                  <w:pPr>
                    <w:pageBreakBefore w:val="0"/>
                    <w:widowControl/>
                    <w:kinsoku/>
                    <w:wordWrap/>
                    <w:overflowPunct/>
                    <w:topLinePunct w:val="0"/>
                    <w:autoSpaceDE/>
                    <w:autoSpaceDN/>
                    <w:bidi w:val="0"/>
                    <w:adjustRightInd/>
                    <w:snapToGrid/>
                    <w:ind w:left="0" w:leftChars="0" w:right="0" w:rightChars="0"/>
                    <w:jc w:val="center"/>
                    <w:rPr>
                      <w:rFonts w:hint="eastAsia"/>
                      <w:color w:val="auto"/>
                      <w:kern w:val="0"/>
                      <w:sz w:val="21"/>
                      <w:szCs w:val="21"/>
                      <w:lang w:val="en-US" w:eastAsia="zh-CN"/>
                    </w:rPr>
                  </w:pPr>
                  <w:r>
                    <w:rPr>
                      <w:rFonts w:hint="eastAsia"/>
                      <w:color w:val="auto"/>
                      <w:kern w:val="0"/>
                      <w:sz w:val="21"/>
                      <w:szCs w:val="21"/>
                      <w:lang w:val="en-US" w:eastAsia="zh-CN"/>
                    </w:rPr>
                    <w:t>液态</w:t>
                  </w:r>
                </w:p>
              </w:tc>
              <w:tc>
                <w:tcPr>
                  <w:tcW w:w="646" w:type="pct"/>
                  <w:vAlign w:val="center"/>
                </w:tcPr>
                <w:p w14:paraId="75B5C05E">
                  <w:pPr>
                    <w:pageBreakBefore w:val="0"/>
                    <w:widowControl/>
                    <w:kinsoku/>
                    <w:wordWrap/>
                    <w:overflowPunct/>
                    <w:topLinePunct w:val="0"/>
                    <w:autoSpaceDE/>
                    <w:autoSpaceDN/>
                    <w:bidi w:val="0"/>
                    <w:adjustRightInd/>
                    <w:snapToGrid/>
                    <w:ind w:left="0" w:leftChars="0" w:right="0" w:rightChars="0"/>
                    <w:jc w:val="center"/>
                    <w:rPr>
                      <w:rFonts w:hint="eastAsia"/>
                      <w:color w:val="auto"/>
                      <w:kern w:val="0"/>
                      <w:sz w:val="21"/>
                      <w:szCs w:val="21"/>
                      <w:lang w:val="en-US" w:eastAsia="zh-CN"/>
                    </w:rPr>
                  </w:pPr>
                  <w:r>
                    <w:rPr>
                      <w:rFonts w:hint="eastAsia"/>
                      <w:color w:val="auto"/>
                      <w:sz w:val="21"/>
                      <w:szCs w:val="21"/>
                      <w:lang w:val="en-US" w:eastAsia="zh-CN"/>
                    </w:rPr>
                    <w:t>化学品库</w:t>
                  </w:r>
                </w:p>
              </w:tc>
            </w:tr>
            <w:tr w14:paraId="23A4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29" w:type="pct"/>
                  <w:vAlign w:val="center"/>
                </w:tcPr>
                <w:p w14:paraId="0213BB33">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5</w:t>
                  </w:r>
                </w:p>
              </w:tc>
              <w:tc>
                <w:tcPr>
                  <w:tcW w:w="758" w:type="pct"/>
                  <w:vAlign w:val="center"/>
                </w:tcPr>
                <w:p w14:paraId="6EEB1EFD">
                  <w:pPr>
                    <w:pageBreakBefore w:val="0"/>
                    <w:kinsoku/>
                    <w:wordWrap/>
                    <w:overflowPunct/>
                    <w:topLinePunct w:val="0"/>
                    <w:autoSpaceDE/>
                    <w:autoSpaceDN/>
                    <w:bidi w:val="0"/>
                    <w:adjustRightInd/>
                    <w:snapToGrid/>
                    <w:ind w:left="0" w:leftChars="0" w:right="0" w:right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水</w:t>
                  </w:r>
                </w:p>
              </w:tc>
              <w:tc>
                <w:tcPr>
                  <w:tcW w:w="755" w:type="pct"/>
                  <w:vAlign w:val="center"/>
                </w:tcPr>
                <w:p w14:paraId="0EF11D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1950t/a</w:t>
                  </w:r>
                </w:p>
              </w:tc>
              <w:tc>
                <w:tcPr>
                  <w:tcW w:w="606" w:type="pct"/>
                  <w:vAlign w:val="center"/>
                </w:tcPr>
                <w:p w14:paraId="72B28C81">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493" w:type="pct"/>
                  <w:vAlign w:val="center"/>
                </w:tcPr>
                <w:p w14:paraId="4B739B62">
                  <w:pPr>
                    <w:pageBreakBefore w:val="0"/>
                    <w:widowControl/>
                    <w:kinsoku/>
                    <w:wordWrap/>
                    <w:overflowPunct/>
                    <w:topLinePunct w:val="0"/>
                    <w:autoSpaceDE/>
                    <w:autoSpaceDN/>
                    <w:bidi w:val="0"/>
                    <w:adjustRightInd/>
                    <w:snapToGrid/>
                    <w:ind w:left="0" w:leftChars="0" w:right="0" w:rightChars="0"/>
                    <w:jc w:val="center"/>
                    <w:rPr>
                      <w:rFonts w:hint="default"/>
                      <w:snapToGrid w:val="0"/>
                      <w:color w:val="auto"/>
                      <w:kern w:val="0"/>
                      <w:sz w:val="21"/>
                      <w:szCs w:val="21"/>
                      <w:lang w:val="en-US" w:eastAsia="zh-CN"/>
                    </w:rPr>
                  </w:pPr>
                  <w:r>
                    <w:rPr>
                      <w:rFonts w:hint="eastAsia"/>
                      <w:snapToGrid w:val="0"/>
                      <w:color w:val="auto"/>
                      <w:kern w:val="0"/>
                      <w:sz w:val="21"/>
                      <w:szCs w:val="21"/>
                      <w:lang w:val="en-US" w:eastAsia="zh-CN"/>
                    </w:rPr>
                    <w:t>/</w:t>
                  </w:r>
                </w:p>
              </w:tc>
              <w:tc>
                <w:tcPr>
                  <w:tcW w:w="567" w:type="pct"/>
                  <w:vAlign w:val="center"/>
                </w:tcPr>
                <w:p w14:paraId="59BBC297">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841" w:type="pct"/>
                  <w:vAlign w:val="center"/>
                </w:tcPr>
                <w:p w14:paraId="6146F017">
                  <w:pPr>
                    <w:pageBreakBefore w:val="0"/>
                    <w:widowControl/>
                    <w:kinsoku/>
                    <w:wordWrap/>
                    <w:overflowPunct/>
                    <w:topLinePunct w:val="0"/>
                    <w:autoSpaceDE/>
                    <w:autoSpaceDN/>
                    <w:bidi w:val="0"/>
                    <w:adjustRightInd/>
                    <w:snapToGrid/>
                    <w:ind w:left="0" w:leftChars="0" w:right="0" w:rightChars="0"/>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646" w:type="pct"/>
                  <w:vAlign w:val="center"/>
                </w:tcPr>
                <w:p w14:paraId="5EDA51F8">
                  <w:pPr>
                    <w:pageBreakBefore w:val="0"/>
                    <w:widowControl/>
                    <w:kinsoku/>
                    <w:wordWrap/>
                    <w:overflowPunct/>
                    <w:topLinePunct w:val="0"/>
                    <w:autoSpaceDE/>
                    <w:autoSpaceDN/>
                    <w:bidi w:val="0"/>
                    <w:adjustRightInd/>
                    <w:snapToGrid/>
                    <w:ind w:left="0" w:leftChars="0" w:right="0" w:rightChars="0"/>
                    <w:jc w:val="both"/>
                    <w:rPr>
                      <w:rFonts w:hint="default" w:eastAsia="宋体"/>
                      <w:color w:val="auto"/>
                      <w:kern w:val="0"/>
                      <w:sz w:val="21"/>
                      <w:szCs w:val="21"/>
                      <w:lang w:val="en-US" w:eastAsia="zh-CN"/>
                    </w:rPr>
                  </w:pPr>
                  <w:r>
                    <w:rPr>
                      <w:rFonts w:hint="eastAsia"/>
                      <w:color w:val="auto"/>
                      <w:kern w:val="0"/>
                      <w:sz w:val="21"/>
                      <w:szCs w:val="21"/>
                      <w:lang w:val="en-US" w:eastAsia="zh-CN"/>
                    </w:rPr>
                    <w:t>市政供水</w:t>
                  </w:r>
                </w:p>
              </w:tc>
            </w:tr>
            <w:tr w14:paraId="7DBB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29" w:type="pct"/>
                  <w:vAlign w:val="center"/>
                </w:tcPr>
                <w:p w14:paraId="4181B447">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6</w:t>
                  </w:r>
                </w:p>
              </w:tc>
              <w:tc>
                <w:tcPr>
                  <w:tcW w:w="758" w:type="pct"/>
                  <w:vAlign w:val="center"/>
                </w:tcPr>
                <w:p w14:paraId="0C42D623">
                  <w:pPr>
                    <w:pageBreakBefore w:val="0"/>
                    <w:kinsoku/>
                    <w:wordWrap/>
                    <w:overflowPunct/>
                    <w:topLinePunct w:val="0"/>
                    <w:autoSpaceDE/>
                    <w:autoSpaceDN/>
                    <w:bidi w:val="0"/>
                    <w:adjustRightInd/>
                    <w:snapToGrid/>
                    <w:ind w:left="0" w:leftChars="0" w:right="0" w:right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电</w:t>
                  </w:r>
                </w:p>
              </w:tc>
              <w:tc>
                <w:tcPr>
                  <w:tcW w:w="755" w:type="pct"/>
                  <w:vAlign w:val="center"/>
                </w:tcPr>
                <w:p w14:paraId="47B241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s="Times New Roman"/>
                      <w:color w:val="auto"/>
                      <w:kern w:val="2"/>
                      <w:sz w:val="21"/>
                      <w:szCs w:val="21"/>
                      <w:lang w:val="en-US" w:eastAsia="zh-CN" w:bidi="ar-SA"/>
                    </w:rPr>
                  </w:pPr>
                  <w:r>
                    <w:rPr>
                      <w:rFonts w:hint="eastAsia"/>
                      <w:color w:val="auto"/>
                      <w:sz w:val="21"/>
                      <w:szCs w:val="21"/>
                      <w:lang w:val="en-US" w:eastAsia="zh-CN"/>
                    </w:rPr>
                    <w:t>50</w:t>
                  </w:r>
                  <w:r>
                    <w:rPr>
                      <w:rFonts w:hint="eastAsia"/>
                      <w:color w:val="auto"/>
                      <w:sz w:val="21"/>
                      <w:szCs w:val="21"/>
                    </w:rPr>
                    <w:t>万</w:t>
                  </w:r>
                  <w:r>
                    <w:rPr>
                      <w:rFonts w:hint="eastAsia"/>
                      <w:color w:val="auto"/>
                      <w:sz w:val="21"/>
                      <w:szCs w:val="21"/>
                      <w:lang w:eastAsia="zh-CN"/>
                    </w:rPr>
                    <w:t>kW·h</w:t>
                  </w:r>
                </w:p>
              </w:tc>
              <w:tc>
                <w:tcPr>
                  <w:tcW w:w="606" w:type="pct"/>
                  <w:vAlign w:val="center"/>
                </w:tcPr>
                <w:p w14:paraId="7E9C1183">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493" w:type="pct"/>
                  <w:vAlign w:val="center"/>
                </w:tcPr>
                <w:p w14:paraId="3FD17CF2">
                  <w:pPr>
                    <w:pageBreakBefore w:val="0"/>
                    <w:widowControl/>
                    <w:kinsoku/>
                    <w:wordWrap/>
                    <w:overflowPunct/>
                    <w:topLinePunct w:val="0"/>
                    <w:autoSpaceDE/>
                    <w:autoSpaceDN/>
                    <w:bidi w:val="0"/>
                    <w:adjustRightInd/>
                    <w:snapToGrid/>
                    <w:ind w:left="0" w:leftChars="0" w:right="0" w:rightChars="0"/>
                    <w:jc w:val="center"/>
                    <w:rPr>
                      <w:rFonts w:hint="default"/>
                      <w:snapToGrid w:val="0"/>
                      <w:color w:val="auto"/>
                      <w:kern w:val="0"/>
                      <w:sz w:val="21"/>
                      <w:szCs w:val="21"/>
                      <w:lang w:val="en-US" w:eastAsia="zh-CN"/>
                    </w:rPr>
                  </w:pPr>
                  <w:r>
                    <w:rPr>
                      <w:rFonts w:hint="eastAsia"/>
                      <w:snapToGrid w:val="0"/>
                      <w:color w:val="auto"/>
                      <w:kern w:val="0"/>
                      <w:sz w:val="21"/>
                      <w:szCs w:val="21"/>
                      <w:lang w:val="en-US" w:eastAsia="zh-CN"/>
                    </w:rPr>
                    <w:t>/</w:t>
                  </w:r>
                </w:p>
              </w:tc>
              <w:tc>
                <w:tcPr>
                  <w:tcW w:w="567" w:type="pct"/>
                  <w:vAlign w:val="center"/>
                </w:tcPr>
                <w:p w14:paraId="4C0F9502">
                  <w:pPr>
                    <w:pageBreakBefore w:val="0"/>
                    <w:widowControl/>
                    <w:kinsoku/>
                    <w:wordWrap/>
                    <w:overflowPunct/>
                    <w:topLinePunct w:val="0"/>
                    <w:autoSpaceDE/>
                    <w:autoSpaceDN/>
                    <w:bidi w:val="0"/>
                    <w:adjustRightInd/>
                    <w:snapToGrid/>
                    <w:ind w:left="0" w:leftChars="0" w:right="0" w:rightChars="0"/>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841" w:type="pct"/>
                  <w:vAlign w:val="center"/>
                </w:tcPr>
                <w:p w14:paraId="522FC533">
                  <w:pPr>
                    <w:pageBreakBefore w:val="0"/>
                    <w:widowControl/>
                    <w:kinsoku/>
                    <w:wordWrap/>
                    <w:overflowPunct/>
                    <w:topLinePunct w:val="0"/>
                    <w:autoSpaceDE/>
                    <w:autoSpaceDN/>
                    <w:bidi w:val="0"/>
                    <w:adjustRightInd/>
                    <w:snapToGrid/>
                    <w:ind w:left="0" w:leftChars="0" w:right="0" w:rightChars="0"/>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646" w:type="pct"/>
                  <w:vAlign w:val="center"/>
                </w:tcPr>
                <w:p w14:paraId="3F7BDB68">
                  <w:pPr>
                    <w:pageBreakBefore w:val="0"/>
                    <w:widowControl/>
                    <w:kinsoku/>
                    <w:wordWrap/>
                    <w:overflowPunct/>
                    <w:topLinePunct w:val="0"/>
                    <w:autoSpaceDE/>
                    <w:autoSpaceDN/>
                    <w:bidi w:val="0"/>
                    <w:adjustRightInd/>
                    <w:snapToGrid/>
                    <w:ind w:left="0" w:leftChars="0" w:right="0" w:rightChars="0"/>
                    <w:jc w:val="center"/>
                    <w:rPr>
                      <w:rFonts w:hint="eastAsia" w:eastAsia="宋体"/>
                      <w:color w:val="auto"/>
                      <w:kern w:val="0"/>
                      <w:sz w:val="21"/>
                      <w:szCs w:val="21"/>
                      <w:lang w:eastAsia="zh-CN"/>
                    </w:rPr>
                  </w:pPr>
                  <w:r>
                    <w:rPr>
                      <w:rFonts w:hint="eastAsia"/>
                      <w:color w:val="auto"/>
                      <w:kern w:val="0"/>
                      <w:sz w:val="21"/>
                      <w:szCs w:val="21"/>
                      <w:lang w:eastAsia="zh-CN"/>
                    </w:rPr>
                    <w:t>市政供电</w:t>
                  </w:r>
                </w:p>
              </w:tc>
            </w:tr>
            <w:tr w14:paraId="2D8A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8"/>
                  <w:vAlign w:val="center"/>
                </w:tcPr>
                <w:p w14:paraId="269A25B4">
                  <w:pPr>
                    <w:pageBreakBefore w:val="0"/>
                    <w:widowControl/>
                    <w:kinsoku/>
                    <w:wordWrap/>
                    <w:overflowPunct/>
                    <w:topLinePunct w:val="0"/>
                    <w:autoSpaceDE/>
                    <w:autoSpaceDN/>
                    <w:bidi w:val="0"/>
                    <w:adjustRightInd/>
                    <w:snapToGrid/>
                    <w:ind w:left="0" w:leftChars="0" w:right="0" w:rightChars="0"/>
                    <w:jc w:val="left"/>
                    <w:rPr>
                      <w:rFonts w:hint="default"/>
                      <w:color w:val="auto"/>
                      <w:kern w:val="0"/>
                      <w:sz w:val="21"/>
                      <w:szCs w:val="21"/>
                      <w:lang w:val="en-US" w:eastAsia="zh-CN"/>
                    </w:rPr>
                  </w:pPr>
                  <w:r>
                    <w:rPr>
                      <w:rFonts w:hint="eastAsia"/>
                      <w:color w:val="auto"/>
                      <w:kern w:val="0"/>
                      <w:sz w:val="21"/>
                      <w:szCs w:val="21"/>
                      <w:lang w:val="en-US" w:eastAsia="zh-CN"/>
                    </w:rPr>
                    <w:t>注：锅炉</w:t>
                  </w:r>
                  <w:r>
                    <w:rPr>
                      <w:rFonts w:hint="eastAsia" w:cs="Times New Roman"/>
                      <w:color w:val="auto"/>
                      <w:kern w:val="2"/>
                      <w:sz w:val="21"/>
                      <w:szCs w:val="21"/>
                      <w:lang w:val="en-US" w:eastAsia="zh-CN" w:bidi="ar-SA"/>
                    </w:rPr>
                    <w:t>生物质燃料年用量2130t</w:t>
                  </w:r>
                  <w:r>
                    <w:rPr>
                      <w:rFonts w:hint="eastAsia"/>
                      <w:color w:val="auto"/>
                      <w:kern w:val="0"/>
                      <w:sz w:val="21"/>
                      <w:szCs w:val="21"/>
                      <w:lang w:val="en-US" w:eastAsia="zh-CN"/>
                    </w:rPr>
                    <w:t>，均为外购；</w:t>
                  </w:r>
                </w:p>
              </w:tc>
            </w:tr>
          </w:tbl>
          <w:p w14:paraId="794D8554">
            <w:pPr>
              <w:pageBreakBefore w:val="0"/>
              <w:kinsoku/>
              <w:wordWrap/>
              <w:overflowPunct/>
              <w:topLinePunct w:val="0"/>
              <w:autoSpaceDE/>
              <w:autoSpaceDN/>
              <w:bidi w:val="0"/>
              <w:adjustRightInd/>
              <w:snapToGrid/>
              <w:spacing w:line="360" w:lineRule="auto"/>
              <w:ind w:right="0" w:rightChars="0" w:firstLine="482" w:firstLineChars="200"/>
              <w:rPr>
                <w:b/>
                <w:color w:val="auto"/>
                <w:sz w:val="24"/>
                <w:szCs w:val="32"/>
              </w:rPr>
            </w:pPr>
            <w:r>
              <w:rPr>
                <w:rFonts w:hint="eastAsia"/>
                <w:b/>
                <w:color w:val="auto"/>
                <w:sz w:val="24"/>
                <w:szCs w:val="32"/>
              </w:rPr>
              <w:t>6</w:t>
            </w:r>
            <w:r>
              <w:rPr>
                <w:b/>
                <w:color w:val="auto"/>
                <w:sz w:val="24"/>
                <w:szCs w:val="32"/>
              </w:rPr>
              <w:t>、公用工程</w:t>
            </w:r>
          </w:p>
          <w:p w14:paraId="5CC27B56">
            <w:pPr>
              <w:pageBreakBefore w:val="0"/>
              <w:kinsoku/>
              <w:wordWrap/>
              <w:overflowPunct/>
              <w:topLinePunct w:val="0"/>
              <w:autoSpaceDE/>
              <w:autoSpaceDN/>
              <w:bidi w:val="0"/>
              <w:adjustRightInd/>
              <w:snapToGrid/>
              <w:spacing w:line="360" w:lineRule="auto"/>
              <w:ind w:left="0" w:leftChars="0" w:right="0" w:rightChars="0" w:firstLine="480" w:firstLineChars="200"/>
              <w:rPr>
                <w:bCs/>
                <w:color w:val="auto"/>
                <w:sz w:val="24"/>
                <w:szCs w:val="32"/>
              </w:rPr>
            </w:pPr>
            <w:r>
              <w:rPr>
                <w:bCs/>
                <w:color w:val="auto"/>
                <w:sz w:val="24"/>
                <w:szCs w:val="32"/>
              </w:rPr>
              <w:t>（1）</w:t>
            </w:r>
            <w:r>
              <w:rPr>
                <w:rFonts w:hint="eastAsia"/>
                <w:bCs/>
                <w:color w:val="auto"/>
                <w:sz w:val="24"/>
                <w:szCs w:val="32"/>
              </w:rPr>
              <w:t>本</w:t>
            </w:r>
            <w:r>
              <w:rPr>
                <w:rFonts w:hint="eastAsia"/>
                <w:bCs/>
                <w:color w:val="auto"/>
                <w:sz w:val="24"/>
                <w:szCs w:val="32"/>
                <w:lang w:val="en-US" w:eastAsia="zh-CN"/>
              </w:rPr>
              <w:t>项目</w:t>
            </w:r>
            <w:r>
              <w:rPr>
                <w:bCs/>
                <w:color w:val="auto"/>
                <w:sz w:val="24"/>
                <w:szCs w:val="32"/>
              </w:rPr>
              <w:t>用水</w:t>
            </w:r>
          </w:p>
          <w:p w14:paraId="53B3E4E8">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kern w:val="0"/>
                <w:sz w:val="24"/>
              </w:rPr>
            </w:pPr>
            <w:r>
              <w:rPr>
                <w:rFonts w:hint="eastAsia"/>
                <w:color w:val="auto"/>
                <w:kern w:val="0"/>
                <w:sz w:val="24"/>
              </w:rPr>
              <w:t>①生活用水</w:t>
            </w:r>
          </w:p>
          <w:p w14:paraId="24CF8996">
            <w:pPr>
              <w:pageBreakBefore w:val="0"/>
              <w:kinsoku/>
              <w:wordWrap/>
              <w:overflowPunct/>
              <w:topLinePunct w:val="0"/>
              <w:autoSpaceDE/>
              <w:autoSpaceDN/>
              <w:bidi w:val="0"/>
              <w:adjustRightInd/>
              <w:snapToGrid/>
              <w:spacing w:line="360" w:lineRule="auto"/>
              <w:ind w:left="0" w:leftChars="0" w:right="0" w:rightChars="0" w:firstLine="480" w:firstLineChars="200"/>
              <w:rPr>
                <w:rFonts w:hint="eastAsia"/>
                <w:color w:val="auto"/>
                <w:kern w:val="0"/>
                <w:sz w:val="24"/>
              </w:rPr>
            </w:pPr>
            <w:r>
              <w:rPr>
                <w:color w:val="auto"/>
                <w:kern w:val="0"/>
                <w:sz w:val="24"/>
              </w:rPr>
              <w:t>本项目职工</w:t>
            </w:r>
            <w:r>
              <w:rPr>
                <w:rFonts w:hint="eastAsia"/>
                <w:color w:val="auto"/>
                <w:kern w:val="0"/>
                <w:sz w:val="24"/>
                <w:lang w:val="en-US" w:eastAsia="zh-CN"/>
              </w:rPr>
              <w:t>20</w:t>
            </w:r>
            <w:r>
              <w:rPr>
                <w:color w:val="auto"/>
                <w:kern w:val="0"/>
                <w:sz w:val="24"/>
              </w:rPr>
              <w:t>人，员工人均生活用水量按</w:t>
            </w:r>
            <w:r>
              <w:rPr>
                <w:rFonts w:hint="eastAsia"/>
                <w:color w:val="auto"/>
                <w:kern w:val="0"/>
                <w:sz w:val="24"/>
                <w:lang w:val="en-US" w:eastAsia="zh-CN"/>
              </w:rPr>
              <w:t>5</w:t>
            </w:r>
            <w:r>
              <w:rPr>
                <w:color w:val="auto"/>
                <w:kern w:val="0"/>
                <w:sz w:val="24"/>
              </w:rPr>
              <w:t>0L/d定额计，</w:t>
            </w:r>
            <w:r>
              <w:rPr>
                <w:rFonts w:hint="eastAsia"/>
                <w:color w:val="auto"/>
                <w:kern w:val="0"/>
                <w:sz w:val="24"/>
              </w:rPr>
              <w:t>年工作300天，</w:t>
            </w:r>
            <w:r>
              <w:rPr>
                <w:color w:val="auto"/>
                <w:kern w:val="0"/>
                <w:sz w:val="24"/>
              </w:rPr>
              <w:t>则用水量为</w:t>
            </w:r>
            <w:r>
              <w:rPr>
                <w:rFonts w:hint="eastAsia"/>
                <w:color w:val="auto"/>
                <w:kern w:val="0"/>
                <w:sz w:val="24"/>
                <w:lang w:val="en-US" w:eastAsia="zh-CN"/>
              </w:rPr>
              <w:t>300</w:t>
            </w:r>
            <w:r>
              <w:rPr>
                <w:rFonts w:hint="eastAsia"/>
                <w:color w:val="auto"/>
                <w:kern w:val="0"/>
                <w:sz w:val="24"/>
              </w:rPr>
              <w:t>t/a</w:t>
            </w:r>
            <w:r>
              <w:rPr>
                <w:color w:val="auto"/>
                <w:kern w:val="0"/>
                <w:sz w:val="24"/>
              </w:rPr>
              <w:t>（</w:t>
            </w:r>
            <w:r>
              <w:rPr>
                <w:rFonts w:hint="eastAsia"/>
                <w:color w:val="auto"/>
                <w:kern w:val="0"/>
                <w:sz w:val="24"/>
                <w:lang w:val="en-US" w:eastAsia="zh-CN"/>
              </w:rPr>
              <w:t>1.0</w:t>
            </w:r>
            <w:r>
              <w:rPr>
                <w:rFonts w:hint="eastAsia"/>
                <w:color w:val="auto"/>
                <w:kern w:val="0"/>
                <w:sz w:val="24"/>
              </w:rPr>
              <w:t>t</w:t>
            </w:r>
            <w:r>
              <w:rPr>
                <w:color w:val="auto"/>
                <w:kern w:val="0"/>
                <w:sz w:val="24"/>
              </w:rPr>
              <w:t>/</w:t>
            </w:r>
            <w:r>
              <w:rPr>
                <w:rFonts w:hint="eastAsia"/>
                <w:color w:val="auto"/>
                <w:kern w:val="0"/>
                <w:sz w:val="24"/>
              </w:rPr>
              <w:t>d</w:t>
            </w:r>
            <w:r>
              <w:rPr>
                <w:color w:val="auto"/>
                <w:kern w:val="0"/>
                <w:sz w:val="24"/>
              </w:rPr>
              <w:t>）</w:t>
            </w:r>
            <w:r>
              <w:rPr>
                <w:rFonts w:hint="eastAsia"/>
                <w:color w:val="auto"/>
                <w:kern w:val="0"/>
                <w:sz w:val="24"/>
              </w:rPr>
              <w:t>，</w:t>
            </w:r>
            <w:r>
              <w:rPr>
                <w:color w:val="auto"/>
                <w:kern w:val="0"/>
                <w:sz w:val="24"/>
              </w:rPr>
              <w:t>污水排放量按用水量的80%计，则本项目</w:t>
            </w:r>
            <w:r>
              <w:rPr>
                <w:rFonts w:hint="eastAsia"/>
                <w:color w:val="auto"/>
                <w:kern w:val="0"/>
                <w:sz w:val="24"/>
              </w:rPr>
              <w:t>新增</w:t>
            </w:r>
            <w:r>
              <w:rPr>
                <w:color w:val="auto"/>
                <w:kern w:val="0"/>
                <w:sz w:val="24"/>
              </w:rPr>
              <w:t>生活污水排放总量为</w:t>
            </w:r>
            <w:r>
              <w:rPr>
                <w:rFonts w:hint="eastAsia"/>
                <w:color w:val="auto"/>
                <w:kern w:val="0"/>
                <w:sz w:val="24"/>
                <w:lang w:val="en-US" w:eastAsia="zh-CN"/>
              </w:rPr>
              <w:t>240</w:t>
            </w:r>
            <w:r>
              <w:rPr>
                <w:rFonts w:hint="eastAsia"/>
                <w:color w:val="auto"/>
                <w:kern w:val="0"/>
                <w:sz w:val="24"/>
              </w:rPr>
              <w:t>t/a</w:t>
            </w:r>
            <w:r>
              <w:rPr>
                <w:color w:val="auto"/>
                <w:kern w:val="0"/>
                <w:sz w:val="24"/>
              </w:rPr>
              <w:t>（</w:t>
            </w:r>
            <w:r>
              <w:rPr>
                <w:rFonts w:hint="eastAsia"/>
                <w:color w:val="auto"/>
                <w:kern w:val="0"/>
                <w:sz w:val="24"/>
                <w:lang w:val="en-US" w:eastAsia="zh-CN"/>
              </w:rPr>
              <w:t>0.8</w:t>
            </w:r>
            <w:r>
              <w:rPr>
                <w:rFonts w:hint="eastAsia"/>
                <w:color w:val="auto"/>
                <w:kern w:val="0"/>
                <w:sz w:val="24"/>
              </w:rPr>
              <w:t>t</w:t>
            </w:r>
            <w:r>
              <w:rPr>
                <w:color w:val="auto"/>
                <w:kern w:val="0"/>
                <w:sz w:val="24"/>
              </w:rPr>
              <w:t>/</w:t>
            </w:r>
            <w:r>
              <w:rPr>
                <w:rFonts w:hint="eastAsia"/>
                <w:color w:val="auto"/>
                <w:kern w:val="0"/>
                <w:sz w:val="24"/>
              </w:rPr>
              <w:t>d</w:t>
            </w:r>
            <w:r>
              <w:rPr>
                <w:color w:val="auto"/>
                <w:kern w:val="0"/>
                <w:sz w:val="24"/>
              </w:rPr>
              <w:t>）。</w:t>
            </w:r>
            <w:r>
              <w:rPr>
                <w:rFonts w:hint="eastAsia"/>
                <w:color w:val="auto"/>
                <w:kern w:val="0"/>
                <w:sz w:val="24"/>
              </w:rPr>
              <w:t>生活污水经化粪池处理后，</w:t>
            </w:r>
            <w:r>
              <w:rPr>
                <w:rFonts w:hint="eastAsia"/>
                <w:color w:val="auto"/>
                <w:kern w:val="0"/>
                <w:sz w:val="24"/>
                <w:lang w:eastAsia="zh-CN"/>
              </w:rPr>
              <w:t>定期清掏处置，用于周边农田施肥</w:t>
            </w:r>
            <w:r>
              <w:rPr>
                <w:rFonts w:hint="eastAsia"/>
                <w:color w:val="auto"/>
                <w:kern w:val="0"/>
                <w:sz w:val="24"/>
              </w:rPr>
              <w:t>。</w:t>
            </w:r>
          </w:p>
          <w:p w14:paraId="4DD38AC4">
            <w:pPr>
              <w:pStyle w:val="13"/>
              <w:rPr>
                <w:color w:val="auto"/>
              </w:rPr>
            </w:pPr>
          </w:p>
          <w:p w14:paraId="79F6617E">
            <w:pPr>
              <w:pageBreakBefore w:val="0"/>
              <w:kinsoku/>
              <w:wordWrap/>
              <w:overflowPunct/>
              <w:topLinePunct w:val="0"/>
              <w:autoSpaceDE/>
              <w:autoSpaceDN/>
              <w:bidi w:val="0"/>
              <w:adjustRightInd/>
              <w:snapToGrid/>
              <w:spacing w:line="360" w:lineRule="auto"/>
              <w:ind w:left="0" w:leftChars="0" w:right="0" w:rightChars="0" w:firstLine="480" w:firstLineChars="200"/>
              <w:rPr>
                <w:rFonts w:hint="eastAsia"/>
                <w:color w:val="auto"/>
                <w:kern w:val="0"/>
                <w:sz w:val="24"/>
              </w:rPr>
            </w:pPr>
            <w:r>
              <w:rPr>
                <w:rFonts w:hint="eastAsia"/>
                <w:color w:val="auto"/>
                <w:kern w:val="0"/>
                <w:sz w:val="24"/>
                <w:lang w:val="en-US" w:eastAsia="zh-CN"/>
              </w:rPr>
              <w:t>②锅炉</w:t>
            </w:r>
            <w:r>
              <w:rPr>
                <w:rFonts w:hint="eastAsia"/>
                <w:color w:val="auto"/>
                <w:kern w:val="0"/>
                <w:sz w:val="24"/>
              </w:rPr>
              <w:t>用水</w:t>
            </w:r>
          </w:p>
          <w:p w14:paraId="76A82E17">
            <w:pPr>
              <w:pageBreakBefore w:val="0"/>
              <w:kinsoku/>
              <w:wordWrap/>
              <w:overflowPunct/>
              <w:topLinePunct w:val="0"/>
              <w:autoSpaceDE/>
              <w:autoSpaceDN/>
              <w:bidi w:val="0"/>
              <w:adjustRightInd/>
              <w:snapToGrid/>
              <w:spacing w:line="360" w:lineRule="auto"/>
              <w:ind w:left="0" w:leftChars="0" w:right="0" w:rightChars="0" w:firstLine="480" w:firstLineChars="200"/>
              <w:rPr>
                <w:rFonts w:hint="eastAsia"/>
                <w:color w:val="auto"/>
                <w:kern w:val="0"/>
                <w:sz w:val="24"/>
              </w:rPr>
            </w:pPr>
            <w:r>
              <w:rPr>
                <w:rFonts w:hint="eastAsia"/>
                <w:color w:val="auto"/>
                <w:kern w:val="0"/>
                <w:sz w:val="24"/>
              </w:rPr>
              <w:t>本项目锅炉全年满负荷运营时间为</w:t>
            </w:r>
            <w:r>
              <w:rPr>
                <w:rFonts w:hint="eastAsia"/>
                <w:color w:val="auto"/>
                <w:kern w:val="0"/>
                <w:sz w:val="24"/>
                <w:lang w:val="en-US" w:eastAsia="zh-CN"/>
              </w:rPr>
              <w:t>3000h</w:t>
            </w:r>
            <w:r>
              <w:rPr>
                <w:rFonts w:hint="eastAsia"/>
                <w:color w:val="auto"/>
                <w:kern w:val="0"/>
                <w:sz w:val="24"/>
              </w:rPr>
              <w:t>，则本项目总蒸汽产生量为</w:t>
            </w:r>
            <w:r>
              <w:rPr>
                <w:rFonts w:hint="eastAsia"/>
                <w:color w:val="auto"/>
                <w:kern w:val="0"/>
                <w:sz w:val="24"/>
                <w:lang w:val="en-US" w:eastAsia="zh-CN"/>
              </w:rPr>
              <w:t>40</w:t>
            </w:r>
            <w:r>
              <w:rPr>
                <w:rFonts w:hint="eastAsia"/>
                <w:color w:val="auto"/>
                <w:kern w:val="0"/>
                <w:sz w:val="24"/>
              </w:rPr>
              <w:t>t/d、</w:t>
            </w:r>
            <w:r>
              <w:rPr>
                <w:rFonts w:hint="eastAsia"/>
                <w:color w:val="auto"/>
                <w:kern w:val="0"/>
                <w:sz w:val="24"/>
                <w:lang w:val="en-US" w:eastAsia="zh-CN"/>
              </w:rPr>
              <w:t>12000</w:t>
            </w:r>
            <w:r>
              <w:rPr>
                <w:rFonts w:hint="eastAsia"/>
                <w:color w:val="auto"/>
                <w:kern w:val="0"/>
                <w:sz w:val="24"/>
              </w:rPr>
              <w:t>t/a。锅炉新鲜用水量主要</w:t>
            </w:r>
            <w:r>
              <w:rPr>
                <w:rFonts w:hint="eastAsia"/>
                <w:color w:val="auto"/>
                <w:kern w:val="0"/>
                <w:sz w:val="24"/>
                <w:lang w:eastAsia="zh-CN"/>
              </w:rPr>
              <w:t>为</w:t>
            </w:r>
            <w:r>
              <w:rPr>
                <w:rFonts w:hint="eastAsia"/>
                <w:color w:val="auto"/>
                <w:kern w:val="0"/>
                <w:sz w:val="24"/>
              </w:rPr>
              <w:t>锅炉蒸汽损失。本项目生物质锅炉配备了封闭式蒸汽回收系统，通过加压装置将废蒸汽和高温冷凝水进行压缩，</w:t>
            </w:r>
            <w:r>
              <w:rPr>
                <w:rFonts w:hint="eastAsia"/>
                <w:color w:val="auto"/>
                <w:kern w:val="0"/>
                <w:sz w:val="24"/>
                <w:lang w:val="en-US" w:eastAsia="zh-CN"/>
              </w:rPr>
              <w:t>回到锅炉，</w:t>
            </w:r>
            <w:r>
              <w:rPr>
                <w:rFonts w:hint="eastAsia"/>
                <w:color w:val="auto"/>
                <w:kern w:val="0"/>
                <w:sz w:val="24"/>
              </w:rPr>
              <w:t>最终形成二次蒸汽再进行利用，如此循环。蒸汽损失约10%，即</w:t>
            </w:r>
            <w:r>
              <w:rPr>
                <w:rFonts w:hint="eastAsia"/>
                <w:color w:val="auto"/>
                <w:kern w:val="0"/>
                <w:sz w:val="24"/>
                <w:lang w:val="en-US" w:eastAsia="zh-CN"/>
              </w:rPr>
              <w:t>4.0</w:t>
            </w:r>
            <w:r>
              <w:rPr>
                <w:rFonts w:hint="eastAsia"/>
                <w:color w:val="auto"/>
                <w:kern w:val="0"/>
                <w:sz w:val="24"/>
              </w:rPr>
              <w:t>m</w:t>
            </w:r>
            <w:r>
              <w:rPr>
                <w:rFonts w:hint="eastAsia"/>
                <w:color w:val="auto"/>
                <w:kern w:val="0"/>
                <w:sz w:val="24"/>
                <w:vertAlign w:val="superscript"/>
              </w:rPr>
              <w:t>3</w:t>
            </w:r>
            <w:r>
              <w:rPr>
                <w:rFonts w:hint="eastAsia"/>
                <w:color w:val="auto"/>
                <w:kern w:val="0"/>
                <w:sz w:val="24"/>
              </w:rPr>
              <w:t>/d、</w:t>
            </w:r>
            <w:r>
              <w:rPr>
                <w:rFonts w:hint="eastAsia"/>
                <w:color w:val="auto"/>
                <w:kern w:val="0"/>
                <w:sz w:val="24"/>
                <w:lang w:val="en-US" w:eastAsia="zh-CN"/>
              </w:rPr>
              <w:t>1200</w:t>
            </w:r>
            <w:r>
              <w:rPr>
                <w:rFonts w:hint="eastAsia"/>
                <w:color w:val="auto"/>
                <w:kern w:val="0"/>
                <w:sz w:val="24"/>
              </w:rPr>
              <w:t>m</w:t>
            </w:r>
            <w:r>
              <w:rPr>
                <w:rFonts w:hint="eastAsia"/>
                <w:color w:val="auto"/>
                <w:kern w:val="0"/>
                <w:sz w:val="24"/>
                <w:vertAlign w:val="superscript"/>
              </w:rPr>
              <w:t>3</w:t>
            </w:r>
            <w:r>
              <w:rPr>
                <w:rFonts w:hint="eastAsia"/>
                <w:color w:val="auto"/>
                <w:kern w:val="0"/>
                <w:sz w:val="24"/>
              </w:rPr>
              <w:t>/a。</w:t>
            </w:r>
          </w:p>
          <w:p w14:paraId="293FD074">
            <w:pPr>
              <w:pStyle w:val="108"/>
              <w:pageBreakBefore w:val="0"/>
              <w:kinsoku/>
              <w:wordWrap/>
              <w:overflowPunct/>
              <w:topLinePunct w:val="0"/>
              <w:autoSpaceDE/>
              <w:autoSpaceDN/>
              <w:bidi w:val="0"/>
              <w:adjustRightInd/>
              <w:snapToGrid/>
              <w:ind w:firstLine="480"/>
              <w:rPr>
                <w:rFonts w:hint="eastAsia"/>
                <w:b w:val="0"/>
                <w:bCs w:val="0"/>
                <w:color w:val="auto"/>
                <w:lang w:val="en-US" w:eastAsia="zh-CN"/>
              </w:rPr>
            </w:pPr>
            <w:r>
              <w:rPr>
                <w:rFonts w:hint="eastAsia" w:ascii="Times New Roman" w:hAnsi="Times New Roman" w:eastAsia="宋体" w:cs="Times New Roman"/>
                <w:color w:val="auto"/>
                <w:kern w:val="2"/>
                <w:sz w:val="24"/>
                <w:szCs w:val="24"/>
                <w:lang w:val="en-US" w:eastAsia="zh-CN" w:bidi="ar-SA"/>
              </w:rPr>
              <w:t>③</w:t>
            </w:r>
            <w:r>
              <w:rPr>
                <w:rFonts w:hint="eastAsia"/>
                <w:b w:val="0"/>
                <w:bCs w:val="0"/>
                <w:color w:val="auto"/>
                <w:lang w:val="en-US" w:eastAsia="zh-CN"/>
              </w:rPr>
              <w:t>喷淋塔补充用水</w:t>
            </w:r>
          </w:p>
          <w:p w14:paraId="65A7DB75">
            <w:pPr>
              <w:pStyle w:val="108"/>
              <w:pageBreakBefore w:val="0"/>
              <w:kinsoku/>
              <w:wordWrap/>
              <w:overflowPunct/>
              <w:topLinePunct w:val="0"/>
              <w:autoSpaceDE/>
              <w:autoSpaceDN/>
              <w:bidi w:val="0"/>
              <w:adjustRightInd/>
              <w:snapToGrid/>
              <w:ind w:firstLine="480"/>
              <w:rPr>
                <w:rFonts w:hint="eastAsia"/>
                <w:color w:val="auto"/>
                <w:kern w:val="0"/>
                <w:sz w:val="24"/>
              </w:rPr>
            </w:pPr>
            <w:r>
              <w:rPr>
                <w:rFonts w:hint="eastAsia"/>
                <w:b w:val="0"/>
                <w:bCs w:val="0"/>
                <w:color w:val="auto"/>
                <w:lang w:val="en-US" w:eastAsia="zh-CN"/>
              </w:rPr>
              <w:t>本项目生物质锅炉烟气处理采用碱液喷淋塔进行除尘、脱硫，配套设1m</w:t>
            </w:r>
            <w:r>
              <w:rPr>
                <w:rFonts w:hint="eastAsia"/>
                <w:b w:val="0"/>
                <w:bCs w:val="0"/>
                <w:color w:val="auto"/>
                <w:vertAlign w:val="superscript"/>
                <w:lang w:val="en-US" w:eastAsia="zh-CN"/>
              </w:rPr>
              <w:t>3</w:t>
            </w:r>
            <w:r>
              <w:rPr>
                <w:rFonts w:hint="eastAsia"/>
                <w:b w:val="0"/>
                <w:bCs w:val="0"/>
                <w:color w:val="auto"/>
                <w:lang w:val="en-US" w:eastAsia="zh-CN"/>
              </w:rPr>
              <w:t>循环沉淀水池。碱液喷淋塔烟气风量为5000m</w:t>
            </w:r>
            <w:r>
              <w:rPr>
                <w:rFonts w:hint="eastAsia"/>
                <w:b w:val="0"/>
                <w:bCs w:val="0"/>
                <w:color w:val="auto"/>
                <w:vertAlign w:val="superscript"/>
                <w:lang w:val="en-US" w:eastAsia="zh-CN"/>
              </w:rPr>
              <w:t>3</w:t>
            </w:r>
            <w:r>
              <w:rPr>
                <w:rFonts w:hint="eastAsia"/>
                <w:b w:val="0"/>
                <w:bCs w:val="0"/>
                <w:color w:val="auto"/>
                <w:lang w:val="en-US" w:eastAsia="zh-CN"/>
              </w:rPr>
              <w:t>/h，</w:t>
            </w:r>
            <w:r>
              <w:rPr>
                <w:rFonts w:hint="eastAsia"/>
                <w:color w:val="auto"/>
                <w:lang w:val="en-US" w:eastAsia="zh-CN"/>
              </w:rPr>
              <w:t>液气比</w:t>
            </w:r>
            <w:r>
              <w:rPr>
                <w:rFonts w:hint="eastAsia"/>
                <w:b w:val="0"/>
                <w:bCs w:val="0"/>
                <w:color w:val="auto"/>
                <w:lang w:val="en-US" w:eastAsia="zh-CN"/>
              </w:rPr>
              <w:t>按照3L/m</w:t>
            </w:r>
            <w:r>
              <w:rPr>
                <w:rFonts w:hint="eastAsia"/>
                <w:b w:val="0"/>
                <w:bCs w:val="0"/>
                <w:color w:val="auto"/>
                <w:vertAlign w:val="superscript"/>
                <w:lang w:val="en-US" w:eastAsia="zh-CN"/>
              </w:rPr>
              <w:t>3</w:t>
            </w:r>
            <w:r>
              <w:rPr>
                <w:rFonts w:hint="eastAsia"/>
                <w:b w:val="0"/>
                <w:bCs w:val="0"/>
                <w:color w:val="auto"/>
                <w:lang w:val="en-US" w:eastAsia="zh-CN"/>
              </w:rPr>
              <w:t>设计，则喷淋塔循环水量为15t/h，补水量按1%计，则补水量1.5t/d。喷淋水循环使用不外排，定期补充碱度和捞渣处理。</w:t>
            </w:r>
          </w:p>
          <w:p w14:paraId="1B735317">
            <w:pPr>
              <w:pStyle w:val="16"/>
              <w:pageBreakBefore w:val="0"/>
              <w:kinsoku/>
              <w:wordWrap/>
              <w:overflowPunct/>
              <w:topLinePunct w:val="0"/>
              <w:autoSpaceDE/>
              <w:autoSpaceDN/>
              <w:bidi w:val="0"/>
              <w:adjustRightInd/>
              <w:snapToGrid/>
              <w:spacing w:after="0" w:line="312" w:lineRule="auto"/>
              <w:ind w:left="0" w:leftChars="0" w:right="0" w:rightChars="0" w:firstLine="0" w:firstLineChars="0"/>
              <w:jc w:val="center"/>
              <w:rPr>
                <w:rFonts w:hint="default" w:eastAsia="宋体"/>
                <w:b/>
                <w:bCs/>
                <w:color w:val="auto"/>
                <w:szCs w:val="24"/>
                <w:lang w:val="en-US" w:eastAsia="zh-CN"/>
              </w:rPr>
            </w:pPr>
            <w:r>
              <w:rPr>
                <w:b/>
                <w:bCs/>
                <w:color w:val="auto"/>
                <w:szCs w:val="24"/>
              </w:rPr>
              <w:t>表</w:t>
            </w:r>
            <w:r>
              <w:rPr>
                <w:rFonts w:hint="eastAsia"/>
                <w:b/>
                <w:bCs/>
                <w:color w:val="auto"/>
                <w:szCs w:val="24"/>
              </w:rPr>
              <w:t>2-</w:t>
            </w:r>
            <w:r>
              <w:rPr>
                <w:rFonts w:hint="eastAsia"/>
                <w:b/>
                <w:bCs/>
                <w:color w:val="auto"/>
                <w:szCs w:val="24"/>
                <w:lang w:val="en-US" w:eastAsia="zh-CN"/>
              </w:rPr>
              <w:t>7</w:t>
            </w:r>
            <w:r>
              <w:rPr>
                <w:b/>
                <w:bCs/>
                <w:color w:val="auto"/>
                <w:szCs w:val="24"/>
              </w:rPr>
              <w:t xml:space="preserve"> 项目用水</w:t>
            </w:r>
            <w:r>
              <w:rPr>
                <w:rFonts w:hint="eastAsia"/>
                <w:b/>
                <w:bCs/>
                <w:color w:val="auto"/>
                <w:szCs w:val="24"/>
              </w:rPr>
              <w:t>及排水</w:t>
            </w:r>
            <w:r>
              <w:rPr>
                <w:b/>
                <w:bCs/>
                <w:color w:val="auto"/>
                <w:szCs w:val="24"/>
              </w:rPr>
              <w:t>情况</w:t>
            </w:r>
            <w:r>
              <w:rPr>
                <w:rFonts w:hint="eastAsia"/>
                <w:b/>
                <w:bCs/>
                <w:color w:val="auto"/>
                <w:szCs w:val="24"/>
              </w:rPr>
              <w:t>一览表</w:t>
            </w:r>
            <w:r>
              <w:rPr>
                <w:rFonts w:hint="eastAsia"/>
                <w:b/>
                <w:bCs/>
                <w:color w:val="auto"/>
                <w:szCs w:val="24"/>
                <w:lang w:val="en-US" w:eastAsia="zh-CN"/>
              </w:rPr>
              <w:t xml:space="preserve">  单位：t/a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1718"/>
              <w:gridCol w:w="1185"/>
              <w:gridCol w:w="1395"/>
              <w:gridCol w:w="2910"/>
              <w:gridCol w:w="1244"/>
            </w:tblGrid>
            <w:tr w14:paraId="31BDA33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2" w:hRule="atLeast"/>
                <w:jc w:val="center"/>
              </w:trPr>
              <w:tc>
                <w:tcPr>
                  <w:tcW w:w="1016" w:type="pct"/>
                  <w:tcBorders>
                    <w:tl2br w:val="nil"/>
                    <w:tr2bl w:val="nil"/>
                  </w:tcBorders>
                  <w:shd w:val="clear" w:color="auto" w:fill="auto"/>
                  <w:vAlign w:val="center"/>
                </w:tcPr>
                <w:p w14:paraId="38130E4F">
                  <w:pPr>
                    <w:pageBreakBefore w:val="0"/>
                    <w:kinsoku/>
                    <w:wordWrap/>
                    <w:overflowPunct/>
                    <w:topLinePunct w:val="0"/>
                    <w:autoSpaceDE/>
                    <w:autoSpaceDN/>
                    <w:bidi w:val="0"/>
                    <w:adjustRightInd/>
                    <w:snapToGrid/>
                    <w:ind w:left="0" w:leftChars="0" w:right="0" w:rightChars="0"/>
                    <w:jc w:val="center"/>
                    <w:rPr>
                      <w:b/>
                      <w:color w:val="auto"/>
                      <w:sz w:val="21"/>
                      <w:szCs w:val="21"/>
                    </w:rPr>
                  </w:pPr>
                  <w:r>
                    <w:rPr>
                      <w:b/>
                      <w:color w:val="auto"/>
                      <w:sz w:val="21"/>
                      <w:szCs w:val="21"/>
                    </w:rPr>
                    <w:t>污染源</w:t>
                  </w:r>
                </w:p>
              </w:tc>
              <w:tc>
                <w:tcPr>
                  <w:tcW w:w="701" w:type="pct"/>
                  <w:tcBorders>
                    <w:tl2br w:val="nil"/>
                    <w:tr2bl w:val="nil"/>
                  </w:tcBorders>
                  <w:shd w:val="clear" w:color="auto" w:fill="auto"/>
                  <w:vAlign w:val="center"/>
                </w:tcPr>
                <w:p w14:paraId="77BF0F46">
                  <w:pPr>
                    <w:pageBreakBefore w:val="0"/>
                    <w:kinsoku/>
                    <w:wordWrap/>
                    <w:overflowPunct/>
                    <w:topLinePunct w:val="0"/>
                    <w:autoSpaceDE/>
                    <w:autoSpaceDN/>
                    <w:bidi w:val="0"/>
                    <w:adjustRightInd/>
                    <w:snapToGrid/>
                    <w:ind w:left="0" w:leftChars="0" w:right="0" w:rightChars="0"/>
                    <w:jc w:val="center"/>
                    <w:rPr>
                      <w:rFonts w:hint="eastAsia" w:eastAsia="宋体"/>
                      <w:b/>
                      <w:color w:val="auto"/>
                      <w:sz w:val="21"/>
                      <w:szCs w:val="21"/>
                      <w:lang w:eastAsia="zh-CN"/>
                    </w:rPr>
                  </w:pPr>
                  <w:r>
                    <w:rPr>
                      <w:b/>
                      <w:color w:val="auto"/>
                      <w:sz w:val="21"/>
                      <w:szCs w:val="21"/>
                    </w:rPr>
                    <w:t>用水量</w:t>
                  </w:r>
                  <w:r>
                    <w:rPr>
                      <w:rFonts w:hint="eastAsia"/>
                      <w:b/>
                      <w:bCs/>
                      <w:color w:val="auto"/>
                      <w:sz w:val="21"/>
                      <w:szCs w:val="21"/>
                      <w:lang w:val="en-US" w:eastAsia="zh-CN"/>
                    </w:rPr>
                    <w:t xml:space="preserve"> </w:t>
                  </w:r>
                </w:p>
              </w:tc>
              <w:tc>
                <w:tcPr>
                  <w:tcW w:w="825" w:type="pct"/>
                  <w:tcBorders>
                    <w:tl2br w:val="nil"/>
                    <w:tr2bl w:val="nil"/>
                  </w:tcBorders>
                  <w:shd w:val="clear" w:color="auto" w:fill="auto"/>
                  <w:vAlign w:val="center"/>
                </w:tcPr>
                <w:p w14:paraId="1924DB22">
                  <w:pPr>
                    <w:pageBreakBefore w:val="0"/>
                    <w:kinsoku/>
                    <w:wordWrap/>
                    <w:overflowPunct/>
                    <w:topLinePunct w:val="0"/>
                    <w:autoSpaceDE/>
                    <w:autoSpaceDN/>
                    <w:bidi w:val="0"/>
                    <w:adjustRightInd/>
                    <w:snapToGrid/>
                    <w:ind w:left="0" w:leftChars="0" w:right="0" w:rightChars="0"/>
                    <w:jc w:val="center"/>
                    <w:rPr>
                      <w:b/>
                      <w:color w:val="auto"/>
                      <w:sz w:val="21"/>
                      <w:szCs w:val="21"/>
                    </w:rPr>
                  </w:pPr>
                  <w:r>
                    <w:rPr>
                      <w:rFonts w:hint="eastAsia"/>
                      <w:b/>
                      <w:color w:val="auto"/>
                      <w:sz w:val="21"/>
                      <w:szCs w:val="21"/>
                    </w:rPr>
                    <w:t>废水</w:t>
                  </w:r>
                  <w:r>
                    <w:rPr>
                      <w:b/>
                      <w:color w:val="auto"/>
                      <w:sz w:val="21"/>
                      <w:szCs w:val="21"/>
                    </w:rPr>
                    <w:t>产生量</w:t>
                  </w:r>
                </w:p>
              </w:tc>
              <w:tc>
                <w:tcPr>
                  <w:tcW w:w="1721" w:type="pct"/>
                  <w:tcBorders>
                    <w:tl2br w:val="nil"/>
                    <w:tr2bl w:val="nil"/>
                  </w:tcBorders>
                  <w:shd w:val="clear" w:color="auto" w:fill="auto"/>
                  <w:vAlign w:val="center"/>
                </w:tcPr>
                <w:p w14:paraId="11520AAE">
                  <w:pPr>
                    <w:pageBreakBefore w:val="0"/>
                    <w:kinsoku/>
                    <w:wordWrap/>
                    <w:overflowPunct/>
                    <w:topLinePunct w:val="0"/>
                    <w:autoSpaceDE/>
                    <w:autoSpaceDN/>
                    <w:bidi w:val="0"/>
                    <w:adjustRightInd/>
                    <w:snapToGrid/>
                    <w:ind w:left="0" w:leftChars="0" w:right="0" w:rightChars="0"/>
                    <w:jc w:val="center"/>
                    <w:rPr>
                      <w:b/>
                      <w:color w:val="auto"/>
                      <w:sz w:val="21"/>
                      <w:szCs w:val="21"/>
                    </w:rPr>
                  </w:pPr>
                  <w:r>
                    <w:rPr>
                      <w:b/>
                      <w:color w:val="auto"/>
                      <w:sz w:val="21"/>
                      <w:szCs w:val="21"/>
                    </w:rPr>
                    <w:t>处理措施</w:t>
                  </w:r>
                </w:p>
              </w:tc>
              <w:tc>
                <w:tcPr>
                  <w:tcW w:w="735" w:type="pct"/>
                  <w:tcBorders>
                    <w:tl2br w:val="nil"/>
                    <w:tr2bl w:val="nil"/>
                  </w:tcBorders>
                  <w:shd w:val="clear" w:color="auto" w:fill="auto"/>
                  <w:vAlign w:val="center"/>
                </w:tcPr>
                <w:p w14:paraId="1B87EA07">
                  <w:pPr>
                    <w:pageBreakBefore w:val="0"/>
                    <w:kinsoku/>
                    <w:wordWrap/>
                    <w:overflowPunct/>
                    <w:topLinePunct w:val="0"/>
                    <w:autoSpaceDE/>
                    <w:autoSpaceDN/>
                    <w:bidi w:val="0"/>
                    <w:adjustRightInd/>
                    <w:snapToGrid/>
                    <w:ind w:left="0" w:leftChars="0" w:right="0" w:rightChars="0"/>
                    <w:jc w:val="center"/>
                    <w:rPr>
                      <w:rFonts w:hint="eastAsia" w:eastAsia="宋体"/>
                      <w:b/>
                      <w:color w:val="auto"/>
                      <w:sz w:val="21"/>
                      <w:szCs w:val="21"/>
                      <w:lang w:eastAsia="zh-CN"/>
                    </w:rPr>
                  </w:pPr>
                  <w:r>
                    <w:rPr>
                      <w:b/>
                      <w:color w:val="auto"/>
                      <w:sz w:val="21"/>
                      <w:szCs w:val="21"/>
                    </w:rPr>
                    <w:t>排放量</w:t>
                  </w:r>
                  <w:r>
                    <w:rPr>
                      <w:rFonts w:hint="eastAsia"/>
                      <w:bCs/>
                      <w:color w:val="auto"/>
                      <w:sz w:val="21"/>
                      <w:szCs w:val="21"/>
                      <w:lang w:val="en-US" w:eastAsia="zh-CN"/>
                    </w:rPr>
                    <w:t xml:space="preserve"> </w:t>
                  </w:r>
                </w:p>
              </w:tc>
            </w:tr>
            <w:tr w14:paraId="216DCE8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64" w:hRule="atLeast"/>
                <w:jc w:val="center"/>
              </w:trPr>
              <w:tc>
                <w:tcPr>
                  <w:tcW w:w="1016" w:type="pct"/>
                  <w:tcBorders>
                    <w:tl2br w:val="nil"/>
                    <w:tr2bl w:val="nil"/>
                  </w:tcBorders>
                  <w:shd w:val="clear" w:color="auto" w:fill="auto"/>
                  <w:vAlign w:val="center"/>
                </w:tcPr>
                <w:p w14:paraId="1BC93CEA">
                  <w:pPr>
                    <w:pageBreakBefore w:val="0"/>
                    <w:kinsoku/>
                    <w:wordWrap/>
                    <w:overflowPunct/>
                    <w:topLinePunct w:val="0"/>
                    <w:autoSpaceDE/>
                    <w:autoSpaceDN/>
                    <w:bidi w:val="0"/>
                    <w:adjustRightInd/>
                    <w:snapToGrid/>
                    <w:ind w:left="0" w:leftChars="0" w:right="0" w:rightChars="0"/>
                    <w:jc w:val="center"/>
                    <w:rPr>
                      <w:bCs/>
                      <w:color w:val="auto"/>
                      <w:sz w:val="21"/>
                      <w:szCs w:val="21"/>
                    </w:rPr>
                  </w:pPr>
                  <w:r>
                    <w:rPr>
                      <w:rFonts w:hint="eastAsia"/>
                      <w:bCs/>
                      <w:color w:val="auto"/>
                      <w:sz w:val="21"/>
                      <w:szCs w:val="21"/>
                    </w:rPr>
                    <w:t>生活用水</w:t>
                  </w:r>
                </w:p>
              </w:tc>
              <w:tc>
                <w:tcPr>
                  <w:tcW w:w="701" w:type="pct"/>
                  <w:tcBorders>
                    <w:tl2br w:val="nil"/>
                    <w:tr2bl w:val="nil"/>
                  </w:tcBorders>
                  <w:shd w:val="clear" w:color="auto" w:fill="auto"/>
                  <w:vAlign w:val="center"/>
                </w:tcPr>
                <w:p w14:paraId="67216F4F">
                  <w:pPr>
                    <w:pageBreakBefore w:val="0"/>
                    <w:kinsoku/>
                    <w:wordWrap/>
                    <w:overflowPunct/>
                    <w:topLinePunct w:val="0"/>
                    <w:autoSpaceDE/>
                    <w:autoSpaceDN/>
                    <w:bidi w:val="0"/>
                    <w:adjustRightInd/>
                    <w:snapToGrid/>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300</w:t>
                  </w:r>
                </w:p>
              </w:tc>
              <w:tc>
                <w:tcPr>
                  <w:tcW w:w="825" w:type="pct"/>
                  <w:tcBorders>
                    <w:tl2br w:val="nil"/>
                    <w:tr2bl w:val="nil"/>
                  </w:tcBorders>
                  <w:shd w:val="clear" w:color="auto" w:fill="auto"/>
                  <w:vAlign w:val="center"/>
                </w:tcPr>
                <w:p w14:paraId="5381B7A3">
                  <w:pPr>
                    <w:pageBreakBefore w:val="0"/>
                    <w:kinsoku/>
                    <w:wordWrap/>
                    <w:overflowPunct/>
                    <w:topLinePunct w:val="0"/>
                    <w:autoSpaceDE/>
                    <w:autoSpaceDN/>
                    <w:bidi w:val="0"/>
                    <w:adjustRightInd/>
                    <w:snapToGrid/>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240</w:t>
                  </w:r>
                </w:p>
              </w:tc>
              <w:tc>
                <w:tcPr>
                  <w:tcW w:w="1721" w:type="pct"/>
                  <w:tcBorders>
                    <w:tl2br w:val="nil"/>
                    <w:tr2bl w:val="nil"/>
                  </w:tcBorders>
                  <w:shd w:val="clear" w:color="auto" w:fill="auto"/>
                  <w:vAlign w:val="center"/>
                </w:tcPr>
                <w:p w14:paraId="57CE7EF7">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eastAsia="zh-CN"/>
                    </w:rPr>
                  </w:pPr>
                  <w:r>
                    <w:rPr>
                      <w:rFonts w:hint="eastAsia"/>
                      <w:bCs/>
                      <w:color w:val="auto"/>
                      <w:sz w:val="21"/>
                      <w:szCs w:val="21"/>
                    </w:rPr>
                    <w:t>生活污水经化粪池处理后，</w:t>
                  </w:r>
                  <w:r>
                    <w:rPr>
                      <w:rFonts w:hint="eastAsia"/>
                      <w:bCs/>
                      <w:color w:val="auto"/>
                      <w:sz w:val="21"/>
                      <w:szCs w:val="21"/>
                      <w:lang w:eastAsia="zh-CN"/>
                    </w:rPr>
                    <w:t>定期清掏</w:t>
                  </w:r>
                  <w:r>
                    <w:rPr>
                      <w:rFonts w:hint="eastAsia"/>
                      <w:bCs/>
                      <w:color w:val="auto"/>
                      <w:sz w:val="21"/>
                      <w:szCs w:val="21"/>
                    </w:rPr>
                    <w:t>用于</w:t>
                  </w:r>
                  <w:r>
                    <w:rPr>
                      <w:rFonts w:hint="eastAsia"/>
                      <w:bCs/>
                      <w:color w:val="auto"/>
                      <w:sz w:val="21"/>
                      <w:szCs w:val="21"/>
                      <w:lang w:eastAsia="zh-CN"/>
                    </w:rPr>
                    <w:t>周边农田施肥</w:t>
                  </w:r>
                </w:p>
              </w:tc>
              <w:tc>
                <w:tcPr>
                  <w:tcW w:w="735" w:type="pct"/>
                  <w:tcBorders>
                    <w:tl2br w:val="nil"/>
                    <w:tr2bl w:val="nil"/>
                  </w:tcBorders>
                  <w:shd w:val="clear" w:color="auto" w:fill="auto"/>
                  <w:vAlign w:val="center"/>
                </w:tcPr>
                <w:p w14:paraId="3A875567">
                  <w:pPr>
                    <w:pageBreakBefore w:val="0"/>
                    <w:kinsoku/>
                    <w:wordWrap/>
                    <w:overflowPunct/>
                    <w:topLinePunct w:val="0"/>
                    <w:autoSpaceDE/>
                    <w:autoSpaceDN/>
                    <w:bidi w:val="0"/>
                    <w:adjustRightInd/>
                    <w:snapToGrid/>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0</w:t>
                  </w:r>
                </w:p>
              </w:tc>
            </w:tr>
            <w:tr w14:paraId="65407B1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28" w:hRule="atLeast"/>
                <w:jc w:val="center"/>
              </w:trPr>
              <w:tc>
                <w:tcPr>
                  <w:tcW w:w="1016" w:type="pct"/>
                  <w:tcBorders>
                    <w:tl2br w:val="nil"/>
                    <w:tr2bl w:val="nil"/>
                  </w:tcBorders>
                  <w:shd w:val="clear" w:color="auto" w:fill="auto"/>
                  <w:vAlign w:val="center"/>
                </w:tcPr>
                <w:p w14:paraId="401BBEF8">
                  <w:pPr>
                    <w:pageBreakBefore w:val="0"/>
                    <w:kinsoku/>
                    <w:wordWrap/>
                    <w:overflowPunct/>
                    <w:topLinePunct w:val="0"/>
                    <w:autoSpaceDE/>
                    <w:autoSpaceDN/>
                    <w:bidi w:val="0"/>
                    <w:adjustRightInd/>
                    <w:snapToGrid/>
                    <w:ind w:left="0" w:leftChars="0" w:right="0" w:rightChars="0"/>
                    <w:jc w:val="center"/>
                    <w:rPr>
                      <w:rFonts w:hint="eastAsia"/>
                      <w:bCs/>
                      <w:color w:val="auto"/>
                      <w:sz w:val="21"/>
                      <w:szCs w:val="21"/>
                    </w:rPr>
                  </w:pPr>
                  <w:r>
                    <w:rPr>
                      <w:rFonts w:hint="eastAsia"/>
                      <w:bCs/>
                      <w:color w:val="auto"/>
                      <w:sz w:val="21"/>
                      <w:szCs w:val="21"/>
                    </w:rPr>
                    <w:t>锅炉用水</w:t>
                  </w:r>
                </w:p>
              </w:tc>
              <w:tc>
                <w:tcPr>
                  <w:tcW w:w="701" w:type="pct"/>
                  <w:tcBorders>
                    <w:tl2br w:val="nil"/>
                    <w:tr2bl w:val="nil"/>
                  </w:tcBorders>
                  <w:shd w:val="clear" w:color="auto" w:fill="auto"/>
                  <w:vAlign w:val="center"/>
                </w:tcPr>
                <w:p w14:paraId="08EAA687">
                  <w:pPr>
                    <w:pageBreakBefore w:val="0"/>
                    <w:kinsoku/>
                    <w:wordWrap/>
                    <w:overflowPunct/>
                    <w:topLinePunct w:val="0"/>
                    <w:autoSpaceDE/>
                    <w:autoSpaceDN/>
                    <w:bidi w:val="0"/>
                    <w:adjustRightInd/>
                    <w:snapToGrid/>
                    <w:ind w:left="0" w:leftChars="0" w:right="0" w:rightChars="0"/>
                    <w:jc w:val="center"/>
                    <w:rPr>
                      <w:rFonts w:hint="default"/>
                      <w:bCs/>
                      <w:color w:val="auto"/>
                      <w:sz w:val="21"/>
                      <w:szCs w:val="21"/>
                      <w:lang w:val="en-US" w:eastAsia="zh-CN"/>
                    </w:rPr>
                  </w:pPr>
                  <w:r>
                    <w:rPr>
                      <w:rFonts w:hint="eastAsia"/>
                      <w:bCs/>
                      <w:color w:val="auto"/>
                      <w:sz w:val="21"/>
                      <w:szCs w:val="21"/>
                      <w:lang w:val="en-US" w:eastAsia="zh-CN"/>
                    </w:rPr>
                    <w:t>1200</w:t>
                  </w:r>
                </w:p>
              </w:tc>
              <w:tc>
                <w:tcPr>
                  <w:tcW w:w="825" w:type="pct"/>
                  <w:tcBorders>
                    <w:tl2br w:val="nil"/>
                    <w:tr2bl w:val="nil"/>
                  </w:tcBorders>
                  <w:shd w:val="clear" w:color="auto" w:fill="auto"/>
                  <w:vAlign w:val="center"/>
                </w:tcPr>
                <w:p w14:paraId="2DAAB0D1">
                  <w:pPr>
                    <w:pageBreakBefore w:val="0"/>
                    <w:kinsoku/>
                    <w:wordWrap/>
                    <w:overflowPunct/>
                    <w:topLinePunct w:val="0"/>
                    <w:autoSpaceDE/>
                    <w:autoSpaceDN/>
                    <w:bidi w:val="0"/>
                    <w:adjustRightInd/>
                    <w:snapToGrid/>
                    <w:ind w:left="0" w:leftChars="0" w:right="0" w:rightChars="0"/>
                    <w:jc w:val="center"/>
                    <w:rPr>
                      <w:rFonts w:hint="default"/>
                      <w:bCs/>
                      <w:color w:val="auto"/>
                      <w:sz w:val="21"/>
                      <w:szCs w:val="21"/>
                      <w:lang w:val="en-US" w:eastAsia="zh-CN"/>
                    </w:rPr>
                  </w:pPr>
                  <w:r>
                    <w:rPr>
                      <w:rFonts w:hint="eastAsia"/>
                      <w:bCs/>
                      <w:color w:val="auto"/>
                      <w:sz w:val="21"/>
                      <w:szCs w:val="21"/>
                      <w:lang w:val="en-US" w:eastAsia="zh-CN"/>
                    </w:rPr>
                    <w:t>0</w:t>
                  </w:r>
                </w:p>
              </w:tc>
              <w:tc>
                <w:tcPr>
                  <w:tcW w:w="1721" w:type="pct"/>
                  <w:tcBorders>
                    <w:tl2br w:val="nil"/>
                    <w:tr2bl w:val="nil"/>
                  </w:tcBorders>
                  <w:shd w:val="clear" w:color="auto" w:fill="auto"/>
                  <w:vAlign w:val="center"/>
                </w:tcPr>
                <w:p w14:paraId="0C177682">
                  <w:pPr>
                    <w:pageBreakBefore w:val="0"/>
                    <w:kinsoku/>
                    <w:wordWrap/>
                    <w:overflowPunct/>
                    <w:topLinePunct w:val="0"/>
                    <w:autoSpaceDE/>
                    <w:autoSpaceDN/>
                    <w:bidi w:val="0"/>
                    <w:adjustRightInd/>
                    <w:snapToGrid/>
                    <w:ind w:left="0" w:leftChars="0" w:right="0" w:rightChars="0"/>
                    <w:jc w:val="center"/>
                    <w:rPr>
                      <w:rFonts w:hint="default" w:eastAsia="宋体"/>
                      <w:bCs/>
                      <w:color w:val="auto"/>
                      <w:sz w:val="21"/>
                      <w:szCs w:val="21"/>
                      <w:lang w:val="en-US" w:eastAsia="zh-CN"/>
                    </w:rPr>
                  </w:pPr>
                  <w:r>
                    <w:rPr>
                      <w:rFonts w:hint="eastAsia"/>
                      <w:bCs/>
                      <w:color w:val="auto"/>
                      <w:sz w:val="21"/>
                      <w:szCs w:val="21"/>
                      <w:lang w:val="en-US" w:eastAsia="zh-CN"/>
                    </w:rPr>
                    <w:t>/</w:t>
                  </w:r>
                </w:p>
              </w:tc>
              <w:tc>
                <w:tcPr>
                  <w:tcW w:w="735" w:type="pct"/>
                  <w:tcBorders>
                    <w:tl2br w:val="nil"/>
                    <w:tr2bl w:val="nil"/>
                  </w:tcBorders>
                  <w:shd w:val="clear" w:color="auto" w:fill="auto"/>
                  <w:vAlign w:val="center"/>
                </w:tcPr>
                <w:p w14:paraId="3A9509CE">
                  <w:pPr>
                    <w:pageBreakBefore w:val="0"/>
                    <w:kinsoku/>
                    <w:wordWrap/>
                    <w:overflowPunct/>
                    <w:topLinePunct w:val="0"/>
                    <w:autoSpaceDE/>
                    <w:autoSpaceDN/>
                    <w:bidi w:val="0"/>
                    <w:adjustRightInd/>
                    <w:snapToGrid/>
                    <w:ind w:left="0" w:leftChars="0" w:right="0" w:rightChars="0"/>
                    <w:jc w:val="center"/>
                    <w:rPr>
                      <w:rFonts w:hint="default"/>
                      <w:bCs/>
                      <w:color w:val="auto"/>
                      <w:sz w:val="21"/>
                      <w:szCs w:val="21"/>
                      <w:lang w:val="en-US" w:eastAsia="zh-CN"/>
                    </w:rPr>
                  </w:pPr>
                  <w:r>
                    <w:rPr>
                      <w:rFonts w:hint="eastAsia"/>
                      <w:bCs/>
                      <w:color w:val="auto"/>
                      <w:sz w:val="21"/>
                      <w:szCs w:val="21"/>
                      <w:lang w:val="en-US" w:eastAsia="zh-CN"/>
                    </w:rPr>
                    <w:t>0</w:t>
                  </w:r>
                </w:p>
              </w:tc>
            </w:tr>
            <w:tr w14:paraId="1EA3264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64" w:hRule="atLeast"/>
                <w:jc w:val="center"/>
              </w:trPr>
              <w:tc>
                <w:tcPr>
                  <w:tcW w:w="1016" w:type="pct"/>
                  <w:tcBorders>
                    <w:tl2br w:val="nil"/>
                    <w:tr2bl w:val="nil"/>
                  </w:tcBorders>
                  <w:shd w:val="clear" w:color="auto" w:fill="auto"/>
                  <w:vAlign w:val="center"/>
                </w:tcPr>
                <w:p w14:paraId="40B4E458">
                  <w:pPr>
                    <w:pageBreakBefore w:val="0"/>
                    <w:kinsoku/>
                    <w:wordWrap/>
                    <w:overflowPunct/>
                    <w:topLinePunct w:val="0"/>
                    <w:autoSpaceDE/>
                    <w:autoSpaceDN/>
                    <w:bidi w:val="0"/>
                    <w:adjustRightInd/>
                    <w:snapToGrid/>
                    <w:ind w:left="0" w:leftChars="0" w:right="0" w:rightChars="0"/>
                    <w:jc w:val="center"/>
                    <w:rPr>
                      <w:rFonts w:hint="eastAsia"/>
                      <w:bCs/>
                      <w:color w:val="auto"/>
                      <w:sz w:val="21"/>
                      <w:szCs w:val="21"/>
                    </w:rPr>
                  </w:pPr>
                  <w:r>
                    <w:rPr>
                      <w:rFonts w:hint="eastAsia"/>
                      <w:bCs/>
                      <w:color w:val="auto"/>
                      <w:sz w:val="21"/>
                      <w:szCs w:val="21"/>
                      <w:lang w:val="en-US" w:eastAsia="zh-CN"/>
                    </w:rPr>
                    <w:t>喷淋塔补充用水</w:t>
                  </w:r>
                </w:p>
              </w:tc>
              <w:tc>
                <w:tcPr>
                  <w:tcW w:w="701" w:type="pct"/>
                  <w:tcBorders>
                    <w:tl2br w:val="nil"/>
                    <w:tr2bl w:val="nil"/>
                  </w:tcBorders>
                  <w:shd w:val="clear" w:color="auto" w:fill="auto"/>
                  <w:vAlign w:val="center"/>
                </w:tcPr>
                <w:p w14:paraId="5660CD73">
                  <w:pPr>
                    <w:pageBreakBefore w:val="0"/>
                    <w:kinsoku/>
                    <w:wordWrap/>
                    <w:overflowPunct/>
                    <w:topLinePunct w:val="0"/>
                    <w:autoSpaceDE/>
                    <w:autoSpaceDN/>
                    <w:bidi w:val="0"/>
                    <w:adjustRightInd/>
                    <w:snapToGrid/>
                    <w:ind w:left="0" w:leftChars="0" w:right="0" w:rightChars="0"/>
                    <w:jc w:val="center"/>
                    <w:rPr>
                      <w:rFonts w:hint="default"/>
                      <w:bCs/>
                      <w:color w:val="auto"/>
                      <w:sz w:val="21"/>
                      <w:szCs w:val="21"/>
                      <w:lang w:val="en-US" w:eastAsia="zh-CN"/>
                    </w:rPr>
                  </w:pPr>
                  <w:r>
                    <w:rPr>
                      <w:rFonts w:hint="eastAsia"/>
                      <w:bCs/>
                      <w:color w:val="auto"/>
                      <w:sz w:val="21"/>
                      <w:szCs w:val="21"/>
                      <w:lang w:val="en-US" w:eastAsia="zh-CN"/>
                    </w:rPr>
                    <w:t>450</w:t>
                  </w:r>
                </w:p>
              </w:tc>
              <w:tc>
                <w:tcPr>
                  <w:tcW w:w="825" w:type="pct"/>
                  <w:tcBorders>
                    <w:tl2br w:val="nil"/>
                    <w:tr2bl w:val="nil"/>
                  </w:tcBorders>
                  <w:shd w:val="clear" w:color="auto" w:fill="auto"/>
                  <w:vAlign w:val="center"/>
                </w:tcPr>
                <w:p w14:paraId="7AD2D2DB">
                  <w:pPr>
                    <w:pageBreakBefore w:val="0"/>
                    <w:kinsoku/>
                    <w:wordWrap/>
                    <w:overflowPunct/>
                    <w:topLinePunct w:val="0"/>
                    <w:autoSpaceDE/>
                    <w:autoSpaceDN/>
                    <w:bidi w:val="0"/>
                    <w:adjustRightInd/>
                    <w:snapToGrid/>
                    <w:ind w:left="0" w:leftChars="0" w:right="0" w:rightChars="0"/>
                    <w:jc w:val="center"/>
                    <w:rPr>
                      <w:rFonts w:hint="default"/>
                      <w:bCs/>
                      <w:color w:val="auto"/>
                      <w:sz w:val="21"/>
                      <w:szCs w:val="21"/>
                      <w:lang w:val="en-US" w:eastAsia="zh-CN"/>
                    </w:rPr>
                  </w:pPr>
                  <w:r>
                    <w:rPr>
                      <w:rFonts w:hint="eastAsia"/>
                      <w:bCs/>
                      <w:color w:val="auto"/>
                      <w:sz w:val="21"/>
                      <w:szCs w:val="21"/>
                      <w:lang w:val="en-US" w:eastAsia="zh-CN"/>
                    </w:rPr>
                    <w:t>0</w:t>
                  </w:r>
                </w:p>
              </w:tc>
              <w:tc>
                <w:tcPr>
                  <w:tcW w:w="1721" w:type="pct"/>
                  <w:tcBorders>
                    <w:tl2br w:val="nil"/>
                    <w:tr2bl w:val="nil"/>
                  </w:tcBorders>
                  <w:shd w:val="clear" w:color="auto" w:fill="auto"/>
                  <w:vAlign w:val="center"/>
                </w:tcPr>
                <w:p w14:paraId="70ADF56D">
                  <w:pPr>
                    <w:pageBreakBefore w:val="0"/>
                    <w:kinsoku/>
                    <w:wordWrap/>
                    <w:overflowPunct/>
                    <w:topLinePunct w:val="0"/>
                    <w:autoSpaceDE/>
                    <w:autoSpaceDN/>
                    <w:bidi w:val="0"/>
                    <w:adjustRightInd/>
                    <w:snapToGrid/>
                    <w:ind w:left="0" w:leftChars="0" w:right="0" w:rightChars="0"/>
                    <w:jc w:val="center"/>
                    <w:rPr>
                      <w:rFonts w:hint="eastAsia"/>
                      <w:bCs/>
                      <w:color w:val="auto"/>
                      <w:sz w:val="21"/>
                      <w:szCs w:val="21"/>
                      <w:lang w:val="en-US" w:eastAsia="zh-CN"/>
                    </w:rPr>
                  </w:pPr>
                  <w:r>
                    <w:rPr>
                      <w:rFonts w:hint="eastAsia"/>
                      <w:bCs/>
                      <w:color w:val="auto"/>
                      <w:sz w:val="21"/>
                      <w:szCs w:val="21"/>
                      <w:lang w:val="en-US" w:eastAsia="zh-CN"/>
                    </w:rPr>
                    <w:t>/</w:t>
                  </w:r>
                </w:p>
              </w:tc>
              <w:tc>
                <w:tcPr>
                  <w:tcW w:w="735" w:type="pct"/>
                  <w:tcBorders>
                    <w:tl2br w:val="nil"/>
                    <w:tr2bl w:val="nil"/>
                  </w:tcBorders>
                  <w:shd w:val="clear" w:color="auto" w:fill="auto"/>
                  <w:vAlign w:val="center"/>
                </w:tcPr>
                <w:p w14:paraId="5F4117AB">
                  <w:pPr>
                    <w:pageBreakBefore w:val="0"/>
                    <w:kinsoku/>
                    <w:wordWrap/>
                    <w:overflowPunct/>
                    <w:topLinePunct w:val="0"/>
                    <w:autoSpaceDE/>
                    <w:autoSpaceDN/>
                    <w:bidi w:val="0"/>
                    <w:adjustRightInd/>
                    <w:snapToGrid/>
                    <w:ind w:left="0" w:leftChars="0" w:right="0" w:rightChars="0"/>
                    <w:jc w:val="center"/>
                    <w:rPr>
                      <w:rFonts w:hint="default"/>
                      <w:bCs/>
                      <w:color w:val="auto"/>
                      <w:sz w:val="21"/>
                      <w:szCs w:val="21"/>
                      <w:lang w:val="en-US" w:eastAsia="zh-CN"/>
                    </w:rPr>
                  </w:pPr>
                  <w:r>
                    <w:rPr>
                      <w:rFonts w:hint="eastAsia"/>
                      <w:bCs/>
                      <w:color w:val="auto"/>
                      <w:sz w:val="21"/>
                      <w:szCs w:val="21"/>
                      <w:lang w:val="en-US" w:eastAsia="zh-CN"/>
                    </w:rPr>
                    <w:t>0</w:t>
                  </w:r>
                </w:p>
              </w:tc>
            </w:tr>
          </w:tbl>
          <w:p w14:paraId="6F24C08D">
            <w:pPr>
              <w:pageBreakBefore w:val="0"/>
              <w:widowControl/>
              <w:kinsoku/>
              <w:wordWrap/>
              <w:overflowPunct/>
              <w:topLinePunct w:val="0"/>
              <w:autoSpaceDE/>
              <w:autoSpaceDN/>
              <w:bidi w:val="0"/>
              <w:adjustRightInd/>
              <w:snapToGrid/>
              <w:spacing w:line="360" w:lineRule="auto"/>
              <w:ind w:right="0" w:rightChars="0"/>
              <w:jc w:val="both"/>
              <w:rPr>
                <w:b/>
                <w:color w:val="auto"/>
                <w:kern w:val="0"/>
                <w:sz w:val="24"/>
              </w:rPr>
            </w:pPr>
            <w:r>
              <w:rPr>
                <w:b/>
                <w:color w:val="auto"/>
                <w:kern w:val="0"/>
                <w:sz w:val="24"/>
              </w:rPr>
              <w:object>
                <v:shape id="_x0000_i1025" o:spt="75" type="#_x0000_t75" style="height:232.85pt;width:422.9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7764B04E">
            <w:pPr>
              <w:pageBreakBefore w:val="0"/>
              <w:widowControl/>
              <w:kinsoku/>
              <w:wordWrap/>
              <w:overflowPunct/>
              <w:topLinePunct w:val="0"/>
              <w:autoSpaceDE/>
              <w:autoSpaceDN/>
              <w:bidi w:val="0"/>
              <w:adjustRightInd/>
              <w:snapToGrid/>
              <w:spacing w:line="360" w:lineRule="auto"/>
              <w:ind w:left="0" w:leftChars="0" w:right="0" w:rightChars="0" w:firstLine="482" w:firstLineChars="200"/>
              <w:jc w:val="center"/>
              <w:rPr>
                <w:rFonts w:hint="eastAsia"/>
                <w:b/>
                <w:color w:val="auto"/>
                <w:kern w:val="0"/>
                <w:sz w:val="24"/>
              </w:rPr>
            </w:pPr>
            <w:r>
              <w:rPr>
                <w:b/>
                <w:color w:val="auto"/>
                <w:kern w:val="0"/>
                <w:sz w:val="24"/>
              </w:rPr>
              <w:t>图2-</w:t>
            </w:r>
            <w:r>
              <w:rPr>
                <w:rFonts w:hint="eastAsia"/>
                <w:b/>
                <w:color w:val="auto"/>
                <w:kern w:val="0"/>
                <w:sz w:val="24"/>
              </w:rPr>
              <w:t>5</w:t>
            </w:r>
            <w:r>
              <w:rPr>
                <w:b/>
                <w:color w:val="auto"/>
                <w:kern w:val="0"/>
                <w:sz w:val="24"/>
              </w:rPr>
              <w:t xml:space="preserve"> 项目给排水平衡图</w:t>
            </w:r>
            <w:r>
              <w:rPr>
                <w:rFonts w:hint="eastAsia"/>
                <w:b/>
                <w:color w:val="auto"/>
                <w:kern w:val="0"/>
                <w:sz w:val="24"/>
              </w:rPr>
              <w:t>（t/d）</w:t>
            </w:r>
          </w:p>
          <w:p w14:paraId="5261D013">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rPr>
                <w:color w:val="auto"/>
                <w:kern w:val="0"/>
                <w:sz w:val="24"/>
              </w:rPr>
            </w:pPr>
            <w:r>
              <w:rPr>
                <w:color w:val="auto"/>
                <w:kern w:val="0"/>
                <w:sz w:val="24"/>
              </w:rPr>
              <w:t>（</w:t>
            </w:r>
            <w:r>
              <w:rPr>
                <w:rFonts w:hint="eastAsia"/>
                <w:color w:val="auto"/>
                <w:kern w:val="0"/>
                <w:sz w:val="24"/>
              </w:rPr>
              <w:t>2</w:t>
            </w:r>
            <w:r>
              <w:rPr>
                <w:color w:val="auto"/>
                <w:kern w:val="0"/>
                <w:sz w:val="24"/>
              </w:rPr>
              <w:t>）供电</w:t>
            </w:r>
          </w:p>
          <w:p w14:paraId="2C89EC02">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rPr>
                <w:color w:val="auto"/>
                <w:kern w:val="0"/>
                <w:sz w:val="24"/>
              </w:rPr>
            </w:pPr>
            <w:r>
              <w:rPr>
                <w:rFonts w:hint="eastAsia"/>
                <w:color w:val="auto"/>
                <w:kern w:val="0"/>
                <w:sz w:val="24"/>
              </w:rPr>
              <w:t>市供电电网供</w:t>
            </w:r>
            <w:r>
              <w:rPr>
                <w:color w:val="auto"/>
                <w:kern w:val="0"/>
                <w:sz w:val="24"/>
              </w:rPr>
              <w:t>电</w:t>
            </w:r>
            <w:r>
              <w:rPr>
                <w:rFonts w:hint="eastAsia"/>
                <w:color w:val="auto"/>
                <w:kern w:val="0"/>
                <w:sz w:val="24"/>
              </w:rPr>
              <w:t>，年用新增电量</w:t>
            </w:r>
            <w:r>
              <w:rPr>
                <w:rFonts w:hint="eastAsia"/>
                <w:color w:val="auto"/>
                <w:kern w:val="0"/>
                <w:sz w:val="24"/>
                <w:lang w:val="en-US" w:eastAsia="zh-CN"/>
              </w:rPr>
              <w:t>5</w:t>
            </w:r>
            <w:r>
              <w:rPr>
                <w:rFonts w:hint="eastAsia"/>
                <w:color w:val="auto"/>
                <w:kern w:val="0"/>
                <w:sz w:val="24"/>
              </w:rPr>
              <w:t>0万</w:t>
            </w:r>
            <w:r>
              <w:rPr>
                <w:rFonts w:hint="eastAsia"/>
                <w:color w:val="auto"/>
                <w:kern w:val="0"/>
                <w:sz w:val="24"/>
                <w:lang w:val="en-US" w:eastAsia="zh-CN"/>
              </w:rPr>
              <w:t>kW·h</w:t>
            </w:r>
            <w:r>
              <w:rPr>
                <w:color w:val="auto"/>
                <w:kern w:val="0"/>
                <w:sz w:val="24"/>
              </w:rPr>
              <w:t>/a，可以满足项目生产及生活需要。</w:t>
            </w:r>
          </w:p>
          <w:p w14:paraId="7EC99A3C">
            <w:pPr>
              <w:pageBreakBefore w:val="0"/>
              <w:kinsoku/>
              <w:wordWrap/>
              <w:overflowPunct/>
              <w:topLinePunct w:val="0"/>
              <w:autoSpaceDE/>
              <w:autoSpaceDN/>
              <w:bidi w:val="0"/>
              <w:adjustRightInd/>
              <w:snapToGrid/>
              <w:spacing w:line="360" w:lineRule="auto"/>
              <w:ind w:left="0" w:leftChars="0" w:right="0" w:rightChars="0" w:firstLine="482" w:firstLineChars="200"/>
              <w:rPr>
                <w:b/>
                <w:color w:val="auto"/>
                <w:sz w:val="24"/>
                <w:szCs w:val="32"/>
              </w:rPr>
            </w:pPr>
            <w:r>
              <w:rPr>
                <w:rFonts w:hint="eastAsia"/>
                <w:b/>
                <w:color w:val="auto"/>
                <w:sz w:val="24"/>
                <w:szCs w:val="32"/>
              </w:rPr>
              <w:t>7</w:t>
            </w:r>
            <w:r>
              <w:rPr>
                <w:b/>
                <w:color w:val="auto"/>
                <w:sz w:val="24"/>
                <w:szCs w:val="32"/>
              </w:rPr>
              <w:t>、项目定员及工作制度</w:t>
            </w:r>
          </w:p>
          <w:p w14:paraId="7519CC56">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sz w:val="24"/>
                <w:szCs w:val="32"/>
              </w:rPr>
            </w:pPr>
            <w:r>
              <w:rPr>
                <w:color w:val="auto"/>
                <w:sz w:val="24"/>
                <w:szCs w:val="32"/>
              </w:rPr>
              <w:t>职工人数：本项目拟</w:t>
            </w:r>
            <w:r>
              <w:rPr>
                <w:rFonts w:hint="eastAsia"/>
                <w:color w:val="auto"/>
                <w:sz w:val="24"/>
                <w:szCs w:val="32"/>
              </w:rPr>
              <w:t>新增</w:t>
            </w:r>
            <w:r>
              <w:rPr>
                <w:color w:val="auto"/>
                <w:sz w:val="24"/>
                <w:szCs w:val="32"/>
              </w:rPr>
              <w:t>员工共计</w:t>
            </w:r>
            <w:r>
              <w:rPr>
                <w:rFonts w:hint="eastAsia"/>
                <w:color w:val="auto"/>
                <w:sz w:val="24"/>
                <w:szCs w:val="32"/>
                <w:lang w:val="en-US" w:eastAsia="zh-CN"/>
              </w:rPr>
              <w:t>2</w:t>
            </w:r>
            <w:r>
              <w:rPr>
                <w:rFonts w:hint="eastAsia"/>
                <w:color w:val="auto"/>
                <w:sz w:val="24"/>
                <w:szCs w:val="32"/>
              </w:rPr>
              <w:t>0</w:t>
            </w:r>
            <w:r>
              <w:rPr>
                <w:color w:val="auto"/>
                <w:sz w:val="24"/>
                <w:szCs w:val="32"/>
              </w:rPr>
              <w:t>人。</w:t>
            </w:r>
          </w:p>
          <w:p w14:paraId="41A9E31D">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rPr>
            </w:pPr>
            <w:r>
              <w:rPr>
                <w:color w:val="auto"/>
                <w:sz w:val="24"/>
                <w:szCs w:val="32"/>
              </w:rPr>
              <w:t>工作制度：年工作300天，实行</w:t>
            </w:r>
            <w:r>
              <w:rPr>
                <w:rFonts w:hint="eastAsia"/>
                <w:color w:val="auto"/>
                <w:sz w:val="24"/>
                <w:szCs w:val="32"/>
                <w:lang w:val="en-US" w:eastAsia="zh-CN"/>
              </w:rPr>
              <w:t>单</w:t>
            </w:r>
            <w:r>
              <w:rPr>
                <w:color w:val="auto"/>
                <w:sz w:val="24"/>
                <w:szCs w:val="32"/>
              </w:rPr>
              <w:t>班制，每班工作</w:t>
            </w:r>
            <w:r>
              <w:rPr>
                <w:rFonts w:hint="eastAsia"/>
                <w:color w:val="auto"/>
                <w:sz w:val="24"/>
                <w:szCs w:val="32"/>
                <w:lang w:val="en-US" w:eastAsia="zh-CN"/>
              </w:rPr>
              <w:t>10</w:t>
            </w:r>
            <w:r>
              <w:rPr>
                <w:color w:val="auto"/>
                <w:sz w:val="24"/>
                <w:szCs w:val="32"/>
              </w:rPr>
              <w:t>h。</w:t>
            </w:r>
          </w:p>
          <w:p w14:paraId="03CEB34C">
            <w:pPr>
              <w:pageBreakBefore w:val="0"/>
              <w:kinsoku/>
              <w:wordWrap/>
              <w:overflowPunct/>
              <w:topLinePunct w:val="0"/>
              <w:autoSpaceDE/>
              <w:autoSpaceDN/>
              <w:bidi w:val="0"/>
              <w:adjustRightInd/>
              <w:snapToGrid/>
              <w:spacing w:line="360" w:lineRule="auto"/>
              <w:ind w:left="0" w:leftChars="0" w:right="0" w:rightChars="0" w:firstLine="482" w:firstLineChars="200"/>
              <w:rPr>
                <w:b/>
                <w:color w:val="auto"/>
                <w:sz w:val="24"/>
                <w:szCs w:val="32"/>
              </w:rPr>
            </w:pPr>
            <w:r>
              <w:rPr>
                <w:rFonts w:hint="eastAsia"/>
                <w:b/>
                <w:color w:val="auto"/>
                <w:sz w:val="24"/>
                <w:szCs w:val="32"/>
              </w:rPr>
              <w:t>8</w:t>
            </w:r>
            <w:r>
              <w:rPr>
                <w:b/>
                <w:color w:val="auto"/>
                <w:sz w:val="24"/>
                <w:szCs w:val="32"/>
              </w:rPr>
              <w:t>、平面布局</w:t>
            </w:r>
          </w:p>
          <w:p w14:paraId="36F530C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32"/>
              </w:rPr>
            </w:pPr>
            <w:r>
              <w:rPr>
                <w:rFonts w:hint="default" w:ascii="Times New Roman" w:hAnsi="Times New Roman" w:cs="Times New Roman" w:eastAsiaTheme="minorEastAsia"/>
                <w:color w:val="auto"/>
                <w:sz w:val="24"/>
                <w:szCs w:val="20"/>
                <w:lang w:val="en-US"/>
              </w:rPr>
              <w:t>项目位于</w:t>
            </w:r>
            <w:r>
              <w:rPr>
                <w:rFonts w:hint="eastAsia" w:cs="Times New Roman" w:eastAsiaTheme="minorEastAsia"/>
                <w:color w:val="auto"/>
                <w:sz w:val="24"/>
                <w:szCs w:val="20"/>
                <w:lang w:val="en-US" w:eastAsia="zh-CN"/>
              </w:rPr>
              <w:t>金寨县青山镇毛竹工业园</w:t>
            </w:r>
            <w:r>
              <w:rPr>
                <w:rFonts w:hint="default" w:ascii="Times New Roman" w:hAnsi="Times New Roman" w:cs="Times New Roman" w:eastAsiaTheme="minorEastAsia"/>
                <w:color w:val="auto"/>
                <w:sz w:val="24"/>
                <w:szCs w:val="20"/>
                <w:lang w:val="en-US"/>
              </w:rPr>
              <w:t>，东侧为</w:t>
            </w:r>
            <w:r>
              <w:rPr>
                <w:rFonts w:hint="eastAsia" w:cs="Times New Roman" w:eastAsiaTheme="minorEastAsia"/>
                <w:color w:val="auto"/>
                <w:sz w:val="24"/>
                <w:szCs w:val="20"/>
                <w:lang w:val="en-US" w:eastAsia="zh-CN"/>
              </w:rPr>
              <w:t>道路</w:t>
            </w:r>
            <w:r>
              <w:rPr>
                <w:rFonts w:hint="default" w:ascii="Times New Roman" w:hAnsi="Times New Roman" w:cs="Times New Roman" w:eastAsiaTheme="minorEastAsia"/>
                <w:color w:val="auto"/>
                <w:sz w:val="24"/>
                <w:szCs w:val="20"/>
                <w:lang w:val="en-US"/>
              </w:rPr>
              <w:t>，南侧为</w:t>
            </w:r>
            <w:r>
              <w:rPr>
                <w:rFonts w:hint="eastAsia" w:cs="Times New Roman" w:eastAsiaTheme="minorEastAsia"/>
                <w:color w:val="auto"/>
                <w:sz w:val="24"/>
                <w:szCs w:val="20"/>
                <w:lang w:val="en-US" w:eastAsia="zh-CN"/>
              </w:rPr>
              <w:t>金寨县峻岭建筑材料有限公司</w:t>
            </w:r>
            <w:r>
              <w:rPr>
                <w:rFonts w:hint="default" w:ascii="Times New Roman" w:hAnsi="Times New Roman" w:cs="Times New Roman" w:eastAsiaTheme="minorEastAsia"/>
                <w:color w:val="auto"/>
                <w:sz w:val="24"/>
                <w:szCs w:val="20"/>
                <w:lang w:val="en-US"/>
              </w:rPr>
              <w:t>，西侧为</w:t>
            </w:r>
            <w:r>
              <w:rPr>
                <w:rFonts w:hint="eastAsia" w:cs="Times New Roman" w:eastAsiaTheme="minorEastAsia"/>
                <w:color w:val="auto"/>
                <w:sz w:val="24"/>
                <w:szCs w:val="20"/>
                <w:lang w:val="en-US" w:eastAsia="zh-CN"/>
              </w:rPr>
              <w:t>西淠河，河对岸99m为汤店新村</w:t>
            </w:r>
            <w:r>
              <w:rPr>
                <w:rFonts w:hint="default" w:ascii="Times New Roman" w:hAnsi="Times New Roman" w:cs="Times New Roman" w:eastAsiaTheme="minorEastAsia"/>
                <w:color w:val="auto"/>
                <w:sz w:val="24"/>
                <w:szCs w:val="20"/>
                <w:lang w:val="en-US"/>
              </w:rPr>
              <w:t>，北侧为</w:t>
            </w:r>
            <w:r>
              <w:rPr>
                <w:rFonts w:hint="eastAsia" w:cs="Times New Roman" w:eastAsiaTheme="minorEastAsia"/>
                <w:color w:val="auto"/>
                <w:sz w:val="24"/>
                <w:szCs w:val="20"/>
                <w:lang w:val="en-US" w:eastAsia="zh-CN"/>
              </w:rPr>
              <w:t>S311省道</w:t>
            </w:r>
            <w:r>
              <w:rPr>
                <w:rFonts w:hint="default" w:ascii="Times New Roman" w:hAnsi="Times New Roman" w:cs="Times New Roman" w:eastAsiaTheme="minorEastAsia"/>
                <w:color w:val="auto"/>
                <w:sz w:val="24"/>
                <w:szCs w:val="20"/>
                <w:lang w:val="en-US"/>
              </w:rPr>
              <w:t>。</w:t>
            </w:r>
          </w:p>
          <w:p w14:paraId="6AA16613">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sz w:val="24"/>
                <w:szCs w:val="32"/>
              </w:rPr>
            </w:pPr>
            <w:r>
              <w:rPr>
                <w:rFonts w:hint="eastAsia"/>
                <w:color w:val="auto"/>
                <w:sz w:val="24"/>
                <w:szCs w:val="32"/>
              </w:rPr>
              <w:t>厂区平面布置符合生产行业要求，满足生产工艺和安全生产。生产区与办公区分离，供电、供水线路简捷方便，土地利用及投资合理，突出与周围环境的协调一致性。厂区布设人流物流顺畅，便于生产，平面布置合理。总体来说，厂区总平面布置合理，分区明确，交通便捷，空间利用合理有序</w:t>
            </w:r>
            <w:r>
              <w:rPr>
                <w:rFonts w:hint="eastAsia"/>
                <w:color w:val="auto"/>
                <w:sz w:val="24"/>
                <w:szCs w:val="32"/>
                <w:lang w:val="en-US"/>
              </w:rPr>
              <w:t>。</w:t>
            </w:r>
            <w:r>
              <w:rPr>
                <w:color w:val="auto"/>
                <w:sz w:val="24"/>
                <w:szCs w:val="32"/>
              </w:rPr>
              <w:t>具体布局见附图</w:t>
            </w:r>
            <w:r>
              <w:rPr>
                <w:rFonts w:hint="eastAsia"/>
                <w:color w:val="auto"/>
                <w:sz w:val="24"/>
                <w:szCs w:val="32"/>
                <w:lang w:val="en-US" w:eastAsia="zh-CN"/>
              </w:rPr>
              <w:t>2</w:t>
            </w:r>
            <w:r>
              <w:rPr>
                <w:color w:val="auto"/>
                <w:sz w:val="24"/>
                <w:szCs w:val="32"/>
              </w:rPr>
              <w:t>。</w:t>
            </w:r>
          </w:p>
        </w:tc>
      </w:tr>
      <w:tr w14:paraId="59210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4" w:hRule="atLeast"/>
          <w:jc w:val="center"/>
        </w:trPr>
        <w:tc>
          <w:tcPr>
            <w:tcW w:w="327" w:type="pct"/>
            <w:vAlign w:val="center"/>
          </w:tcPr>
          <w:p w14:paraId="7CA42149">
            <w:pPr>
              <w:pStyle w:val="28"/>
              <w:pageBreakBefore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ascii="Times New Roman" w:hAnsi="Times New Roman"/>
                <w:color w:val="auto"/>
                <w:sz w:val="21"/>
                <w:szCs w:val="21"/>
              </w:rPr>
            </w:pPr>
            <w:r>
              <w:rPr>
                <w:rFonts w:ascii="Times New Roman" w:hAnsi="Times New Roman"/>
                <w:b/>
                <w:bCs/>
                <w:color w:val="auto"/>
                <w:szCs w:val="24"/>
              </w:rPr>
              <w:t>工艺流程和产排污环节</w:t>
            </w:r>
          </w:p>
        </w:tc>
        <w:tc>
          <w:tcPr>
            <w:tcW w:w="4672" w:type="pct"/>
          </w:tcPr>
          <w:p w14:paraId="4762B504">
            <w:pPr>
              <w:pageBreakBefore w:val="0"/>
              <w:kinsoku/>
              <w:wordWrap/>
              <w:overflowPunct/>
              <w:topLinePunct w:val="0"/>
              <w:autoSpaceDE/>
              <w:autoSpaceDN/>
              <w:bidi w:val="0"/>
              <w:adjustRightInd/>
              <w:snapToGrid/>
              <w:spacing w:line="360" w:lineRule="auto"/>
              <w:ind w:left="0" w:leftChars="0" w:right="0" w:rightChars="0" w:firstLine="482" w:firstLineChars="200"/>
              <w:rPr>
                <w:b/>
                <w:bCs/>
                <w:color w:val="auto"/>
                <w:sz w:val="24"/>
                <w:szCs w:val="32"/>
              </w:rPr>
            </w:pPr>
            <w:r>
              <w:rPr>
                <w:b/>
                <w:bCs/>
                <w:color w:val="auto"/>
                <w:sz w:val="24"/>
                <w:szCs w:val="32"/>
              </w:rPr>
              <w:t>运营期</w:t>
            </w:r>
          </w:p>
          <w:p w14:paraId="01F795CE">
            <w:pPr>
              <w:pageBreakBefore w:val="0"/>
              <w:kinsoku/>
              <w:wordWrap/>
              <w:overflowPunct/>
              <w:topLinePunct w:val="0"/>
              <w:autoSpaceDE/>
              <w:autoSpaceDN/>
              <w:bidi w:val="0"/>
              <w:adjustRightInd/>
              <w:snapToGrid/>
              <w:spacing w:line="360" w:lineRule="auto"/>
              <w:ind w:left="0" w:leftChars="0" w:right="0" w:rightChars="0" w:firstLine="480" w:firstLineChars="200"/>
              <w:rPr>
                <w:color w:val="auto"/>
              </w:rPr>
            </w:pPr>
            <w:r>
              <w:rPr>
                <w:rFonts w:hint="eastAsia"/>
                <w:color w:val="auto"/>
                <w:sz w:val="24"/>
              </w:rPr>
              <w:t>（1）</w:t>
            </w:r>
            <w:r>
              <w:rPr>
                <w:rFonts w:hint="eastAsia"/>
                <w:color w:val="auto"/>
                <w:sz w:val="24"/>
                <w:lang w:val="en-US" w:eastAsia="zh-CN"/>
              </w:rPr>
              <w:t>竹制品</w:t>
            </w:r>
            <w:r>
              <w:rPr>
                <w:rFonts w:hint="eastAsia"/>
                <w:color w:val="auto"/>
                <w:sz w:val="24"/>
              </w:rPr>
              <w:t>生产</w:t>
            </w:r>
            <w:r>
              <w:rPr>
                <w:rFonts w:hint="eastAsia"/>
                <w:color w:val="auto"/>
                <w:sz w:val="24"/>
                <w:lang w:val="en-US" w:eastAsia="zh-CN"/>
              </w:rPr>
              <w:t>工艺</w:t>
            </w:r>
          </w:p>
          <w:p w14:paraId="31038E6A">
            <w:pPr>
              <w:pStyle w:val="5"/>
              <w:pageBreakBefore w:val="0"/>
              <w:kinsoku/>
              <w:wordWrap/>
              <w:overflowPunct/>
              <w:topLinePunct w:val="0"/>
              <w:autoSpaceDE/>
              <w:autoSpaceDN/>
              <w:bidi w:val="0"/>
              <w:adjustRightInd/>
              <w:snapToGrid/>
              <w:spacing w:before="0" w:beforeLines="0" w:line="240" w:lineRule="auto"/>
              <w:ind w:left="0" w:leftChars="0" w:right="0" w:rightChars="0"/>
              <w:jc w:val="center"/>
              <w:rPr>
                <w:rFonts w:hint="eastAsia" w:eastAsia="宋体"/>
                <w:color w:val="auto"/>
                <w:sz w:val="24"/>
                <w:szCs w:val="24"/>
                <w:lang w:val="en-US" w:eastAsia="zh-CN"/>
              </w:rPr>
            </w:pPr>
            <w:r>
              <w:rPr>
                <w:rFonts w:hint="default" w:ascii="Times New Roman" w:hAnsi="Times New Roman" w:eastAsia="宋体" w:cs="Times New Roman"/>
                <w:color w:val="auto"/>
                <w:sz w:val="24"/>
              </w:rPr>
              <w:object>
                <v:shape id="_x0000_i1026" o:spt="75" type="#_x0000_t75" style="height:374.2pt;width:371.0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1231E137">
            <w:pPr>
              <w:pageBreakBefore w:val="0"/>
              <w:kinsoku/>
              <w:wordWrap/>
              <w:overflowPunct/>
              <w:topLinePunct w:val="0"/>
              <w:autoSpaceDE/>
              <w:autoSpaceDN/>
              <w:bidi w:val="0"/>
              <w:adjustRightInd/>
              <w:snapToGrid/>
              <w:spacing w:line="360" w:lineRule="auto"/>
              <w:ind w:left="0" w:leftChars="0" w:right="0" w:rightChars="0" w:firstLine="480" w:firstLineChars="200"/>
              <w:rPr>
                <w:b w:val="0"/>
                <w:bCs w:val="0"/>
                <w:color w:val="auto"/>
              </w:rPr>
            </w:pPr>
            <w:r>
              <w:rPr>
                <w:b w:val="0"/>
                <w:bCs w:val="0"/>
                <w:color w:val="auto"/>
                <w:sz w:val="24"/>
              </w:rPr>
              <w:t>工艺说明：</w:t>
            </w:r>
          </w:p>
          <w:p w14:paraId="5952F624">
            <w:pPr>
              <w:pageBreakBefore w:val="0"/>
              <w:kinsoku/>
              <w:wordWrap/>
              <w:overflowPunct/>
              <w:topLinePunct w:val="0"/>
              <w:autoSpaceDE/>
              <w:autoSpaceDN/>
              <w:bidi w:val="0"/>
              <w:adjustRightInd/>
              <w:snapToGrid/>
              <w:spacing w:line="360" w:lineRule="auto"/>
              <w:ind w:left="0" w:leftChars="0" w:right="0" w:rightChars="0" w:firstLine="480" w:firstLineChars="200"/>
              <w:rPr>
                <w:b w:val="0"/>
                <w:bCs w:val="0"/>
                <w:color w:val="auto"/>
                <w:sz w:val="24"/>
                <w:szCs w:val="22"/>
              </w:rPr>
            </w:pPr>
            <w:r>
              <w:rPr>
                <w:rFonts w:hint="eastAsia"/>
                <w:b w:val="0"/>
                <w:bCs w:val="0"/>
                <w:color w:val="auto"/>
                <w:sz w:val="24"/>
                <w:lang w:val="en-US" w:eastAsia="zh-CN"/>
              </w:rPr>
              <w:t>首先利用锯竹机对原料竹子进行切断，再利用大剖机对裁断后的毛竹打破进行破条处理，获得竹条；使用分片机将打破后的毛竹分片获得竹片制品；利用拉丝机进行拉丝，获得竹青丝产品；使用编帘机将竹条编织成竹帘；加工后的竹帘、竹条送至烘干房内进行烘干，生物质锅炉产生的蒸汽通过循环管道对产品进行间接烘干，烘干时长为10h；成品经分检包捆后入库</w:t>
            </w:r>
            <w:r>
              <w:rPr>
                <w:rFonts w:hint="eastAsia"/>
                <w:b w:val="0"/>
                <w:bCs w:val="0"/>
                <w:color w:val="auto"/>
                <w:sz w:val="24"/>
              </w:rPr>
              <w:t>。</w:t>
            </w:r>
            <w:r>
              <w:rPr>
                <w:rFonts w:hint="eastAsia"/>
                <w:b w:val="0"/>
                <w:bCs w:val="0"/>
                <w:color w:val="auto"/>
                <w:sz w:val="24"/>
                <w:lang w:eastAsia="zh-CN"/>
              </w:rPr>
              <w:t>裁断、破条</w:t>
            </w:r>
            <w:r>
              <w:rPr>
                <w:rFonts w:hint="eastAsia"/>
                <w:b w:val="0"/>
                <w:bCs w:val="0"/>
                <w:color w:val="auto"/>
                <w:sz w:val="24"/>
                <w:lang w:val="en-US" w:eastAsia="zh-CN"/>
              </w:rPr>
              <w:t>工序产生G1竹屑粉尘和S1边角料和噪声，烘干工序会产生锅炉废气G2、S2炉渣和噪声。</w:t>
            </w:r>
          </w:p>
          <w:p w14:paraId="5132AE77">
            <w:pPr>
              <w:pStyle w:val="7"/>
              <w:pageBreakBefore w:val="0"/>
              <w:kinsoku/>
              <w:wordWrap/>
              <w:overflowPunct/>
              <w:topLinePunct w:val="0"/>
              <w:autoSpaceDE/>
              <w:autoSpaceDN/>
              <w:bidi w:val="0"/>
              <w:adjustRightInd/>
              <w:snapToGrid/>
              <w:spacing w:before="0" w:after="0" w:line="360" w:lineRule="auto"/>
              <w:ind w:left="0" w:leftChars="0" w:right="0" w:rightChars="0"/>
              <w:jc w:val="center"/>
              <w:rPr>
                <w:color w:val="auto"/>
              </w:rPr>
            </w:pPr>
            <w:r>
              <w:rPr>
                <w:color w:val="auto"/>
              </w:rPr>
              <w:t>表2-</w:t>
            </w:r>
            <w:r>
              <w:rPr>
                <w:rFonts w:hint="eastAsia"/>
                <w:color w:val="auto"/>
                <w:lang w:val="en-US" w:eastAsia="zh-CN"/>
              </w:rPr>
              <w:t>8</w:t>
            </w:r>
            <w:r>
              <w:rPr>
                <w:color w:val="auto"/>
              </w:rPr>
              <w:t xml:space="preserve">  项目产污环节汇总表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286"/>
              <w:gridCol w:w="1335"/>
              <w:gridCol w:w="1980"/>
              <w:gridCol w:w="3210"/>
            </w:tblGrid>
            <w:tr w14:paraId="5DBE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79" w:type="pct"/>
                  <w:vAlign w:val="center"/>
                </w:tcPr>
                <w:p w14:paraId="542539AE">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b/>
                      <w:bCs/>
                      <w:color w:val="auto"/>
                      <w:sz w:val="21"/>
                      <w:szCs w:val="21"/>
                    </w:rPr>
                    <w:t>编号</w:t>
                  </w:r>
                </w:p>
              </w:tc>
              <w:tc>
                <w:tcPr>
                  <w:tcW w:w="760" w:type="pct"/>
                  <w:vAlign w:val="center"/>
                </w:tcPr>
                <w:p w14:paraId="0C5F9584">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b/>
                      <w:bCs/>
                      <w:color w:val="auto"/>
                      <w:sz w:val="21"/>
                      <w:szCs w:val="21"/>
                    </w:rPr>
                    <w:t>污染物类型</w:t>
                  </w:r>
                </w:p>
              </w:tc>
              <w:tc>
                <w:tcPr>
                  <w:tcW w:w="789" w:type="pct"/>
                  <w:vAlign w:val="center"/>
                </w:tcPr>
                <w:p w14:paraId="5F75F9D7">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b/>
                      <w:bCs/>
                      <w:color w:val="auto"/>
                      <w:sz w:val="21"/>
                      <w:szCs w:val="21"/>
                    </w:rPr>
                    <w:t>产污环节</w:t>
                  </w:r>
                </w:p>
              </w:tc>
              <w:tc>
                <w:tcPr>
                  <w:tcW w:w="1171" w:type="pct"/>
                  <w:vAlign w:val="center"/>
                </w:tcPr>
                <w:p w14:paraId="61F79764">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b/>
                      <w:bCs/>
                      <w:color w:val="auto"/>
                      <w:sz w:val="21"/>
                      <w:szCs w:val="21"/>
                    </w:rPr>
                    <w:t>污染因子</w:t>
                  </w:r>
                </w:p>
              </w:tc>
              <w:tc>
                <w:tcPr>
                  <w:tcW w:w="1898" w:type="pct"/>
                  <w:vAlign w:val="center"/>
                </w:tcPr>
                <w:p w14:paraId="4190CA68">
                  <w:pPr>
                    <w:pageBreakBefore w:val="0"/>
                    <w:kinsoku/>
                    <w:wordWrap/>
                    <w:overflowPunct/>
                    <w:topLinePunct w:val="0"/>
                    <w:autoSpaceDE/>
                    <w:autoSpaceDN/>
                    <w:bidi w:val="0"/>
                    <w:adjustRightInd/>
                    <w:snapToGrid/>
                    <w:ind w:left="0" w:leftChars="0" w:right="0" w:rightChars="0"/>
                    <w:jc w:val="center"/>
                    <w:rPr>
                      <w:b/>
                      <w:bCs/>
                      <w:color w:val="auto"/>
                      <w:sz w:val="21"/>
                      <w:szCs w:val="21"/>
                    </w:rPr>
                  </w:pPr>
                  <w:r>
                    <w:rPr>
                      <w:rFonts w:hint="eastAsia"/>
                      <w:b/>
                      <w:bCs/>
                      <w:color w:val="auto"/>
                      <w:sz w:val="21"/>
                      <w:szCs w:val="21"/>
                    </w:rPr>
                    <w:t>去向</w:t>
                  </w:r>
                </w:p>
              </w:tc>
            </w:tr>
            <w:tr w14:paraId="256E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79" w:type="pct"/>
                  <w:vMerge w:val="restart"/>
                  <w:vAlign w:val="center"/>
                </w:tcPr>
                <w:p w14:paraId="38625628">
                  <w:pPr>
                    <w:pStyle w:val="85"/>
                    <w:pageBreakBefore w:val="0"/>
                    <w:kinsoku/>
                    <w:wordWrap/>
                    <w:overflowPunct/>
                    <w:topLinePunct w:val="0"/>
                    <w:autoSpaceDE/>
                    <w:autoSpaceDN/>
                    <w:bidi w:val="0"/>
                    <w:adjustRightInd/>
                    <w:snapToGrid/>
                    <w:spacing w:line="240" w:lineRule="auto"/>
                    <w:ind w:left="0" w:leftChars="0" w:right="0" w:rightChars="0"/>
                    <w:jc w:val="center"/>
                    <w:rPr>
                      <w:rFonts w:cs="Times New Roman"/>
                      <w:color w:val="auto"/>
                      <w:sz w:val="21"/>
                      <w:szCs w:val="21"/>
                    </w:rPr>
                  </w:pPr>
                  <w:r>
                    <w:rPr>
                      <w:rFonts w:hint="eastAsia" w:cs="Times New Roman"/>
                      <w:color w:val="auto"/>
                      <w:sz w:val="21"/>
                      <w:szCs w:val="21"/>
                    </w:rPr>
                    <w:t>1</w:t>
                  </w:r>
                </w:p>
              </w:tc>
              <w:tc>
                <w:tcPr>
                  <w:tcW w:w="760" w:type="pct"/>
                  <w:vMerge w:val="restart"/>
                  <w:vAlign w:val="center"/>
                </w:tcPr>
                <w:p w14:paraId="25BEC0BF">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废气</w:t>
                  </w:r>
                </w:p>
              </w:tc>
              <w:tc>
                <w:tcPr>
                  <w:tcW w:w="789" w:type="pct"/>
                  <w:vAlign w:val="center"/>
                </w:tcPr>
                <w:p w14:paraId="2BCAA0C3">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default" w:eastAsia="宋体"/>
                      <w:color w:val="auto"/>
                      <w:sz w:val="21"/>
                      <w:szCs w:val="21"/>
                      <w:lang w:val="en-US" w:eastAsia="zh-CN"/>
                    </w:rPr>
                    <w:t>裁断、破条</w:t>
                  </w:r>
                </w:p>
              </w:tc>
              <w:tc>
                <w:tcPr>
                  <w:tcW w:w="1171" w:type="pct"/>
                  <w:vAlign w:val="center"/>
                </w:tcPr>
                <w:p w14:paraId="736AAACC">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rPr>
                    <w:t>粉尘</w:t>
                  </w:r>
                </w:p>
              </w:tc>
              <w:tc>
                <w:tcPr>
                  <w:tcW w:w="1898" w:type="pct"/>
                  <w:vAlign w:val="center"/>
                </w:tcPr>
                <w:p w14:paraId="542118C0">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lang w:val="en-US" w:eastAsia="zh-CN"/>
                    </w:rPr>
                    <w:t xml:space="preserve">自然沉降后无组织排放 </w:t>
                  </w:r>
                </w:p>
              </w:tc>
            </w:tr>
            <w:tr w14:paraId="628D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79" w:type="pct"/>
                  <w:vMerge w:val="continue"/>
                  <w:vAlign w:val="center"/>
                </w:tcPr>
                <w:p w14:paraId="5193D081">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760" w:type="pct"/>
                  <w:vMerge w:val="continue"/>
                  <w:vAlign w:val="center"/>
                </w:tcPr>
                <w:p w14:paraId="5DBEB31F">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789" w:type="pct"/>
                  <w:vAlign w:val="center"/>
                </w:tcPr>
                <w:p w14:paraId="202295B1">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锅炉燃烧</w:t>
                  </w:r>
                </w:p>
              </w:tc>
              <w:tc>
                <w:tcPr>
                  <w:tcW w:w="1171" w:type="pct"/>
                  <w:vAlign w:val="center"/>
                </w:tcPr>
                <w:p w14:paraId="28EE8FB0">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lang w:val="en-US" w:eastAsia="zh-CN"/>
                    </w:rPr>
                    <w:t>粉尘、SO</w:t>
                  </w:r>
                  <w:r>
                    <w:rPr>
                      <w:rFonts w:hint="eastAsia"/>
                      <w:color w:val="auto"/>
                      <w:sz w:val="21"/>
                      <w:szCs w:val="21"/>
                      <w:vertAlign w:val="subscript"/>
                      <w:lang w:val="en-US" w:eastAsia="zh-CN"/>
                    </w:rPr>
                    <w:t>2</w:t>
                  </w:r>
                  <w:r>
                    <w:rPr>
                      <w:rFonts w:hint="eastAsia"/>
                      <w:color w:val="auto"/>
                      <w:sz w:val="21"/>
                      <w:szCs w:val="21"/>
                      <w:lang w:val="en-US" w:eastAsia="zh-CN"/>
                    </w:rPr>
                    <w:t>、NOx</w:t>
                  </w:r>
                </w:p>
              </w:tc>
              <w:tc>
                <w:tcPr>
                  <w:tcW w:w="1898" w:type="pct"/>
                  <w:vAlign w:val="center"/>
                </w:tcPr>
                <w:p w14:paraId="26D71928">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lang w:val="en-US" w:eastAsia="zh-CN"/>
                    </w:rPr>
                    <w:t>燃烧废</w:t>
                  </w:r>
                  <w:r>
                    <w:rPr>
                      <w:color w:val="auto"/>
                      <w:sz w:val="21"/>
                      <w:szCs w:val="21"/>
                    </w:rPr>
                    <w:t>经</w:t>
                  </w:r>
                  <w:r>
                    <w:rPr>
                      <w:rFonts w:hint="eastAsia"/>
                      <w:color w:val="auto"/>
                      <w:sz w:val="21"/>
                      <w:szCs w:val="21"/>
                    </w:rPr>
                    <w:t>通过</w:t>
                  </w:r>
                  <w:r>
                    <w:rPr>
                      <w:rFonts w:hint="eastAsia"/>
                      <w:color w:val="auto"/>
                      <w:sz w:val="21"/>
                      <w:szCs w:val="21"/>
                      <w:lang w:val="en-US" w:eastAsia="zh-CN"/>
                    </w:rPr>
                    <w:t>低氮燃烧器+SCR脱硝+多管旋风除尘+高效布袋除尘器+碱液喷淋塔脱硫+15m高排气筒（DA001）排放</w:t>
                  </w:r>
                </w:p>
              </w:tc>
            </w:tr>
            <w:tr w14:paraId="6333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79" w:type="pct"/>
                  <w:vMerge w:val="restart"/>
                  <w:vAlign w:val="center"/>
                </w:tcPr>
                <w:p w14:paraId="06E24804">
                  <w:pPr>
                    <w:pStyle w:val="85"/>
                    <w:pageBreakBefore w:val="0"/>
                    <w:kinsoku/>
                    <w:wordWrap/>
                    <w:overflowPunct/>
                    <w:topLinePunct w:val="0"/>
                    <w:autoSpaceDE/>
                    <w:autoSpaceDN/>
                    <w:bidi w:val="0"/>
                    <w:adjustRightInd/>
                    <w:snapToGrid/>
                    <w:spacing w:line="240" w:lineRule="auto"/>
                    <w:ind w:left="0" w:leftChars="0" w:right="0" w:rightChars="0"/>
                    <w:jc w:val="center"/>
                    <w:rPr>
                      <w:rFonts w:cs="Times New Roman"/>
                      <w:color w:val="auto"/>
                      <w:sz w:val="21"/>
                      <w:szCs w:val="21"/>
                    </w:rPr>
                  </w:pPr>
                  <w:r>
                    <w:rPr>
                      <w:rFonts w:hint="eastAsia" w:cs="Times New Roman"/>
                      <w:color w:val="auto"/>
                      <w:sz w:val="21"/>
                      <w:szCs w:val="21"/>
                    </w:rPr>
                    <w:t>2</w:t>
                  </w:r>
                </w:p>
              </w:tc>
              <w:tc>
                <w:tcPr>
                  <w:tcW w:w="760" w:type="pct"/>
                  <w:vMerge w:val="restart"/>
                  <w:vAlign w:val="center"/>
                </w:tcPr>
                <w:p w14:paraId="5321823E">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废水</w:t>
                  </w:r>
                </w:p>
              </w:tc>
              <w:tc>
                <w:tcPr>
                  <w:tcW w:w="789" w:type="pct"/>
                  <w:vAlign w:val="center"/>
                </w:tcPr>
                <w:p w14:paraId="1A8B86C0">
                  <w:pPr>
                    <w:pageBreakBefore w:val="0"/>
                    <w:kinsoku/>
                    <w:wordWrap/>
                    <w:overflowPunct/>
                    <w:topLinePunct w:val="0"/>
                    <w:autoSpaceDE/>
                    <w:autoSpaceDN/>
                    <w:bidi w:val="0"/>
                    <w:adjustRightInd/>
                    <w:snapToGrid/>
                    <w:ind w:left="0" w:leftChars="0" w:right="0" w:rightChars="0"/>
                    <w:jc w:val="center"/>
                    <w:rPr>
                      <w:bCs/>
                      <w:color w:val="auto"/>
                      <w:sz w:val="21"/>
                      <w:szCs w:val="21"/>
                    </w:rPr>
                  </w:pPr>
                  <w:r>
                    <w:rPr>
                      <w:rFonts w:hint="eastAsia"/>
                      <w:bCs/>
                      <w:color w:val="auto"/>
                      <w:sz w:val="21"/>
                      <w:szCs w:val="21"/>
                    </w:rPr>
                    <w:t>生活用水</w:t>
                  </w:r>
                </w:p>
              </w:tc>
              <w:tc>
                <w:tcPr>
                  <w:tcW w:w="1171" w:type="pct"/>
                  <w:vAlign w:val="center"/>
                </w:tcPr>
                <w:p w14:paraId="7F38AAE3">
                  <w:pPr>
                    <w:pageBreakBefore w:val="0"/>
                    <w:kinsoku/>
                    <w:wordWrap/>
                    <w:overflowPunct/>
                    <w:topLinePunct w:val="0"/>
                    <w:autoSpaceDE/>
                    <w:autoSpaceDN/>
                    <w:bidi w:val="0"/>
                    <w:adjustRightInd/>
                    <w:snapToGrid/>
                    <w:ind w:left="0" w:leftChars="0" w:right="0" w:rightChars="0"/>
                    <w:jc w:val="both"/>
                    <w:rPr>
                      <w:color w:val="auto"/>
                      <w:sz w:val="21"/>
                      <w:szCs w:val="21"/>
                    </w:rPr>
                  </w:pPr>
                  <w:r>
                    <w:rPr>
                      <w:rFonts w:hint="eastAsia"/>
                      <w:color w:val="auto"/>
                      <w:lang w:val="en-US" w:eastAsia="zh-CN"/>
                    </w:rPr>
                    <w:t>p</w:t>
                  </w:r>
                  <w:r>
                    <w:rPr>
                      <w:rFonts w:hint="eastAsia"/>
                      <w:color w:val="auto"/>
                      <w:sz w:val="21"/>
                      <w:szCs w:val="21"/>
                      <w:lang w:val="en-US" w:eastAsia="zh-CN"/>
                    </w:rPr>
                    <w:t>H值</w:t>
                  </w:r>
                  <w:r>
                    <w:rPr>
                      <w:rFonts w:hint="eastAsia"/>
                      <w:color w:val="auto"/>
                      <w:sz w:val="21"/>
                      <w:szCs w:val="21"/>
                      <w:lang w:eastAsia="zh-CN"/>
                    </w:rPr>
                    <w:t>、</w:t>
                  </w:r>
                  <w:r>
                    <w:rPr>
                      <w:color w:val="auto"/>
                      <w:sz w:val="21"/>
                      <w:szCs w:val="21"/>
                    </w:rPr>
                    <w:t>COD、BOD</w:t>
                  </w:r>
                  <w:r>
                    <w:rPr>
                      <w:color w:val="auto"/>
                      <w:sz w:val="21"/>
                      <w:szCs w:val="21"/>
                      <w:vertAlign w:val="subscript"/>
                    </w:rPr>
                    <w:t>5</w:t>
                  </w:r>
                  <w:r>
                    <w:rPr>
                      <w:color w:val="auto"/>
                      <w:sz w:val="21"/>
                      <w:szCs w:val="21"/>
                    </w:rPr>
                    <w:t>、SS、氨氮等</w:t>
                  </w:r>
                </w:p>
              </w:tc>
              <w:tc>
                <w:tcPr>
                  <w:tcW w:w="1898" w:type="pct"/>
                  <w:vAlign w:val="center"/>
                </w:tcPr>
                <w:p w14:paraId="25D8EF6C">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eastAsia="zh-CN"/>
                    </w:rPr>
                  </w:pPr>
                  <w:r>
                    <w:rPr>
                      <w:rFonts w:hint="eastAsia"/>
                      <w:bCs/>
                      <w:color w:val="auto"/>
                      <w:sz w:val="21"/>
                      <w:szCs w:val="21"/>
                    </w:rPr>
                    <w:t>生活污水经化粪池处理后，</w:t>
                  </w:r>
                  <w:r>
                    <w:rPr>
                      <w:rFonts w:hint="eastAsia"/>
                      <w:bCs/>
                      <w:color w:val="auto"/>
                      <w:sz w:val="21"/>
                      <w:szCs w:val="21"/>
                      <w:lang w:eastAsia="zh-CN"/>
                    </w:rPr>
                    <w:t>定期清掏</w:t>
                  </w:r>
                  <w:r>
                    <w:rPr>
                      <w:rFonts w:hint="eastAsia"/>
                      <w:bCs/>
                      <w:color w:val="auto"/>
                      <w:sz w:val="21"/>
                      <w:szCs w:val="21"/>
                    </w:rPr>
                    <w:t>用于</w:t>
                  </w:r>
                  <w:r>
                    <w:rPr>
                      <w:rFonts w:hint="eastAsia"/>
                      <w:bCs/>
                      <w:color w:val="auto"/>
                      <w:sz w:val="21"/>
                      <w:szCs w:val="21"/>
                      <w:lang w:eastAsia="zh-CN"/>
                    </w:rPr>
                    <w:t>周边农田施肥</w:t>
                  </w:r>
                  <w:r>
                    <w:rPr>
                      <w:rFonts w:hint="eastAsia"/>
                      <w:color w:val="auto"/>
                      <w:sz w:val="21"/>
                      <w:szCs w:val="21"/>
                      <w:lang w:eastAsia="zh-CN"/>
                    </w:rPr>
                    <w:t>；</w:t>
                  </w:r>
                </w:p>
              </w:tc>
            </w:tr>
            <w:tr w14:paraId="2BAE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79" w:type="pct"/>
                  <w:vMerge w:val="continue"/>
                  <w:vAlign w:val="center"/>
                </w:tcPr>
                <w:p w14:paraId="133F6142">
                  <w:pPr>
                    <w:pageBreakBefore w:val="0"/>
                    <w:kinsoku/>
                    <w:wordWrap/>
                    <w:overflowPunct/>
                    <w:topLinePunct w:val="0"/>
                    <w:autoSpaceDE/>
                    <w:autoSpaceDN/>
                    <w:bidi w:val="0"/>
                    <w:adjustRightInd/>
                    <w:snapToGrid/>
                    <w:ind w:left="0" w:leftChars="0" w:right="0" w:rightChars="0"/>
                    <w:jc w:val="center"/>
                    <w:rPr>
                      <w:color w:val="auto"/>
                    </w:rPr>
                  </w:pPr>
                </w:p>
              </w:tc>
              <w:tc>
                <w:tcPr>
                  <w:tcW w:w="760" w:type="pct"/>
                  <w:vMerge w:val="continue"/>
                  <w:vAlign w:val="center"/>
                </w:tcPr>
                <w:p w14:paraId="5C7E6C6C">
                  <w:pPr>
                    <w:pageBreakBefore w:val="0"/>
                    <w:kinsoku/>
                    <w:wordWrap/>
                    <w:overflowPunct/>
                    <w:topLinePunct w:val="0"/>
                    <w:autoSpaceDE/>
                    <w:autoSpaceDN/>
                    <w:bidi w:val="0"/>
                    <w:adjustRightInd/>
                    <w:snapToGrid/>
                    <w:ind w:left="0" w:leftChars="0" w:right="0" w:rightChars="0"/>
                    <w:jc w:val="center"/>
                    <w:rPr>
                      <w:color w:val="auto"/>
                    </w:rPr>
                  </w:pPr>
                </w:p>
              </w:tc>
              <w:tc>
                <w:tcPr>
                  <w:tcW w:w="789" w:type="pct"/>
                  <w:vAlign w:val="center"/>
                </w:tcPr>
                <w:p w14:paraId="00C434AA">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eastAsia="zh-CN"/>
                    </w:rPr>
                  </w:pPr>
                  <w:r>
                    <w:rPr>
                      <w:rFonts w:hint="eastAsia"/>
                      <w:bCs/>
                      <w:color w:val="auto"/>
                      <w:sz w:val="21"/>
                      <w:szCs w:val="21"/>
                      <w:lang w:eastAsia="zh-CN"/>
                    </w:rPr>
                    <w:t>喷淋用水</w:t>
                  </w:r>
                </w:p>
              </w:tc>
              <w:tc>
                <w:tcPr>
                  <w:tcW w:w="1171" w:type="pct"/>
                  <w:vAlign w:val="center"/>
                </w:tcPr>
                <w:p w14:paraId="168A2F2A">
                  <w:pPr>
                    <w:pageBreakBefore w:val="0"/>
                    <w:kinsoku/>
                    <w:wordWrap/>
                    <w:overflowPunct/>
                    <w:topLinePunct w:val="0"/>
                    <w:autoSpaceDE/>
                    <w:autoSpaceDN/>
                    <w:bidi w:val="0"/>
                    <w:adjustRightInd/>
                    <w:snapToGrid/>
                    <w:ind w:left="0" w:leftChars="0" w:right="0" w:rightChars="0"/>
                    <w:jc w:val="center"/>
                    <w:rPr>
                      <w:rFonts w:hint="eastAsia"/>
                      <w:bCs/>
                      <w:color w:val="auto"/>
                      <w:sz w:val="21"/>
                      <w:szCs w:val="21"/>
                    </w:rPr>
                  </w:pPr>
                  <w:r>
                    <w:rPr>
                      <w:color w:val="auto"/>
                      <w:sz w:val="21"/>
                      <w:szCs w:val="21"/>
                    </w:rPr>
                    <w:t>COD、SS</w:t>
                  </w:r>
                </w:p>
              </w:tc>
              <w:tc>
                <w:tcPr>
                  <w:tcW w:w="1898" w:type="pct"/>
                  <w:vAlign w:val="center"/>
                </w:tcPr>
                <w:p w14:paraId="3317E71B">
                  <w:pPr>
                    <w:pageBreakBefore w:val="0"/>
                    <w:kinsoku/>
                    <w:wordWrap/>
                    <w:overflowPunct/>
                    <w:topLinePunct w:val="0"/>
                    <w:autoSpaceDE/>
                    <w:autoSpaceDN/>
                    <w:bidi w:val="0"/>
                    <w:adjustRightInd/>
                    <w:snapToGrid/>
                    <w:ind w:left="0" w:leftChars="0" w:right="0" w:rightChars="0"/>
                    <w:jc w:val="center"/>
                    <w:rPr>
                      <w:rFonts w:hint="eastAsia" w:eastAsia="宋体"/>
                      <w:bCs/>
                      <w:color w:val="auto"/>
                      <w:sz w:val="21"/>
                      <w:szCs w:val="21"/>
                      <w:lang w:eastAsia="zh-CN"/>
                    </w:rPr>
                  </w:pPr>
                  <w:r>
                    <w:rPr>
                      <w:rFonts w:hint="eastAsia"/>
                      <w:bCs/>
                      <w:color w:val="auto"/>
                      <w:sz w:val="21"/>
                      <w:szCs w:val="21"/>
                      <w:lang w:eastAsia="zh-CN"/>
                    </w:rPr>
                    <w:t>沉淀后回用</w:t>
                  </w:r>
                </w:p>
              </w:tc>
            </w:tr>
            <w:tr w14:paraId="283F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79" w:type="pct"/>
                  <w:vAlign w:val="center"/>
                </w:tcPr>
                <w:p w14:paraId="1D512639">
                  <w:pPr>
                    <w:pStyle w:val="85"/>
                    <w:pageBreakBefore w:val="0"/>
                    <w:kinsoku/>
                    <w:wordWrap/>
                    <w:overflowPunct/>
                    <w:topLinePunct w:val="0"/>
                    <w:autoSpaceDE/>
                    <w:autoSpaceDN/>
                    <w:bidi w:val="0"/>
                    <w:adjustRightInd/>
                    <w:snapToGrid/>
                    <w:spacing w:line="240" w:lineRule="auto"/>
                    <w:ind w:left="0" w:leftChars="0" w:right="0" w:rightChars="0"/>
                    <w:jc w:val="center"/>
                    <w:rPr>
                      <w:rFonts w:cs="Times New Roman"/>
                      <w:color w:val="auto"/>
                      <w:sz w:val="21"/>
                      <w:szCs w:val="21"/>
                    </w:rPr>
                  </w:pPr>
                  <w:r>
                    <w:rPr>
                      <w:rFonts w:hint="eastAsia" w:cs="Times New Roman"/>
                      <w:color w:val="auto"/>
                      <w:sz w:val="21"/>
                      <w:szCs w:val="21"/>
                    </w:rPr>
                    <w:t>3</w:t>
                  </w:r>
                </w:p>
              </w:tc>
              <w:tc>
                <w:tcPr>
                  <w:tcW w:w="760" w:type="pct"/>
                  <w:vAlign w:val="center"/>
                </w:tcPr>
                <w:p w14:paraId="491EEBD4">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噪声</w:t>
                  </w:r>
                </w:p>
              </w:tc>
              <w:tc>
                <w:tcPr>
                  <w:tcW w:w="789" w:type="pct"/>
                  <w:vAlign w:val="center"/>
                </w:tcPr>
                <w:p w14:paraId="01527BD1">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生产过程</w:t>
                  </w:r>
                </w:p>
              </w:tc>
              <w:tc>
                <w:tcPr>
                  <w:tcW w:w="1171" w:type="pct"/>
                  <w:vAlign w:val="center"/>
                </w:tcPr>
                <w:p w14:paraId="2B46A164">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lang w:val="en-US" w:eastAsia="zh-CN"/>
                    </w:rPr>
                    <w:t>设备噪声</w:t>
                  </w:r>
                </w:p>
              </w:tc>
              <w:tc>
                <w:tcPr>
                  <w:tcW w:w="1898" w:type="pct"/>
                  <w:vAlign w:val="center"/>
                </w:tcPr>
                <w:p w14:paraId="18474EB4">
                  <w:pPr>
                    <w:pageBreakBefore w:val="0"/>
                    <w:kinsoku/>
                    <w:wordWrap/>
                    <w:overflowPunct/>
                    <w:topLinePunct w:val="0"/>
                    <w:autoSpaceDE/>
                    <w:autoSpaceDN/>
                    <w:bidi w:val="0"/>
                    <w:adjustRightInd/>
                    <w:snapToGrid/>
                    <w:ind w:left="0" w:leftChars="0" w:right="0" w:rightChars="0"/>
                    <w:jc w:val="center"/>
                    <w:rPr>
                      <w:bCs/>
                      <w:color w:val="auto"/>
                      <w:sz w:val="21"/>
                      <w:szCs w:val="21"/>
                    </w:rPr>
                  </w:pPr>
                  <w:r>
                    <w:rPr>
                      <w:rFonts w:hint="eastAsia"/>
                      <w:bCs/>
                      <w:color w:val="auto"/>
                      <w:sz w:val="21"/>
                      <w:szCs w:val="21"/>
                    </w:rPr>
                    <w:t>隔声、减振等措施</w:t>
                  </w:r>
                </w:p>
              </w:tc>
            </w:tr>
            <w:tr w14:paraId="4563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79" w:type="pct"/>
                  <w:vMerge w:val="restart"/>
                  <w:vAlign w:val="center"/>
                </w:tcPr>
                <w:p w14:paraId="0A73A8F7">
                  <w:pPr>
                    <w:pStyle w:val="85"/>
                    <w:pageBreakBefore w:val="0"/>
                    <w:kinsoku/>
                    <w:wordWrap/>
                    <w:overflowPunct/>
                    <w:topLinePunct w:val="0"/>
                    <w:autoSpaceDE/>
                    <w:autoSpaceDN/>
                    <w:bidi w:val="0"/>
                    <w:adjustRightInd/>
                    <w:snapToGrid/>
                    <w:spacing w:line="240" w:lineRule="auto"/>
                    <w:ind w:left="0" w:leftChars="0" w:right="0" w:rightChars="0"/>
                    <w:jc w:val="center"/>
                    <w:rPr>
                      <w:rFonts w:cs="Times New Roman"/>
                      <w:color w:val="auto"/>
                      <w:sz w:val="21"/>
                      <w:szCs w:val="21"/>
                    </w:rPr>
                  </w:pPr>
                  <w:r>
                    <w:rPr>
                      <w:rFonts w:hint="eastAsia" w:cs="Times New Roman"/>
                      <w:color w:val="auto"/>
                      <w:sz w:val="21"/>
                      <w:szCs w:val="21"/>
                    </w:rPr>
                    <w:t>4</w:t>
                  </w:r>
                </w:p>
              </w:tc>
              <w:tc>
                <w:tcPr>
                  <w:tcW w:w="760" w:type="pct"/>
                  <w:vMerge w:val="restart"/>
                  <w:vAlign w:val="center"/>
                </w:tcPr>
                <w:p w14:paraId="4583D29D">
                  <w:pPr>
                    <w:pageBreakBefore w:val="0"/>
                    <w:kinsoku/>
                    <w:wordWrap/>
                    <w:overflowPunct/>
                    <w:topLinePunct w:val="0"/>
                    <w:autoSpaceDE/>
                    <w:autoSpaceDN/>
                    <w:bidi w:val="0"/>
                    <w:adjustRightInd/>
                    <w:snapToGrid/>
                    <w:ind w:left="0" w:leftChars="0" w:right="0" w:rightChars="0"/>
                    <w:jc w:val="center"/>
                    <w:rPr>
                      <w:color w:val="auto"/>
                      <w:sz w:val="21"/>
                      <w:szCs w:val="21"/>
                    </w:rPr>
                  </w:pPr>
                  <w:r>
                    <w:rPr>
                      <w:color w:val="auto"/>
                      <w:sz w:val="21"/>
                      <w:szCs w:val="21"/>
                    </w:rPr>
                    <w:t>一般固废</w:t>
                  </w:r>
                </w:p>
              </w:tc>
              <w:tc>
                <w:tcPr>
                  <w:tcW w:w="789" w:type="pct"/>
                  <w:vAlign w:val="center"/>
                </w:tcPr>
                <w:p w14:paraId="6D1D3642">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lang w:eastAsia="zh-CN"/>
                    </w:rPr>
                    <w:t>生产过程</w:t>
                  </w:r>
                </w:p>
              </w:tc>
              <w:tc>
                <w:tcPr>
                  <w:tcW w:w="1171" w:type="pct"/>
                  <w:vAlign w:val="center"/>
                </w:tcPr>
                <w:p w14:paraId="2FC52447">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lang w:val="en-US" w:eastAsia="zh-CN"/>
                    </w:rPr>
                    <w:t>边角料</w:t>
                  </w:r>
                </w:p>
              </w:tc>
              <w:tc>
                <w:tcPr>
                  <w:tcW w:w="1898" w:type="pct"/>
                  <w:vAlign w:val="center"/>
                </w:tcPr>
                <w:p w14:paraId="63FD2F36">
                  <w:pPr>
                    <w:pageBreakBefore w:val="0"/>
                    <w:kinsoku/>
                    <w:wordWrap/>
                    <w:overflowPunct/>
                    <w:topLinePunct w:val="0"/>
                    <w:autoSpaceDE/>
                    <w:autoSpaceDN/>
                    <w:bidi w:val="0"/>
                    <w:adjustRightInd/>
                    <w:snapToGrid/>
                    <w:ind w:left="0" w:leftChars="0" w:right="0" w:rightChars="0"/>
                    <w:jc w:val="center"/>
                    <w:rPr>
                      <w:bCs/>
                      <w:color w:val="auto"/>
                      <w:sz w:val="21"/>
                      <w:szCs w:val="21"/>
                    </w:rPr>
                  </w:pPr>
                  <w:r>
                    <w:rPr>
                      <w:rFonts w:hint="eastAsia"/>
                      <w:color w:val="auto"/>
                      <w:sz w:val="21"/>
                      <w:szCs w:val="21"/>
                      <w:lang w:val="en-US" w:eastAsia="zh-CN"/>
                    </w:rPr>
                    <w:t>外售综合利用</w:t>
                  </w:r>
                </w:p>
              </w:tc>
            </w:tr>
            <w:tr w14:paraId="3C90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79" w:type="pct"/>
                  <w:vMerge w:val="continue"/>
                  <w:vAlign w:val="center"/>
                </w:tcPr>
                <w:p w14:paraId="5BB277C8">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760" w:type="pct"/>
                  <w:vMerge w:val="continue"/>
                  <w:vAlign w:val="center"/>
                </w:tcPr>
                <w:p w14:paraId="7B256474">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789" w:type="pct"/>
                  <w:vMerge w:val="restart"/>
                  <w:vAlign w:val="center"/>
                </w:tcPr>
                <w:p w14:paraId="7CA22AB7">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rPr>
                    <w:t>废气处理</w:t>
                  </w:r>
                </w:p>
              </w:tc>
              <w:tc>
                <w:tcPr>
                  <w:tcW w:w="1171" w:type="pct"/>
                  <w:vAlign w:val="center"/>
                </w:tcPr>
                <w:p w14:paraId="58A13379">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rPr>
                    <w:t>布袋除尘器收尘</w:t>
                  </w:r>
                </w:p>
              </w:tc>
              <w:tc>
                <w:tcPr>
                  <w:tcW w:w="1898" w:type="pct"/>
                  <w:vAlign w:val="center"/>
                </w:tcPr>
                <w:p w14:paraId="5E10EA95">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外售综合利用</w:t>
                  </w:r>
                </w:p>
              </w:tc>
            </w:tr>
            <w:tr w14:paraId="0C54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79" w:type="pct"/>
                  <w:vMerge w:val="continue"/>
                  <w:vAlign w:val="center"/>
                </w:tcPr>
                <w:p w14:paraId="6652F086">
                  <w:pPr>
                    <w:pageBreakBefore w:val="0"/>
                    <w:kinsoku/>
                    <w:wordWrap/>
                    <w:overflowPunct/>
                    <w:topLinePunct w:val="0"/>
                    <w:autoSpaceDE/>
                    <w:autoSpaceDN/>
                    <w:bidi w:val="0"/>
                    <w:adjustRightInd/>
                    <w:snapToGrid/>
                    <w:ind w:left="0" w:leftChars="0" w:right="0" w:rightChars="0"/>
                    <w:jc w:val="center"/>
                    <w:rPr>
                      <w:color w:val="auto"/>
                    </w:rPr>
                  </w:pPr>
                </w:p>
              </w:tc>
              <w:tc>
                <w:tcPr>
                  <w:tcW w:w="760" w:type="pct"/>
                  <w:vMerge w:val="continue"/>
                  <w:vAlign w:val="center"/>
                </w:tcPr>
                <w:p w14:paraId="70B3A0C7">
                  <w:pPr>
                    <w:pageBreakBefore w:val="0"/>
                    <w:kinsoku/>
                    <w:wordWrap/>
                    <w:overflowPunct/>
                    <w:topLinePunct w:val="0"/>
                    <w:autoSpaceDE/>
                    <w:autoSpaceDN/>
                    <w:bidi w:val="0"/>
                    <w:adjustRightInd/>
                    <w:snapToGrid/>
                    <w:ind w:left="0" w:leftChars="0" w:right="0" w:rightChars="0"/>
                    <w:jc w:val="center"/>
                    <w:rPr>
                      <w:color w:val="auto"/>
                    </w:rPr>
                  </w:pPr>
                </w:p>
              </w:tc>
              <w:tc>
                <w:tcPr>
                  <w:tcW w:w="789" w:type="pct"/>
                  <w:vMerge w:val="continue"/>
                  <w:vAlign w:val="center"/>
                </w:tcPr>
                <w:p w14:paraId="61E6ADA4">
                  <w:pPr>
                    <w:pageBreakBefore w:val="0"/>
                    <w:kinsoku/>
                    <w:wordWrap/>
                    <w:overflowPunct/>
                    <w:topLinePunct w:val="0"/>
                    <w:autoSpaceDE/>
                    <w:autoSpaceDN/>
                    <w:bidi w:val="0"/>
                    <w:adjustRightInd/>
                    <w:snapToGrid/>
                    <w:ind w:left="0" w:leftChars="0" w:right="0" w:rightChars="0"/>
                    <w:jc w:val="center"/>
                    <w:rPr>
                      <w:color w:val="auto"/>
                    </w:rPr>
                  </w:pPr>
                </w:p>
              </w:tc>
              <w:tc>
                <w:tcPr>
                  <w:tcW w:w="1171" w:type="pct"/>
                  <w:vAlign w:val="center"/>
                </w:tcPr>
                <w:p w14:paraId="58DE4DD3">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沉淀池沉渣</w:t>
                  </w:r>
                </w:p>
              </w:tc>
              <w:tc>
                <w:tcPr>
                  <w:tcW w:w="1898" w:type="pct"/>
                  <w:vAlign w:val="center"/>
                </w:tcPr>
                <w:p w14:paraId="11C7B602">
                  <w:pPr>
                    <w:pageBreakBefore w:val="0"/>
                    <w:kinsoku/>
                    <w:wordWrap/>
                    <w:overflowPunct/>
                    <w:topLinePunct w:val="0"/>
                    <w:autoSpaceDE/>
                    <w:autoSpaceDN/>
                    <w:bidi w:val="0"/>
                    <w:adjustRightInd/>
                    <w:snapToGrid/>
                    <w:ind w:left="0" w:leftChars="0" w:right="0" w:rightChars="0"/>
                    <w:jc w:val="center"/>
                    <w:rPr>
                      <w:rFonts w:hint="eastAsia"/>
                      <w:color w:val="auto"/>
                      <w:sz w:val="21"/>
                      <w:szCs w:val="21"/>
                      <w:lang w:val="en-US" w:eastAsia="zh-CN"/>
                    </w:rPr>
                  </w:pPr>
                  <w:r>
                    <w:rPr>
                      <w:rFonts w:hint="eastAsia"/>
                      <w:color w:val="auto"/>
                      <w:sz w:val="21"/>
                      <w:szCs w:val="21"/>
                      <w:lang w:val="en-US" w:eastAsia="zh-CN"/>
                    </w:rPr>
                    <w:t>外售综合利用</w:t>
                  </w:r>
                </w:p>
              </w:tc>
            </w:tr>
            <w:tr w14:paraId="7807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79" w:type="pct"/>
                  <w:vMerge w:val="continue"/>
                  <w:vAlign w:val="center"/>
                </w:tcPr>
                <w:p w14:paraId="36493176">
                  <w:pPr>
                    <w:pageBreakBefore w:val="0"/>
                    <w:kinsoku/>
                    <w:wordWrap/>
                    <w:overflowPunct/>
                    <w:topLinePunct w:val="0"/>
                    <w:autoSpaceDE/>
                    <w:autoSpaceDN/>
                    <w:bidi w:val="0"/>
                    <w:adjustRightInd/>
                    <w:snapToGrid/>
                    <w:ind w:left="0" w:leftChars="0" w:right="0" w:rightChars="0"/>
                    <w:jc w:val="center"/>
                    <w:rPr>
                      <w:color w:val="auto"/>
                    </w:rPr>
                  </w:pPr>
                </w:p>
              </w:tc>
              <w:tc>
                <w:tcPr>
                  <w:tcW w:w="760" w:type="pct"/>
                  <w:vMerge w:val="continue"/>
                  <w:vAlign w:val="center"/>
                </w:tcPr>
                <w:p w14:paraId="7DBA14AA">
                  <w:pPr>
                    <w:pageBreakBefore w:val="0"/>
                    <w:kinsoku/>
                    <w:wordWrap/>
                    <w:overflowPunct/>
                    <w:topLinePunct w:val="0"/>
                    <w:autoSpaceDE/>
                    <w:autoSpaceDN/>
                    <w:bidi w:val="0"/>
                    <w:adjustRightInd/>
                    <w:snapToGrid/>
                    <w:ind w:left="0" w:leftChars="0" w:right="0" w:rightChars="0"/>
                    <w:jc w:val="center"/>
                    <w:rPr>
                      <w:color w:val="auto"/>
                    </w:rPr>
                  </w:pPr>
                </w:p>
              </w:tc>
              <w:tc>
                <w:tcPr>
                  <w:tcW w:w="789" w:type="pct"/>
                  <w:vMerge w:val="continue"/>
                  <w:vAlign w:val="center"/>
                </w:tcPr>
                <w:p w14:paraId="262703FE">
                  <w:pPr>
                    <w:pageBreakBefore w:val="0"/>
                    <w:kinsoku/>
                    <w:wordWrap/>
                    <w:overflowPunct/>
                    <w:topLinePunct w:val="0"/>
                    <w:autoSpaceDE/>
                    <w:autoSpaceDN/>
                    <w:bidi w:val="0"/>
                    <w:adjustRightInd/>
                    <w:snapToGrid/>
                    <w:ind w:left="0" w:leftChars="0" w:right="0" w:rightChars="0"/>
                    <w:jc w:val="center"/>
                    <w:rPr>
                      <w:color w:val="auto"/>
                    </w:rPr>
                  </w:pPr>
                </w:p>
              </w:tc>
              <w:tc>
                <w:tcPr>
                  <w:tcW w:w="1171" w:type="pct"/>
                  <w:vAlign w:val="center"/>
                </w:tcPr>
                <w:p w14:paraId="23109642">
                  <w:pPr>
                    <w:pageBreakBefore w:val="0"/>
                    <w:kinsoku/>
                    <w:wordWrap/>
                    <w:overflowPunct/>
                    <w:topLinePunct w:val="0"/>
                    <w:autoSpaceDE/>
                    <w:autoSpaceDN/>
                    <w:bidi w:val="0"/>
                    <w:adjustRightInd/>
                    <w:snapToGrid/>
                    <w:ind w:left="0" w:leftChars="0" w:right="0" w:rightChars="0"/>
                    <w:jc w:val="center"/>
                    <w:rPr>
                      <w:rFonts w:hint="eastAsia"/>
                      <w:color w:val="auto"/>
                      <w:sz w:val="21"/>
                      <w:szCs w:val="21"/>
                    </w:rPr>
                  </w:pPr>
                  <w:r>
                    <w:rPr>
                      <w:rFonts w:hint="eastAsia"/>
                      <w:color w:val="auto"/>
                      <w:sz w:val="21"/>
                      <w:szCs w:val="21"/>
                      <w:lang w:val="en-US" w:eastAsia="zh-CN"/>
                    </w:rPr>
                    <w:t>废除尘布袋</w:t>
                  </w:r>
                </w:p>
              </w:tc>
              <w:tc>
                <w:tcPr>
                  <w:tcW w:w="1898" w:type="pct"/>
                  <w:vAlign w:val="center"/>
                </w:tcPr>
                <w:p w14:paraId="0FE37E3C">
                  <w:pPr>
                    <w:pageBreakBefore w:val="0"/>
                    <w:kinsoku/>
                    <w:wordWrap/>
                    <w:overflowPunct/>
                    <w:topLinePunct w:val="0"/>
                    <w:autoSpaceDE/>
                    <w:autoSpaceDN/>
                    <w:bidi w:val="0"/>
                    <w:adjustRightInd/>
                    <w:snapToGrid/>
                    <w:ind w:left="0" w:leftChars="0" w:right="0" w:rightChars="0"/>
                    <w:jc w:val="center"/>
                    <w:rPr>
                      <w:rFonts w:hint="eastAsia"/>
                      <w:color w:val="auto"/>
                      <w:sz w:val="21"/>
                      <w:szCs w:val="21"/>
                    </w:rPr>
                  </w:pPr>
                  <w:r>
                    <w:rPr>
                      <w:rFonts w:hint="eastAsia"/>
                      <w:color w:val="auto"/>
                      <w:sz w:val="21"/>
                      <w:szCs w:val="21"/>
                      <w:lang w:val="en-US" w:eastAsia="zh-CN"/>
                    </w:rPr>
                    <w:t>外售综合利用</w:t>
                  </w:r>
                </w:p>
              </w:tc>
            </w:tr>
            <w:tr w14:paraId="50B5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9" w:type="pct"/>
                  <w:vMerge w:val="continue"/>
                  <w:vAlign w:val="center"/>
                </w:tcPr>
                <w:p w14:paraId="7D3E213F">
                  <w:pPr>
                    <w:pageBreakBefore w:val="0"/>
                    <w:kinsoku/>
                    <w:wordWrap/>
                    <w:overflowPunct/>
                    <w:topLinePunct w:val="0"/>
                    <w:autoSpaceDE/>
                    <w:autoSpaceDN/>
                    <w:bidi w:val="0"/>
                    <w:adjustRightInd/>
                    <w:snapToGrid/>
                    <w:ind w:left="0" w:leftChars="0" w:right="0" w:rightChars="0"/>
                    <w:jc w:val="center"/>
                    <w:rPr>
                      <w:rFonts w:hint="eastAsia"/>
                      <w:color w:val="auto"/>
                      <w:sz w:val="21"/>
                      <w:szCs w:val="21"/>
                    </w:rPr>
                  </w:pPr>
                </w:p>
              </w:tc>
              <w:tc>
                <w:tcPr>
                  <w:tcW w:w="760" w:type="pct"/>
                  <w:vMerge w:val="continue"/>
                  <w:vAlign w:val="center"/>
                </w:tcPr>
                <w:p w14:paraId="0981B585">
                  <w:pPr>
                    <w:pageBreakBefore w:val="0"/>
                    <w:kinsoku/>
                    <w:wordWrap/>
                    <w:overflowPunct/>
                    <w:topLinePunct w:val="0"/>
                    <w:autoSpaceDE/>
                    <w:autoSpaceDN/>
                    <w:bidi w:val="0"/>
                    <w:adjustRightInd/>
                    <w:snapToGrid/>
                    <w:ind w:left="0" w:leftChars="0" w:right="0" w:rightChars="0"/>
                    <w:jc w:val="center"/>
                    <w:rPr>
                      <w:rFonts w:hint="eastAsia"/>
                      <w:color w:val="auto"/>
                      <w:sz w:val="21"/>
                      <w:szCs w:val="21"/>
                    </w:rPr>
                  </w:pPr>
                </w:p>
              </w:tc>
              <w:tc>
                <w:tcPr>
                  <w:tcW w:w="789" w:type="pct"/>
                  <w:vMerge w:val="restart"/>
                  <w:vAlign w:val="center"/>
                </w:tcPr>
                <w:p w14:paraId="7379A3E8">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val="en-US" w:eastAsia="zh-CN"/>
                    </w:rPr>
                  </w:pPr>
                  <w:r>
                    <w:rPr>
                      <w:rFonts w:hint="eastAsia"/>
                      <w:color w:val="auto"/>
                      <w:sz w:val="21"/>
                      <w:szCs w:val="21"/>
                      <w:lang w:val="en-US" w:eastAsia="zh-CN"/>
                    </w:rPr>
                    <w:t>烘干</w:t>
                  </w:r>
                </w:p>
              </w:tc>
              <w:tc>
                <w:tcPr>
                  <w:tcW w:w="1171" w:type="pct"/>
                  <w:vAlign w:val="center"/>
                </w:tcPr>
                <w:p w14:paraId="18C173B4">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val="en-US" w:eastAsia="zh-CN"/>
                    </w:rPr>
                  </w:pPr>
                  <w:r>
                    <w:rPr>
                      <w:rFonts w:hint="eastAsia"/>
                      <w:color w:val="auto"/>
                      <w:sz w:val="21"/>
                      <w:szCs w:val="21"/>
                      <w:lang w:val="en-US" w:eastAsia="zh-CN"/>
                    </w:rPr>
                    <w:t>炉渣</w:t>
                  </w:r>
                </w:p>
              </w:tc>
              <w:tc>
                <w:tcPr>
                  <w:tcW w:w="1898" w:type="pct"/>
                  <w:vAlign w:val="center"/>
                </w:tcPr>
                <w:p w14:paraId="24A34C15">
                  <w:pPr>
                    <w:pageBreakBefore w:val="0"/>
                    <w:kinsoku/>
                    <w:wordWrap/>
                    <w:overflowPunct/>
                    <w:topLinePunct w:val="0"/>
                    <w:autoSpaceDE/>
                    <w:autoSpaceDN/>
                    <w:bidi w:val="0"/>
                    <w:adjustRightInd/>
                    <w:snapToGrid/>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外售综合利用</w:t>
                  </w:r>
                </w:p>
              </w:tc>
            </w:tr>
            <w:tr w14:paraId="5B35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9" w:type="pct"/>
                  <w:vMerge w:val="continue"/>
                  <w:vAlign w:val="center"/>
                </w:tcPr>
                <w:p w14:paraId="64D23A04">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760" w:type="pct"/>
                  <w:vMerge w:val="continue"/>
                  <w:vAlign w:val="center"/>
                </w:tcPr>
                <w:p w14:paraId="6B417BB2">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789" w:type="pct"/>
                  <w:vMerge w:val="continue"/>
                  <w:vAlign w:val="center"/>
                </w:tcPr>
                <w:p w14:paraId="367FE0FB">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1171" w:type="pct"/>
                  <w:vAlign w:val="center"/>
                </w:tcPr>
                <w:p w14:paraId="246B6EC7">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val="en-US" w:eastAsia="zh-CN"/>
                    </w:rPr>
                  </w:pPr>
                  <w:r>
                    <w:rPr>
                      <w:rFonts w:hint="eastAsia"/>
                      <w:color w:val="auto"/>
                      <w:sz w:val="21"/>
                      <w:szCs w:val="21"/>
                      <w:lang w:val="en-US" w:eastAsia="zh-CN"/>
                    </w:rPr>
                    <w:t>废树脂</w:t>
                  </w:r>
                  <w:r>
                    <w:rPr>
                      <w:rFonts w:hint="eastAsia"/>
                      <w:color w:val="auto"/>
                      <w:sz w:val="21"/>
                      <w:szCs w:val="21"/>
                      <w:lang w:eastAsia="zh-CN"/>
                    </w:rPr>
                    <w:t>（锅炉自带软水装置产生）</w:t>
                  </w:r>
                </w:p>
              </w:tc>
              <w:tc>
                <w:tcPr>
                  <w:tcW w:w="1898" w:type="pct"/>
                  <w:vAlign w:val="center"/>
                </w:tcPr>
                <w:p w14:paraId="38D1C3E1">
                  <w:pPr>
                    <w:pageBreakBefore w:val="0"/>
                    <w:kinsoku/>
                    <w:wordWrap/>
                    <w:overflowPunct/>
                    <w:topLinePunct w:val="0"/>
                    <w:autoSpaceDE/>
                    <w:autoSpaceDN/>
                    <w:bidi w:val="0"/>
                    <w:adjustRightInd/>
                    <w:snapToGrid/>
                    <w:ind w:left="0" w:leftChars="0" w:right="0" w:rightChars="0"/>
                    <w:jc w:val="center"/>
                    <w:rPr>
                      <w:rFonts w:hint="default"/>
                      <w:color w:val="auto"/>
                      <w:sz w:val="21"/>
                      <w:szCs w:val="21"/>
                      <w:lang w:val="en-US" w:eastAsia="zh-CN"/>
                    </w:rPr>
                  </w:pPr>
                  <w:r>
                    <w:rPr>
                      <w:rFonts w:hint="eastAsia"/>
                      <w:color w:val="auto"/>
                      <w:sz w:val="21"/>
                      <w:szCs w:val="21"/>
                      <w:lang w:val="en-US" w:eastAsia="zh-CN"/>
                    </w:rPr>
                    <w:t>外售综合利用</w:t>
                  </w:r>
                </w:p>
              </w:tc>
            </w:tr>
            <w:tr w14:paraId="44A6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9" w:type="pct"/>
                  <w:vMerge w:val="continue"/>
                  <w:vAlign w:val="center"/>
                </w:tcPr>
                <w:p w14:paraId="2D32A97C">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760" w:type="pct"/>
                  <w:vMerge w:val="continue"/>
                  <w:vAlign w:val="center"/>
                </w:tcPr>
                <w:p w14:paraId="5ACA54B6">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789" w:type="pct"/>
                  <w:vAlign w:val="center"/>
                </w:tcPr>
                <w:p w14:paraId="2ECDFE48">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rPr>
                    <w:t>员工生活</w:t>
                  </w:r>
                </w:p>
              </w:tc>
              <w:tc>
                <w:tcPr>
                  <w:tcW w:w="1171" w:type="pct"/>
                  <w:vAlign w:val="center"/>
                </w:tcPr>
                <w:p w14:paraId="41B6E869">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rPr>
                    <w:t>生活垃圾</w:t>
                  </w:r>
                </w:p>
              </w:tc>
              <w:tc>
                <w:tcPr>
                  <w:tcW w:w="1898" w:type="pct"/>
                  <w:vAlign w:val="center"/>
                </w:tcPr>
                <w:p w14:paraId="2D0EFC8A">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rPr>
                    <w:t>交由环卫部门</w:t>
                  </w:r>
                  <w:r>
                    <w:rPr>
                      <w:rFonts w:hint="eastAsia"/>
                      <w:bCs/>
                      <w:color w:val="auto"/>
                      <w:kern w:val="0"/>
                      <w:sz w:val="21"/>
                      <w:szCs w:val="21"/>
                    </w:rPr>
                    <w:t>定期清运</w:t>
                  </w:r>
                </w:p>
              </w:tc>
            </w:tr>
            <w:tr w14:paraId="5DE1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79" w:type="pct"/>
                  <w:vMerge w:val="restart"/>
                  <w:vAlign w:val="center"/>
                </w:tcPr>
                <w:p w14:paraId="1B9ACBEA">
                  <w:pPr>
                    <w:pStyle w:val="85"/>
                    <w:pageBreakBefore w:val="0"/>
                    <w:kinsoku/>
                    <w:wordWrap/>
                    <w:overflowPunct/>
                    <w:topLinePunct w:val="0"/>
                    <w:autoSpaceDE/>
                    <w:autoSpaceDN/>
                    <w:bidi w:val="0"/>
                    <w:adjustRightInd/>
                    <w:snapToGrid/>
                    <w:spacing w:line="240" w:lineRule="auto"/>
                    <w:ind w:left="0" w:leftChars="0" w:right="0" w:rightChars="0"/>
                    <w:jc w:val="center"/>
                    <w:rPr>
                      <w:rFonts w:cs="Times New Roman"/>
                      <w:color w:val="auto"/>
                      <w:sz w:val="21"/>
                      <w:szCs w:val="21"/>
                    </w:rPr>
                  </w:pPr>
                  <w:r>
                    <w:rPr>
                      <w:rFonts w:hint="eastAsia" w:cs="Times New Roman"/>
                      <w:color w:val="auto"/>
                      <w:sz w:val="21"/>
                      <w:szCs w:val="21"/>
                    </w:rPr>
                    <w:t>5</w:t>
                  </w:r>
                </w:p>
              </w:tc>
              <w:tc>
                <w:tcPr>
                  <w:tcW w:w="760" w:type="pct"/>
                  <w:vMerge w:val="restart"/>
                  <w:vAlign w:val="center"/>
                </w:tcPr>
                <w:p w14:paraId="7EF77124">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color w:val="auto"/>
                      <w:sz w:val="21"/>
                      <w:szCs w:val="21"/>
                    </w:rPr>
                    <w:t>危险</w:t>
                  </w:r>
                  <w:r>
                    <w:rPr>
                      <w:rFonts w:hint="eastAsia"/>
                      <w:color w:val="auto"/>
                      <w:sz w:val="21"/>
                      <w:szCs w:val="21"/>
                      <w:lang w:eastAsia="zh-CN"/>
                    </w:rPr>
                    <w:t>废物</w:t>
                  </w:r>
                </w:p>
              </w:tc>
              <w:tc>
                <w:tcPr>
                  <w:tcW w:w="789" w:type="pct"/>
                  <w:vAlign w:val="center"/>
                </w:tcPr>
                <w:p w14:paraId="3D770A58">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rPr>
                    <w:t>设备维护</w:t>
                  </w:r>
                </w:p>
              </w:tc>
              <w:tc>
                <w:tcPr>
                  <w:tcW w:w="1171" w:type="pct"/>
                  <w:vAlign w:val="center"/>
                </w:tcPr>
                <w:p w14:paraId="235004DB">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rPr>
                    <w:t>废润滑油、废润滑油桶</w:t>
                  </w:r>
                </w:p>
              </w:tc>
              <w:tc>
                <w:tcPr>
                  <w:tcW w:w="1898" w:type="pct"/>
                  <w:vMerge w:val="restart"/>
                  <w:vAlign w:val="center"/>
                </w:tcPr>
                <w:p w14:paraId="030BBF46">
                  <w:pPr>
                    <w:pageBreakBefore w:val="0"/>
                    <w:kinsoku/>
                    <w:wordWrap/>
                    <w:overflowPunct/>
                    <w:topLinePunct w:val="0"/>
                    <w:autoSpaceDE/>
                    <w:autoSpaceDN/>
                    <w:bidi w:val="0"/>
                    <w:adjustRightInd/>
                    <w:snapToGrid/>
                    <w:ind w:left="0" w:leftChars="0" w:right="0" w:rightChars="0"/>
                    <w:jc w:val="center"/>
                    <w:rPr>
                      <w:color w:val="auto"/>
                      <w:sz w:val="21"/>
                      <w:szCs w:val="21"/>
                    </w:rPr>
                  </w:pPr>
                  <w:r>
                    <w:rPr>
                      <w:rFonts w:hint="eastAsia"/>
                      <w:color w:val="auto"/>
                      <w:sz w:val="21"/>
                      <w:szCs w:val="21"/>
                    </w:rPr>
                    <w:t>暂存于危废间，定期交由有资质的单位处理</w:t>
                  </w:r>
                </w:p>
              </w:tc>
            </w:tr>
            <w:tr w14:paraId="2A7F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79" w:type="pct"/>
                  <w:vMerge w:val="continue"/>
                  <w:vAlign w:val="center"/>
                </w:tcPr>
                <w:p w14:paraId="5ECDB781">
                  <w:pPr>
                    <w:pStyle w:val="85"/>
                    <w:pageBreakBefore w:val="0"/>
                    <w:kinsoku/>
                    <w:wordWrap/>
                    <w:overflowPunct/>
                    <w:topLinePunct w:val="0"/>
                    <w:autoSpaceDE/>
                    <w:autoSpaceDN/>
                    <w:bidi w:val="0"/>
                    <w:adjustRightInd/>
                    <w:snapToGrid/>
                    <w:spacing w:line="240" w:lineRule="auto"/>
                    <w:ind w:left="0" w:leftChars="0" w:right="0" w:rightChars="0"/>
                    <w:jc w:val="center"/>
                    <w:rPr>
                      <w:rFonts w:hint="eastAsia" w:cs="Times New Roman"/>
                      <w:color w:val="auto"/>
                      <w:sz w:val="21"/>
                      <w:szCs w:val="21"/>
                    </w:rPr>
                  </w:pPr>
                </w:p>
              </w:tc>
              <w:tc>
                <w:tcPr>
                  <w:tcW w:w="760" w:type="pct"/>
                  <w:vMerge w:val="continue"/>
                  <w:vAlign w:val="center"/>
                </w:tcPr>
                <w:p w14:paraId="48A4BEBA">
                  <w:pPr>
                    <w:pageBreakBefore w:val="0"/>
                    <w:kinsoku/>
                    <w:wordWrap/>
                    <w:overflowPunct/>
                    <w:topLinePunct w:val="0"/>
                    <w:autoSpaceDE/>
                    <w:autoSpaceDN/>
                    <w:bidi w:val="0"/>
                    <w:adjustRightInd/>
                    <w:snapToGrid/>
                    <w:ind w:left="0" w:leftChars="0" w:right="0" w:rightChars="0"/>
                    <w:jc w:val="center"/>
                    <w:rPr>
                      <w:color w:val="auto"/>
                      <w:sz w:val="21"/>
                      <w:szCs w:val="21"/>
                    </w:rPr>
                  </w:pPr>
                </w:p>
              </w:tc>
              <w:tc>
                <w:tcPr>
                  <w:tcW w:w="789" w:type="pct"/>
                  <w:vAlign w:val="center"/>
                </w:tcPr>
                <w:p w14:paraId="398A099D">
                  <w:pPr>
                    <w:pageBreakBefore w:val="0"/>
                    <w:kinsoku/>
                    <w:wordWrap/>
                    <w:overflowPunct/>
                    <w:topLinePunct w:val="0"/>
                    <w:autoSpaceDE/>
                    <w:autoSpaceDN/>
                    <w:bidi w:val="0"/>
                    <w:adjustRightInd/>
                    <w:snapToGrid/>
                    <w:ind w:left="0" w:leftChars="0" w:right="0" w:rightChars="0"/>
                    <w:jc w:val="center"/>
                    <w:rPr>
                      <w:rFonts w:hint="eastAsia" w:eastAsia="宋体"/>
                      <w:color w:val="auto"/>
                      <w:sz w:val="21"/>
                      <w:szCs w:val="21"/>
                      <w:lang w:eastAsia="zh-CN"/>
                    </w:rPr>
                  </w:pPr>
                  <w:r>
                    <w:rPr>
                      <w:rFonts w:hint="eastAsia"/>
                      <w:color w:val="auto"/>
                      <w:sz w:val="21"/>
                      <w:szCs w:val="21"/>
                      <w:lang w:eastAsia="zh-CN"/>
                    </w:rPr>
                    <w:t>废气处理</w:t>
                  </w:r>
                </w:p>
              </w:tc>
              <w:tc>
                <w:tcPr>
                  <w:tcW w:w="1171" w:type="pct"/>
                  <w:vAlign w:val="center"/>
                </w:tcPr>
                <w:p w14:paraId="24662AE7">
                  <w:pPr>
                    <w:pageBreakBefore w:val="0"/>
                    <w:kinsoku/>
                    <w:wordWrap/>
                    <w:overflowPunct/>
                    <w:topLinePunct w:val="0"/>
                    <w:autoSpaceDE/>
                    <w:autoSpaceDN/>
                    <w:bidi w:val="0"/>
                    <w:adjustRightInd/>
                    <w:snapToGrid/>
                    <w:ind w:left="0" w:leftChars="0" w:right="0" w:rightChars="0"/>
                    <w:jc w:val="center"/>
                    <w:rPr>
                      <w:rFonts w:hint="eastAsia"/>
                      <w:color w:val="auto"/>
                      <w:sz w:val="21"/>
                      <w:szCs w:val="21"/>
                    </w:rPr>
                  </w:pPr>
                  <w:r>
                    <w:rPr>
                      <w:rFonts w:hint="eastAsia"/>
                      <w:color w:val="auto"/>
                      <w:sz w:val="21"/>
                      <w:szCs w:val="21"/>
                      <w:lang w:val="en-US" w:eastAsia="zh-CN"/>
                    </w:rPr>
                    <w:t>SCR催化剂</w:t>
                  </w:r>
                </w:p>
              </w:tc>
              <w:tc>
                <w:tcPr>
                  <w:tcW w:w="1898" w:type="pct"/>
                  <w:vMerge w:val="continue"/>
                  <w:vAlign w:val="center"/>
                </w:tcPr>
                <w:p w14:paraId="70640AA3">
                  <w:pPr>
                    <w:pageBreakBefore w:val="0"/>
                    <w:kinsoku/>
                    <w:wordWrap/>
                    <w:overflowPunct/>
                    <w:topLinePunct w:val="0"/>
                    <w:autoSpaceDE/>
                    <w:autoSpaceDN/>
                    <w:bidi w:val="0"/>
                    <w:adjustRightInd/>
                    <w:snapToGrid/>
                    <w:ind w:left="0" w:leftChars="0" w:right="0" w:rightChars="0"/>
                    <w:jc w:val="center"/>
                    <w:rPr>
                      <w:rFonts w:hint="eastAsia"/>
                      <w:color w:val="auto"/>
                      <w:sz w:val="21"/>
                      <w:szCs w:val="21"/>
                    </w:rPr>
                  </w:pPr>
                </w:p>
              </w:tc>
            </w:tr>
          </w:tbl>
          <w:p w14:paraId="75CD78A6">
            <w:pPr>
              <w:rPr>
                <w:rFonts w:hint="eastAsia"/>
                <w:color w:val="auto"/>
                <w:lang w:eastAsia="zh-CN"/>
              </w:rPr>
            </w:pPr>
          </w:p>
          <w:p w14:paraId="3D46206F">
            <w:pPr>
              <w:rPr>
                <w:rFonts w:hint="eastAsia"/>
                <w:color w:val="auto"/>
                <w:lang w:eastAsia="zh-CN"/>
              </w:rPr>
            </w:pPr>
          </w:p>
          <w:p w14:paraId="16F114B9">
            <w:pPr>
              <w:rPr>
                <w:rFonts w:hint="eastAsia"/>
                <w:color w:val="auto"/>
                <w:lang w:eastAsia="zh-CN"/>
              </w:rPr>
            </w:pPr>
          </w:p>
          <w:p w14:paraId="192ADC79">
            <w:pPr>
              <w:rPr>
                <w:rFonts w:hint="eastAsia"/>
                <w:color w:val="auto"/>
                <w:lang w:eastAsia="zh-CN"/>
              </w:rPr>
            </w:pPr>
          </w:p>
          <w:p w14:paraId="67B99C00">
            <w:pPr>
              <w:rPr>
                <w:rFonts w:hint="eastAsia"/>
                <w:color w:val="auto"/>
                <w:lang w:eastAsia="zh-CN"/>
              </w:rPr>
            </w:pPr>
          </w:p>
          <w:p w14:paraId="68856625">
            <w:pPr>
              <w:rPr>
                <w:rFonts w:hint="eastAsia"/>
                <w:color w:val="auto"/>
                <w:lang w:eastAsia="zh-CN"/>
              </w:rPr>
            </w:pPr>
          </w:p>
        </w:tc>
      </w:tr>
      <w:tr w14:paraId="165A1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2" w:hRule="atLeast"/>
          <w:jc w:val="center"/>
        </w:trPr>
        <w:tc>
          <w:tcPr>
            <w:tcW w:w="327" w:type="pct"/>
            <w:vAlign w:val="center"/>
          </w:tcPr>
          <w:p w14:paraId="3EC370BD">
            <w:pPr>
              <w:pageBreakBefore w:val="0"/>
              <w:kinsoku/>
              <w:wordWrap/>
              <w:overflowPunct/>
              <w:topLinePunct w:val="0"/>
              <w:autoSpaceDE/>
              <w:autoSpaceDN/>
              <w:bidi w:val="0"/>
              <w:adjustRightInd/>
              <w:snapToGrid/>
              <w:spacing w:line="240" w:lineRule="auto"/>
              <w:ind w:left="0" w:leftChars="0" w:right="0" w:rightChars="0"/>
              <w:jc w:val="center"/>
              <w:rPr>
                <w:b/>
                <w:bCs/>
                <w:color w:val="auto"/>
                <w:sz w:val="24"/>
                <w:szCs w:val="32"/>
              </w:rPr>
            </w:pPr>
            <w:r>
              <w:rPr>
                <w:b/>
                <w:bCs/>
                <w:color w:val="auto"/>
                <w:sz w:val="24"/>
                <w:szCs w:val="32"/>
              </w:rPr>
              <w:t>与项目有关的原有环境污染问题</w:t>
            </w:r>
          </w:p>
        </w:tc>
        <w:tc>
          <w:tcPr>
            <w:tcW w:w="4672" w:type="pct"/>
            <w:vAlign w:val="center"/>
          </w:tcPr>
          <w:p w14:paraId="12FDE25A">
            <w:pPr>
              <w:pageBreakBefore w:val="0"/>
              <w:kinsoku/>
              <w:wordWrap/>
              <w:overflowPunct/>
              <w:topLinePunct w:val="0"/>
              <w:autoSpaceDE/>
              <w:autoSpaceDN/>
              <w:bidi w:val="0"/>
              <w:adjustRightInd/>
              <w:snapToGrid/>
              <w:spacing w:line="360" w:lineRule="auto"/>
              <w:ind w:right="0" w:rightChars="0" w:firstLine="480" w:firstLineChars="200"/>
              <w:jc w:val="left"/>
              <w:rPr>
                <w:rFonts w:hint="eastAsia" w:cs="Times New Roman"/>
                <w:bCs/>
                <w:color w:val="auto"/>
                <w:sz w:val="24"/>
                <w:lang w:val="en-US" w:eastAsia="zh-CN"/>
              </w:rPr>
            </w:pPr>
            <w:r>
              <w:rPr>
                <w:rFonts w:hint="eastAsia" w:cs="Times New Roman"/>
                <w:bCs/>
                <w:color w:val="auto"/>
                <w:sz w:val="24"/>
                <w:lang w:val="en-US" w:eastAsia="zh-CN"/>
              </w:rPr>
              <w:t>本项目为新建项目，租赁金寨县明诚竹业有限公司场地进行生产建设。金寨县明诚竹业有限公司2017年取得金寨县环境保护局《关于金寨县明诚竹业有限公司毛竹碳化及毛竹半成品生产线技术改造项目环境影响报告表的批复》（金环审[2017]2号），现已停止生产。原有环境问题主要为金寨县明诚竹业有限公司现场未拆除设备。</w:t>
            </w:r>
          </w:p>
          <w:p w14:paraId="6978DC25">
            <w:pPr>
              <w:pageBreakBefore w:val="0"/>
              <w:kinsoku/>
              <w:wordWrap/>
              <w:overflowPunct/>
              <w:topLinePunct w:val="0"/>
              <w:autoSpaceDE/>
              <w:autoSpaceDN/>
              <w:bidi w:val="0"/>
              <w:adjustRightInd/>
              <w:snapToGrid/>
              <w:spacing w:line="360" w:lineRule="auto"/>
              <w:ind w:left="0" w:leftChars="0" w:right="0" w:rightChars="0"/>
              <w:jc w:val="center"/>
              <w:rPr>
                <w:rFonts w:hint="eastAsia" w:cs="Times New Roman"/>
                <w:bCs/>
                <w:color w:val="auto"/>
                <w:sz w:val="24"/>
                <w:lang w:val="en-US" w:eastAsia="zh-CN"/>
              </w:rPr>
            </w:pPr>
            <w:r>
              <w:rPr>
                <w:rFonts w:hint="eastAsia" w:cs="Times New Roman"/>
                <w:bCs/>
                <w:color w:val="auto"/>
                <w:sz w:val="24"/>
                <w:lang w:val="en-US" w:eastAsia="zh-CN"/>
              </w:rPr>
              <w:drawing>
                <wp:inline distT="0" distB="0" distL="114300" distR="114300">
                  <wp:extent cx="3049270" cy="4065270"/>
                  <wp:effectExtent l="0" t="0" r="17780" b="11430"/>
                  <wp:docPr id="19" name="图片 19" descr="1e61231c66e474b89444f0f1ad97a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e61231c66e474b89444f0f1ad97a825"/>
                          <pic:cNvPicPr>
                            <a:picLocks noChangeAspect="1"/>
                          </pic:cNvPicPr>
                        </pic:nvPicPr>
                        <pic:blipFill>
                          <a:blip r:embed="rId15"/>
                          <a:stretch>
                            <a:fillRect/>
                          </a:stretch>
                        </pic:blipFill>
                        <pic:spPr>
                          <a:xfrm>
                            <a:off x="0" y="0"/>
                            <a:ext cx="3049270" cy="4065270"/>
                          </a:xfrm>
                          <a:prstGeom prst="rect">
                            <a:avLst/>
                          </a:prstGeom>
                        </pic:spPr>
                      </pic:pic>
                    </a:graphicData>
                  </a:graphic>
                </wp:inline>
              </w:drawing>
            </w:r>
          </w:p>
          <w:p w14:paraId="7D96D300">
            <w:pPr>
              <w:pageBreakBefore w:val="0"/>
              <w:kinsoku/>
              <w:wordWrap/>
              <w:overflowPunct/>
              <w:topLinePunct w:val="0"/>
              <w:autoSpaceDE/>
              <w:autoSpaceDN/>
              <w:bidi w:val="0"/>
              <w:adjustRightInd/>
              <w:snapToGrid/>
              <w:spacing w:line="360" w:lineRule="auto"/>
              <w:ind w:left="0" w:leftChars="0" w:right="0" w:rightChars="0"/>
              <w:jc w:val="center"/>
              <w:rPr>
                <w:rFonts w:hint="eastAsia" w:cs="Times New Roman"/>
                <w:bCs/>
                <w:color w:val="auto"/>
                <w:sz w:val="24"/>
                <w:lang w:val="en-US" w:eastAsia="zh-CN"/>
              </w:rPr>
            </w:pPr>
          </w:p>
          <w:p w14:paraId="2DDAFE75">
            <w:pPr>
              <w:pageBreakBefore w:val="0"/>
              <w:kinsoku/>
              <w:wordWrap/>
              <w:overflowPunct/>
              <w:topLinePunct w:val="0"/>
              <w:autoSpaceDE/>
              <w:autoSpaceDN/>
              <w:bidi w:val="0"/>
              <w:adjustRightInd/>
              <w:snapToGrid/>
              <w:spacing w:line="360" w:lineRule="auto"/>
              <w:ind w:left="0" w:leftChars="0" w:right="0" w:rightChars="0"/>
              <w:jc w:val="center"/>
              <w:rPr>
                <w:rFonts w:hint="eastAsia" w:cs="Times New Roman"/>
                <w:bCs/>
                <w:color w:val="auto"/>
                <w:sz w:val="24"/>
                <w:lang w:val="en-US" w:eastAsia="zh-CN"/>
              </w:rPr>
            </w:pPr>
          </w:p>
          <w:p w14:paraId="5918E604">
            <w:pPr>
              <w:pageBreakBefore w:val="0"/>
              <w:kinsoku/>
              <w:wordWrap/>
              <w:overflowPunct/>
              <w:topLinePunct w:val="0"/>
              <w:autoSpaceDE/>
              <w:autoSpaceDN/>
              <w:bidi w:val="0"/>
              <w:adjustRightInd/>
              <w:snapToGrid/>
              <w:spacing w:line="360" w:lineRule="auto"/>
              <w:ind w:left="0" w:leftChars="0" w:right="0" w:rightChars="0"/>
              <w:jc w:val="center"/>
              <w:rPr>
                <w:rFonts w:hint="eastAsia" w:cs="Times New Roman"/>
                <w:bCs/>
                <w:color w:val="auto"/>
                <w:sz w:val="24"/>
                <w:lang w:val="en-US" w:eastAsia="zh-CN"/>
              </w:rPr>
            </w:pPr>
          </w:p>
          <w:p w14:paraId="1FADFC65">
            <w:pPr>
              <w:pageBreakBefore w:val="0"/>
              <w:kinsoku/>
              <w:wordWrap/>
              <w:overflowPunct/>
              <w:topLinePunct w:val="0"/>
              <w:autoSpaceDE/>
              <w:autoSpaceDN/>
              <w:bidi w:val="0"/>
              <w:adjustRightInd/>
              <w:snapToGrid/>
              <w:spacing w:line="360" w:lineRule="auto"/>
              <w:ind w:left="0" w:leftChars="0" w:right="0" w:rightChars="0"/>
              <w:jc w:val="center"/>
              <w:rPr>
                <w:rFonts w:hint="eastAsia" w:cs="Times New Roman"/>
                <w:bCs/>
                <w:color w:val="auto"/>
                <w:sz w:val="24"/>
                <w:lang w:val="en-US" w:eastAsia="zh-CN"/>
              </w:rPr>
            </w:pPr>
          </w:p>
          <w:p w14:paraId="1725F5FE">
            <w:pPr>
              <w:pageBreakBefore w:val="0"/>
              <w:kinsoku/>
              <w:wordWrap/>
              <w:overflowPunct/>
              <w:topLinePunct w:val="0"/>
              <w:autoSpaceDE/>
              <w:autoSpaceDN/>
              <w:bidi w:val="0"/>
              <w:adjustRightInd/>
              <w:snapToGrid/>
              <w:spacing w:line="360" w:lineRule="auto"/>
              <w:ind w:left="0" w:leftChars="0" w:right="0" w:rightChars="0"/>
              <w:jc w:val="center"/>
              <w:rPr>
                <w:rFonts w:hint="eastAsia" w:cs="Times New Roman"/>
                <w:bCs/>
                <w:color w:val="auto"/>
                <w:sz w:val="24"/>
                <w:lang w:val="en-US" w:eastAsia="zh-CN"/>
              </w:rPr>
            </w:pPr>
          </w:p>
          <w:p w14:paraId="49EA610F">
            <w:pPr>
              <w:pageBreakBefore w:val="0"/>
              <w:kinsoku/>
              <w:wordWrap/>
              <w:overflowPunct/>
              <w:topLinePunct w:val="0"/>
              <w:autoSpaceDE/>
              <w:autoSpaceDN/>
              <w:bidi w:val="0"/>
              <w:adjustRightInd/>
              <w:snapToGrid/>
              <w:spacing w:line="360" w:lineRule="auto"/>
              <w:ind w:left="0" w:leftChars="0" w:right="0" w:rightChars="0"/>
              <w:jc w:val="center"/>
              <w:rPr>
                <w:rFonts w:hint="eastAsia" w:cs="Times New Roman"/>
                <w:bCs/>
                <w:color w:val="auto"/>
                <w:sz w:val="24"/>
                <w:lang w:val="en-US" w:eastAsia="zh-CN"/>
              </w:rPr>
            </w:pPr>
          </w:p>
          <w:p w14:paraId="6DFBA076">
            <w:pPr>
              <w:pageBreakBefore w:val="0"/>
              <w:kinsoku/>
              <w:wordWrap/>
              <w:overflowPunct/>
              <w:topLinePunct w:val="0"/>
              <w:autoSpaceDE/>
              <w:autoSpaceDN/>
              <w:bidi w:val="0"/>
              <w:adjustRightInd/>
              <w:snapToGrid/>
              <w:spacing w:line="360" w:lineRule="auto"/>
              <w:ind w:left="0" w:leftChars="0" w:right="0" w:rightChars="0"/>
              <w:jc w:val="center"/>
              <w:rPr>
                <w:rFonts w:hint="eastAsia" w:cs="Times New Roman"/>
                <w:bCs/>
                <w:color w:val="auto"/>
                <w:sz w:val="24"/>
                <w:lang w:val="en-US" w:eastAsia="zh-CN"/>
              </w:rPr>
            </w:pPr>
          </w:p>
          <w:p w14:paraId="011C65ED">
            <w:pPr>
              <w:pageBreakBefore w:val="0"/>
              <w:kinsoku/>
              <w:wordWrap/>
              <w:overflowPunct/>
              <w:topLinePunct w:val="0"/>
              <w:autoSpaceDE/>
              <w:autoSpaceDN/>
              <w:bidi w:val="0"/>
              <w:adjustRightInd/>
              <w:snapToGrid/>
              <w:spacing w:line="360" w:lineRule="auto"/>
              <w:ind w:left="0" w:leftChars="0" w:right="0" w:rightChars="0"/>
              <w:jc w:val="center"/>
              <w:rPr>
                <w:rFonts w:hint="eastAsia" w:cs="Times New Roman"/>
                <w:bCs/>
                <w:color w:val="auto"/>
                <w:sz w:val="24"/>
                <w:lang w:val="en-US" w:eastAsia="zh-CN"/>
              </w:rPr>
            </w:pPr>
          </w:p>
        </w:tc>
      </w:tr>
    </w:tbl>
    <w:p w14:paraId="2278CFF5">
      <w:pPr>
        <w:pStyle w:val="28"/>
        <w:jc w:val="center"/>
        <w:rPr>
          <w:rFonts w:ascii="Times New Roman" w:hAnsi="Times New Roman" w:eastAsia="黑体"/>
          <w:snapToGrid w:val="0"/>
          <w:color w:val="auto"/>
          <w:sz w:val="36"/>
          <w:szCs w:val="36"/>
        </w:rPr>
        <w:sectPr>
          <w:pgSz w:w="11905" w:h="16838"/>
          <w:pgMar w:top="1417" w:right="1417" w:bottom="1417" w:left="1417" w:header="851" w:footer="1077" w:gutter="0"/>
          <w:cols w:space="0" w:num="1"/>
          <w:rtlGutter w:val="0"/>
          <w:docGrid w:type="lines" w:linePitch="333" w:charSpace="0"/>
        </w:sectPr>
      </w:pPr>
    </w:p>
    <w:p w14:paraId="475BDF3B">
      <w:pPr>
        <w:pStyle w:val="28"/>
        <w:adjustRightInd w:val="0"/>
        <w:snapToGrid w:val="0"/>
        <w:spacing w:before="0" w:beforeAutospacing="0" w:after="0" w:afterAutospacing="0" w:line="14" w:lineRule="auto"/>
        <w:jc w:val="center"/>
        <w:outlineLvl w:val="0"/>
        <w:rPr>
          <w:rFonts w:ascii="Times New Roman" w:hAnsi="Times New Roman" w:eastAsia="黑体"/>
          <w:snapToGrid w:val="0"/>
          <w:color w:val="auto"/>
          <w:sz w:val="30"/>
          <w:szCs w:val="30"/>
        </w:rPr>
      </w:pPr>
    </w:p>
    <w:p w14:paraId="5EFAA5B2">
      <w:pPr>
        <w:pStyle w:val="28"/>
        <w:spacing w:before="0" w:beforeAutospacing="0" w:after="0" w:afterAutospacing="0" w:line="360" w:lineRule="auto"/>
        <w:jc w:val="center"/>
        <w:outlineLvl w:val="0"/>
        <w:rPr>
          <w:rFonts w:ascii="Times New Roman" w:hAnsi="Times New Roman"/>
          <w:b/>
          <w:bCs/>
          <w:snapToGrid w:val="0"/>
          <w:color w:val="auto"/>
          <w:sz w:val="32"/>
          <w:szCs w:val="32"/>
        </w:rPr>
      </w:pPr>
      <w:r>
        <w:rPr>
          <w:rFonts w:ascii="Times New Roman" w:hAnsi="Times New Roman"/>
          <w:b/>
          <w:bCs/>
          <w:snapToGrid w:val="0"/>
          <w:color w:val="auto"/>
          <w:sz w:val="32"/>
          <w:szCs w:val="32"/>
        </w:rPr>
        <w:t>三、区域环境质量现状、环境保护目标及评价标准</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759"/>
      </w:tblGrid>
      <w:tr w14:paraId="34EAB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Align w:val="center"/>
          </w:tcPr>
          <w:p w14:paraId="08FFA1EF">
            <w:pPr>
              <w:pageBreakBefore w:val="0"/>
              <w:kinsoku/>
              <w:wordWrap/>
              <w:overflowPunct/>
              <w:topLinePunct w:val="0"/>
              <w:autoSpaceDE/>
              <w:autoSpaceDN/>
              <w:bidi w:val="0"/>
              <w:adjustRightInd/>
              <w:snapToGrid/>
              <w:spacing w:line="360" w:lineRule="auto"/>
              <w:ind w:left="0" w:right="0"/>
              <w:jc w:val="center"/>
              <w:rPr>
                <w:b/>
                <w:bCs/>
                <w:color w:val="auto"/>
                <w:kern w:val="0"/>
                <w:sz w:val="24"/>
              </w:rPr>
            </w:pPr>
            <w:r>
              <w:rPr>
                <w:b/>
                <w:bCs/>
                <w:color w:val="auto"/>
                <w:kern w:val="0"/>
                <w:sz w:val="24"/>
              </w:rPr>
              <w:t>区域</w:t>
            </w:r>
          </w:p>
          <w:p w14:paraId="0C0F9A58">
            <w:pPr>
              <w:pageBreakBefore w:val="0"/>
              <w:kinsoku/>
              <w:wordWrap/>
              <w:overflowPunct/>
              <w:topLinePunct w:val="0"/>
              <w:autoSpaceDE/>
              <w:autoSpaceDN/>
              <w:bidi w:val="0"/>
              <w:adjustRightInd/>
              <w:snapToGrid/>
              <w:spacing w:line="360" w:lineRule="auto"/>
              <w:ind w:left="0" w:right="0"/>
              <w:jc w:val="center"/>
              <w:rPr>
                <w:b/>
                <w:bCs/>
                <w:color w:val="auto"/>
                <w:kern w:val="0"/>
                <w:sz w:val="24"/>
              </w:rPr>
            </w:pPr>
            <w:r>
              <w:rPr>
                <w:b/>
                <w:bCs/>
                <w:color w:val="auto"/>
                <w:kern w:val="0"/>
                <w:sz w:val="24"/>
              </w:rPr>
              <w:t>环境</w:t>
            </w:r>
          </w:p>
          <w:p w14:paraId="0F65AD7C">
            <w:pPr>
              <w:pageBreakBefore w:val="0"/>
              <w:kinsoku/>
              <w:wordWrap/>
              <w:overflowPunct/>
              <w:topLinePunct w:val="0"/>
              <w:autoSpaceDE/>
              <w:autoSpaceDN/>
              <w:bidi w:val="0"/>
              <w:adjustRightInd/>
              <w:snapToGrid/>
              <w:spacing w:line="360" w:lineRule="auto"/>
              <w:ind w:left="0" w:right="0"/>
              <w:jc w:val="center"/>
              <w:rPr>
                <w:b/>
                <w:bCs/>
                <w:color w:val="auto"/>
                <w:kern w:val="0"/>
                <w:sz w:val="24"/>
              </w:rPr>
            </w:pPr>
            <w:r>
              <w:rPr>
                <w:b/>
                <w:bCs/>
                <w:color w:val="auto"/>
                <w:kern w:val="0"/>
                <w:sz w:val="24"/>
              </w:rPr>
              <w:t>质量</w:t>
            </w:r>
          </w:p>
          <w:p w14:paraId="0300E61E">
            <w:pPr>
              <w:pageBreakBefore w:val="0"/>
              <w:kinsoku/>
              <w:wordWrap/>
              <w:overflowPunct/>
              <w:topLinePunct w:val="0"/>
              <w:autoSpaceDE/>
              <w:autoSpaceDN/>
              <w:bidi w:val="0"/>
              <w:adjustRightInd/>
              <w:snapToGrid/>
              <w:spacing w:line="360" w:lineRule="auto"/>
              <w:ind w:left="0" w:right="0"/>
              <w:jc w:val="center"/>
              <w:rPr>
                <w:color w:val="auto"/>
                <w:kern w:val="0"/>
                <w:szCs w:val="21"/>
              </w:rPr>
            </w:pPr>
            <w:r>
              <w:rPr>
                <w:b/>
                <w:bCs/>
                <w:color w:val="auto"/>
                <w:kern w:val="0"/>
                <w:sz w:val="24"/>
              </w:rPr>
              <w:t>现状</w:t>
            </w:r>
          </w:p>
        </w:tc>
        <w:tc>
          <w:tcPr>
            <w:tcW w:w="4715" w:type="pct"/>
            <w:vAlign w:val="center"/>
          </w:tcPr>
          <w:p w14:paraId="0ED1B60B">
            <w:pPr>
              <w:pageBreakBefore w:val="0"/>
              <w:kinsoku/>
              <w:wordWrap/>
              <w:overflowPunct/>
              <w:topLinePunct w:val="0"/>
              <w:autoSpaceDE/>
              <w:autoSpaceDN/>
              <w:bidi w:val="0"/>
              <w:adjustRightInd/>
              <w:snapToGrid/>
              <w:spacing w:line="360" w:lineRule="auto"/>
              <w:ind w:left="0" w:right="0" w:firstLine="482" w:firstLineChars="200"/>
              <w:outlineLvl w:val="2"/>
              <w:rPr>
                <w:b/>
                <w:color w:val="auto"/>
                <w:sz w:val="24"/>
              </w:rPr>
            </w:pPr>
            <w:r>
              <w:rPr>
                <w:b/>
                <w:color w:val="auto"/>
                <w:sz w:val="24"/>
              </w:rPr>
              <w:t>一、</w:t>
            </w:r>
            <w:r>
              <w:rPr>
                <w:rFonts w:hint="eastAsia"/>
                <w:b/>
                <w:color w:val="auto"/>
                <w:sz w:val="24"/>
              </w:rPr>
              <w:t>大气环境</w:t>
            </w:r>
          </w:p>
          <w:p w14:paraId="768B269C">
            <w:pPr>
              <w:pageBreakBefore w:val="0"/>
              <w:kinsoku/>
              <w:wordWrap/>
              <w:overflowPunct/>
              <w:topLinePunct w:val="0"/>
              <w:autoSpaceDE/>
              <w:autoSpaceDN/>
              <w:bidi w:val="0"/>
              <w:adjustRightInd/>
              <w:snapToGrid/>
              <w:spacing w:line="360" w:lineRule="auto"/>
              <w:ind w:left="0" w:right="0" w:firstLine="480" w:firstLineChars="200"/>
              <w:rPr>
                <w:color w:val="auto"/>
                <w:kern w:val="24"/>
                <w:sz w:val="24"/>
              </w:rPr>
            </w:pPr>
            <w:r>
              <w:rPr>
                <w:color w:val="auto"/>
                <w:kern w:val="24"/>
                <w:sz w:val="24"/>
              </w:rPr>
              <w:t>根据《建设项目环境影响报告表编制技术指南（污染影响类）（试行）》，常规污染物引用与建设项目距离近的有效数据，</w:t>
            </w:r>
            <w:r>
              <w:rPr>
                <w:rFonts w:hint="eastAsia"/>
                <w:color w:val="auto"/>
                <w:kern w:val="24"/>
                <w:sz w:val="24"/>
              </w:rPr>
              <w:t>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7CBE8E0D">
            <w:pPr>
              <w:pageBreakBefore w:val="0"/>
              <w:kinsoku/>
              <w:wordWrap/>
              <w:overflowPunct/>
              <w:topLinePunct w:val="0"/>
              <w:autoSpaceDE/>
              <w:autoSpaceDN/>
              <w:bidi w:val="0"/>
              <w:adjustRightInd/>
              <w:snapToGrid/>
              <w:spacing w:line="360" w:lineRule="auto"/>
              <w:ind w:left="0" w:right="0" w:firstLine="480" w:firstLineChars="200"/>
              <w:rPr>
                <w:color w:val="auto"/>
                <w:sz w:val="24"/>
              </w:rPr>
            </w:pPr>
            <w:r>
              <w:rPr>
                <w:color w:val="auto"/>
                <w:kern w:val="24"/>
                <w:sz w:val="24"/>
              </w:rPr>
              <w:t>根据建设项目所在环境功能区及适用的国家、地方环境质量标</w:t>
            </w:r>
            <w:r>
              <w:rPr>
                <w:rFonts w:hint="eastAsia"/>
                <w:color w:val="auto"/>
                <w:kern w:val="24"/>
                <w:sz w:val="24"/>
              </w:rPr>
              <w:t>准，以及地方环境质量管理要求评价大气环境质量现状达标情况。</w:t>
            </w:r>
          </w:p>
          <w:p w14:paraId="2D35D942">
            <w:pPr>
              <w:pageBreakBefore w:val="0"/>
              <w:kinsoku/>
              <w:wordWrap/>
              <w:overflowPunct/>
              <w:topLinePunct w:val="0"/>
              <w:autoSpaceDE/>
              <w:autoSpaceDN/>
              <w:bidi w:val="0"/>
              <w:adjustRightInd/>
              <w:snapToGrid/>
              <w:spacing w:line="360" w:lineRule="auto"/>
              <w:ind w:left="0" w:right="0" w:firstLine="480" w:firstLineChars="200"/>
              <w:rPr>
                <w:color w:val="auto"/>
                <w:sz w:val="24"/>
              </w:rPr>
            </w:pPr>
            <w:r>
              <w:rPr>
                <w:color w:val="auto"/>
                <w:sz w:val="24"/>
              </w:rPr>
              <w:t>1、</w:t>
            </w:r>
            <w:r>
              <w:rPr>
                <w:rFonts w:hint="eastAsia"/>
                <w:color w:val="auto"/>
                <w:sz w:val="24"/>
                <w:lang w:eastAsia="zh-CN"/>
              </w:rPr>
              <w:t>基本</w:t>
            </w:r>
            <w:r>
              <w:rPr>
                <w:rFonts w:hint="eastAsia"/>
                <w:color w:val="auto"/>
                <w:kern w:val="24"/>
                <w:sz w:val="24"/>
              </w:rPr>
              <w:t>污染物</w:t>
            </w:r>
            <w:r>
              <w:rPr>
                <w:color w:val="auto"/>
                <w:kern w:val="24"/>
                <w:sz w:val="24"/>
              </w:rPr>
              <w:t>质量现状</w:t>
            </w:r>
          </w:p>
          <w:p w14:paraId="0677C282">
            <w:pPr>
              <w:pageBreakBefore w:val="0"/>
              <w:kinsoku/>
              <w:wordWrap/>
              <w:overflowPunct/>
              <w:topLinePunct w:val="0"/>
              <w:autoSpaceDE/>
              <w:autoSpaceDN/>
              <w:bidi w:val="0"/>
              <w:adjustRightInd/>
              <w:snapToGrid/>
              <w:spacing w:line="360" w:lineRule="auto"/>
              <w:ind w:left="0" w:right="0" w:firstLine="480" w:firstLineChars="200"/>
              <w:rPr>
                <w:color w:val="auto"/>
                <w:kern w:val="24"/>
                <w:sz w:val="24"/>
              </w:rPr>
            </w:pPr>
            <w:r>
              <w:rPr>
                <w:color w:val="auto"/>
                <w:kern w:val="24"/>
                <w:sz w:val="24"/>
              </w:rPr>
              <w:t>（1）区域环境质量现状达标情况</w:t>
            </w:r>
          </w:p>
          <w:p w14:paraId="43E4B0C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autoSpaceDE/>
              <w:autoSpaceDN/>
              <w:bidi w:val="0"/>
              <w:adjustRightInd/>
              <w:snapToGrid/>
              <w:spacing w:before="0" w:beforeAutospacing="0" w:after="0" w:afterAutospacing="0" w:line="360" w:lineRule="auto"/>
              <w:ind w:left="0" w:right="0" w:firstLine="640"/>
              <w:jc w:val="both"/>
              <w:rPr>
                <w:rFonts w:hint="default" w:ascii="Times New Roman" w:hAnsi="Times New Roman" w:eastAsia="宋体" w:cs="Times New Roman"/>
                <w:i w:val="0"/>
                <w:iCs w:val="0"/>
                <w:caps w:val="0"/>
                <w:color w:val="auto"/>
                <w:spacing w:val="0"/>
                <w:sz w:val="24"/>
                <w:szCs w:val="24"/>
              </w:rPr>
            </w:pPr>
            <w:r>
              <w:rPr>
                <w:rFonts w:hint="default" w:ascii="Times New Roman" w:hAnsi="Times New Roman" w:eastAsia="宋体" w:cs="Times New Roman"/>
                <w:color w:val="auto"/>
                <w:sz w:val="24"/>
                <w:szCs w:val="24"/>
                <w:lang w:eastAsia="zh-CN"/>
              </w:rPr>
              <w:t>根据六安市金寨县生态环境分局</w:t>
            </w:r>
            <w:r>
              <w:rPr>
                <w:rFonts w:hint="default" w:ascii="Times New Roman" w:hAnsi="Times New Roman" w:eastAsia="宋体" w:cs="Times New Roman"/>
                <w:color w:val="auto"/>
                <w:sz w:val="24"/>
                <w:szCs w:val="24"/>
                <w:lang w:val="en-US" w:eastAsia="zh-CN"/>
              </w:rPr>
              <w:t>发布的</w:t>
            </w:r>
            <w:r>
              <w:rPr>
                <w:rFonts w:hint="default" w:ascii="Times New Roman" w:hAnsi="Times New Roman" w:eastAsia="宋体" w:cs="Times New Roman"/>
                <w:color w:val="auto"/>
                <w:sz w:val="24"/>
                <w:szCs w:val="24"/>
                <w:lang w:eastAsia="zh-CN"/>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年金寨县环境质量年报》，</w:t>
            </w:r>
            <w:r>
              <w:rPr>
                <w:rFonts w:hint="default" w:ascii="Times New Roman" w:hAnsi="Times New Roman" w:eastAsia="宋体" w:cs="Times New Roman"/>
                <w:i w:val="0"/>
                <w:iCs w:val="0"/>
                <w:caps w:val="0"/>
                <w:color w:val="auto"/>
                <w:spacing w:val="0"/>
                <w:sz w:val="24"/>
                <w:szCs w:val="24"/>
                <w:shd w:val="clear" w:fill="FFFFFF"/>
              </w:rPr>
              <w:t>2024年，金寨县环境空气质量：SO</w:t>
            </w:r>
            <w:r>
              <w:rPr>
                <w:rFonts w:hint="default" w:ascii="Times New Roman" w:hAnsi="Times New Roman" w:eastAsia="宋体" w:cs="Times New Roman"/>
                <w:i w:val="0"/>
                <w:iCs w:val="0"/>
                <w:caps w:val="0"/>
                <w:color w:val="auto"/>
                <w:spacing w:val="0"/>
                <w:sz w:val="24"/>
                <w:szCs w:val="24"/>
                <w:shd w:val="clear" w:fill="FFFFFF"/>
                <w:vertAlign w:val="subscript"/>
              </w:rPr>
              <w:t>2</w:t>
            </w:r>
            <w:r>
              <w:rPr>
                <w:rFonts w:hint="eastAsia" w:ascii="Times New Roman" w:hAnsi="Times New Roman"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5μg/m³</w:t>
            </w:r>
            <w:r>
              <w:rPr>
                <w:rFonts w:hint="eastAsia" w:ascii="Times New Roman" w:hAnsi="Times New Roman"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NO</w:t>
            </w:r>
            <w:r>
              <w:rPr>
                <w:rFonts w:hint="default" w:ascii="Times New Roman" w:hAnsi="Times New Roman" w:eastAsia="宋体" w:cs="Times New Roman"/>
                <w:i w:val="0"/>
                <w:iCs w:val="0"/>
                <w:caps w:val="0"/>
                <w:color w:val="auto"/>
                <w:spacing w:val="0"/>
                <w:sz w:val="24"/>
                <w:szCs w:val="24"/>
                <w:shd w:val="clear" w:fill="FFFFFF"/>
                <w:vertAlign w:val="subscript"/>
              </w:rPr>
              <w:t>2</w:t>
            </w:r>
            <w:r>
              <w:rPr>
                <w:rFonts w:hint="default" w:ascii="Times New Roman" w:hAnsi="Times New Roman" w:eastAsia="宋体" w:cs="Times New Roman"/>
                <w:i w:val="0"/>
                <w:iCs w:val="0"/>
                <w:caps w:val="0"/>
                <w:color w:val="auto"/>
                <w:spacing w:val="0"/>
                <w:sz w:val="24"/>
                <w:szCs w:val="24"/>
                <w:shd w:val="clear" w:fill="FFFFFF"/>
              </w:rPr>
              <w:t>：15μg/m³；CO(95%)：0.8mg/m³；O</w:t>
            </w:r>
            <w:r>
              <w:rPr>
                <w:rFonts w:hint="default" w:ascii="Times New Roman" w:hAnsi="Times New Roman" w:eastAsia="宋体" w:cs="Times New Roman"/>
                <w:i w:val="0"/>
                <w:iCs w:val="0"/>
                <w:caps w:val="0"/>
                <w:color w:val="auto"/>
                <w:spacing w:val="0"/>
                <w:sz w:val="24"/>
                <w:szCs w:val="24"/>
                <w:shd w:val="clear" w:fill="FFFFFF"/>
                <w:vertAlign w:val="subscript"/>
              </w:rPr>
              <w:t>3</w:t>
            </w:r>
            <w:r>
              <w:rPr>
                <w:rFonts w:hint="eastAsia" w:ascii="Times New Roman" w:hAnsi="Times New Roman"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i w:val="0"/>
                <w:iCs w:val="0"/>
                <w:caps w:val="0"/>
                <w:color w:val="auto"/>
                <w:spacing w:val="0"/>
                <w:sz w:val="24"/>
                <w:szCs w:val="24"/>
                <w:shd w:val="clear" w:fill="FFFFFF"/>
              </w:rPr>
              <w:t>8</w:t>
            </w:r>
            <w:r>
              <w:rPr>
                <w:rFonts w:hint="eastAsia" w:ascii="Times New Roman" w:hAnsi="Times New Roman" w:cs="Times New Roman"/>
                <w:i w:val="0"/>
                <w:iCs w:val="0"/>
                <w:caps w:val="0"/>
                <w:color w:val="auto"/>
                <w:spacing w:val="0"/>
                <w:sz w:val="24"/>
                <w:szCs w:val="24"/>
                <w:shd w:val="clear" w:fill="FFFFFF"/>
                <w:lang w:val="en-US" w:eastAsia="zh-CN"/>
              </w:rPr>
              <w:t>h</w:t>
            </w:r>
            <w:r>
              <w:rPr>
                <w:rFonts w:hint="default" w:ascii="Times New Roman" w:hAnsi="Times New Roman" w:eastAsia="宋体" w:cs="Times New Roman"/>
                <w:i w:val="0"/>
                <w:iCs w:val="0"/>
                <w:caps w:val="0"/>
                <w:color w:val="auto"/>
                <w:spacing w:val="0"/>
                <w:sz w:val="24"/>
                <w:szCs w:val="24"/>
                <w:shd w:val="clear" w:fill="FFFFFF"/>
              </w:rPr>
              <w:t>-90百分位（μg/m³）：138μg/m³；PM</w:t>
            </w:r>
            <w:r>
              <w:rPr>
                <w:rFonts w:hint="default" w:ascii="Times New Roman" w:hAnsi="Times New Roman" w:eastAsia="宋体" w:cs="Times New Roman"/>
                <w:i w:val="0"/>
                <w:iCs w:val="0"/>
                <w:caps w:val="0"/>
                <w:color w:val="auto"/>
                <w:spacing w:val="0"/>
                <w:sz w:val="24"/>
                <w:szCs w:val="24"/>
                <w:shd w:val="clear" w:fill="FFFFFF"/>
                <w:vertAlign w:val="subscript"/>
              </w:rPr>
              <w:t>10</w:t>
            </w:r>
            <w:r>
              <w:rPr>
                <w:rFonts w:hint="eastAsia" w:ascii="Times New Roman" w:hAnsi="Times New Roman"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49μg/m³；PM</w:t>
            </w:r>
            <w:r>
              <w:rPr>
                <w:rFonts w:hint="default" w:ascii="Times New Roman" w:hAnsi="Times New Roman" w:eastAsia="宋体" w:cs="Times New Roman"/>
                <w:i w:val="0"/>
                <w:iCs w:val="0"/>
                <w:caps w:val="0"/>
                <w:color w:val="auto"/>
                <w:spacing w:val="0"/>
                <w:sz w:val="24"/>
                <w:szCs w:val="24"/>
                <w:shd w:val="clear" w:fill="FFFFFF"/>
                <w:vertAlign w:val="subscript"/>
              </w:rPr>
              <w:t>2.5</w:t>
            </w:r>
            <w:r>
              <w:rPr>
                <w:rFonts w:hint="eastAsia" w:ascii="Times New Roman" w:hAnsi="Times New Roman"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31μg/m³。空气优良率91.8%（有效天数366天，优良天数为336天），重污染天数1天。</w:t>
            </w:r>
          </w:p>
          <w:p w14:paraId="55B8C02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autoSpaceDE/>
              <w:autoSpaceDN/>
              <w:bidi w:val="0"/>
              <w:adjustRightInd/>
              <w:snapToGrid/>
              <w:spacing w:before="0" w:beforeAutospacing="0" w:after="0" w:afterAutospacing="0" w:line="360" w:lineRule="auto"/>
              <w:ind w:left="0" w:right="0" w:firstLine="640"/>
              <w:jc w:val="both"/>
              <w:rPr>
                <w:color w:val="auto"/>
                <w:kern w:val="24"/>
                <w:sz w:val="24"/>
              </w:rPr>
            </w:pPr>
            <w:r>
              <w:rPr>
                <w:rFonts w:hint="default" w:ascii="Times New Roman" w:hAnsi="Times New Roman" w:eastAsia="宋体" w:cs="Times New Roman"/>
                <w:i w:val="0"/>
                <w:iCs w:val="0"/>
                <w:caps w:val="0"/>
                <w:color w:val="auto"/>
                <w:spacing w:val="0"/>
                <w:sz w:val="24"/>
                <w:szCs w:val="24"/>
                <w:shd w:val="clear" w:fill="FFFFFF"/>
              </w:rPr>
              <w:t>与上年相比，空气质量优良天数比例上升0.3个百分点。臭氧日最大8小时平均第90百分位数、细颗粒物等年均浓度分别上升1.5%、3.3%；二氧化硫和可吸入颗粒物、CO日均值第95百分位数年均浓度均有所下降，降幅分别为16.7%、12.5%和11.1%；二氧化氮无变化。</w:t>
            </w:r>
            <w:r>
              <w:rPr>
                <w:rFonts w:hint="default" w:ascii="Times New Roman" w:hAnsi="Times New Roman" w:eastAsia="宋体" w:cs="Times New Roman"/>
                <w:color w:val="auto"/>
                <w:kern w:val="24"/>
                <w:sz w:val="24"/>
              </w:rPr>
              <w:t>具体数据见下表：</w:t>
            </w:r>
          </w:p>
          <w:p w14:paraId="65666B5F">
            <w:pPr>
              <w:pStyle w:val="76"/>
              <w:pageBreakBefore w:val="0"/>
              <w:kinsoku/>
              <w:wordWrap/>
              <w:overflowPunct/>
              <w:topLinePunct w:val="0"/>
              <w:autoSpaceDE/>
              <w:autoSpaceDN/>
              <w:bidi w:val="0"/>
              <w:adjustRightInd/>
              <w:snapToGrid/>
              <w:spacing w:before="0" w:beforeLines="0" w:after="0" w:afterLines="0"/>
              <w:ind w:left="0" w:right="0" w:firstLine="482"/>
              <w:rPr>
                <w:rFonts w:eastAsia="宋体"/>
                <w:b/>
                <w:bCs/>
                <w:snapToGrid w:val="0"/>
                <w:color w:val="auto"/>
                <w:sz w:val="24"/>
              </w:rPr>
            </w:pPr>
            <w:r>
              <w:rPr>
                <w:rFonts w:eastAsia="宋体"/>
                <w:b/>
                <w:bCs/>
                <w:snapToGrid w:val="0"/>
                <w:color w:val="auto"/>
                <w:sz w:val="24"/>
              </w:rPr>
              <w:t>表3-</w:t>
            </w:r>
            <w:r>
              <w:rPr>
                <w:rFonts w:hint="eastAsia" w:eastAsia="宋体"/>
                <w:b/>
                <w:bCs/>
                <w:snapToGrid w:val="0"/>
                <w:color w:val="auto"/>
                <w:sz w:val="24"/>
              </w:rPr>
              <w:t>1</w:t>
            </w:r>
            <w:r>
              <w:rPr>
                <w:rFonts w:eastAsia="宋体"/>
                <w:b/>
                <w:bCs/>
                <w:snapToGrid w:val="0"/>
                <w:color w:val="auto"/>
                <w:sz w:val="24"/>
              </w:rPr>
              <w:t xml:space="preserve"> 区域空气质量现状评价表</w:t>
            </w:r>
            <w:r>
              <w:rPr>
                <w:rFonts w:hint="eastAsia" w:eastAsia="宋体"/>
                <w:b/>
                <w:bCs/>
                <w:snapToGrid w:val="0"/>
                <w:color w:val="auto"/>
                <w:sz w:val="24"/>
              </w:rPr>
              <w:t xml:space="preserve">  </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2475"/>
              <w:gridCol w:w="1485"/>
              <w:gridCol w:w="1151"/>
              <w:gridCol w:w="1212"/>
              <w:gridCol w:w="1207"/>
            </w:tblGrid>
            <w:tr w14:paraId="291B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7" w:type="pct"/>
                  <w:noWrap w:val="0"/>
                  <w:vAlign w:val="center"/>
                </w:tcPr>
                <w:p w14:paraId="2498B9EF">
                  <w:pPr>
                    <w:pStyle w:val="108"/>
                    <w:pageBreakBefore w:val="0"/>
                    <w:widowControl w:val="0"/>
                    <w:kinsoku/>
                    <w:wordWrap/>
                    <w:overflowPunct/>
                    <w:autoSpaceDE/>
                    <w:autoSpaceDN/>
                    <w:bidi w:val="0"/>
                    <w:adjustRightInd/>
                    <w:snapToGrid/>
                    <w:spacing w:line="240" w:lineRule="auto"/>
                    <w:ind w:left="0" w:firstLine="0" w:firstLineChars="0"/>
                    <w:jc w:val="center"/>
                    <w:rPr>
                      <w:b/>
                      <w:bCs/>
                      <w:color w:val="auto"/>
                      <w:sz w:val="21"/>
                      <w:szCs w:val="21"/>
                    </w:rPr>
                  </w:pPr>
                  <w:r>
                    <w:rPr>
                      <w:b/>
                      <w:bCs/>
                      <w:color w:val="auto"/>
                      <w:sz w:val="21"/>
                      <w:szCs w:val="21"/>
                    </w:rPr>
                    <w:t>污染物</w:t>
                  </w:r>
                </w:p>
              </w:tc>
              <w:tc>
                <w:tcPr>
                  <w:tcW w:w="1450" w:type="pct"/>
                  <w:noWrap w:val="0"/>
                  <w:vAlign w:val="center"/>
                </w:tcPr>
                <w:p w14:paraId="4BC85A4A">
                  <w:pPr>
                    <w:pStyle w:val="108"/>
                    <w:pageBreakBefore w:val="0"/>
                    <w:widowControl w:val="0"/>
                    <w:kinsoku/>
                    <w:wordWrap/>
                    <w:overflowPunct/>
                    <w:autoSpaceDE/>
                    <w:autoSpaceDN/>
                    <w:bidi w:val="0"/>
                    <w:adjustRightInd/>
                    <w:snapToGrid/>
                    <w:spacing w:line="240" w:lineRule="auto"/>
                    <w:ind w:left="0" w:firstLine="0" w:firstLineChars="0"/>
                    <w:jc w:val="center"/>
                    <w:rPr>
                      <w:b/>
                      <w:bCs/>
                      <w:color w:val="auto"/>
                      <w:sz w:val="21"/>
                      <w:szCs w:val="21"/>
                    </w:rPr>
                  </w:pPr>
                  <w:r>
                    <w:rPr>
                      <w:b/>
                      <w:bCs/>
                      <w:color w:val="auto"/>
                      <w:sz w:val="21"/>
                      <w:szCs w:val="21"/>
                    </w:rPr>
                    <w:t>年评价指标</w:t>
                  </w:r>
                </w:p>
              </w:tc>
              <w:tc>
                <w:tcPr>
                  <w:tcW w:w="870" w:type="pct"/>
                  <w:noWrap w:val="0"/>
                  <w:vAlign w:val="center"/>
                </w:tcPr>
                <w:p w14:paraId="0CF08CD3">
                  <w:pPr>
                    <w:pStyle w:val="108"/>
                    <w:pageBreakBefore w:val="0"/>
                    <w:widowControl w:val="0"/>
                    <w:kinsoku/>
                    <w:wordWrap/>
                    <w:overflowPunct/>
                    <w:autoSpaceDE/>
                    <w:autoSpaceDN/>
                    <w:bidi w:val="0"/>
                    <w:adjustRightInd/>
                    <w:snapToGrid/>
                    <w:spacing w:line="240" w:lineRule="auto"/>
                    <w:ind w:left="0" w:firstLine="0" w:firstLineChars="0"/>
                    <w:jc w:val="center"/>
                    <w:rPr>
                      <w:b/>
                      <w:bCs/>
                      <w:color w:val="auto"/>
                      <w:sz w:val="21"/>
                      <w:szCs w:val="21"/>
                    </w:rPr>
                  </w:pPr>
                  <w:r>
                    <w:rPr>
                      <w:b/>
                      <w:bCs/>
                      <w:color w:val="auto"/>
                      <w:sz w:val="21"/>
                      <w:szCs w:val="21"/>
                    </w:rPr>
                    <w:t>现状浓度/μg/m³</w:t>
                  </w:r>
                </w:p>
              </w:tc>
              <w:tc>
                <w:tcPr>
                  <w:tcW w:w="674" w:type="pct"/>
                  <w:noWrap w:val="0"/>
                  <w:vAlign w:val="center"/>
                </w:tcPr>
                <w:p w14:paraId="2140688A">
                  <w:pPr>
                    <w:pStyle w:val="108"/>
                    <w:pageBreakBefore w:val="0"/>
                    <w:widowControl w:val="0"/>
                    <w:kinsoku/>
                    <w:wordWrap/>
                    <w:overflowPunct/>
                    <w:autoSpaceDE/>
                    <w:autoSpaceDN/>
                    <w:bidi w:val="0"/>
                    <w:adjustRightInd/>
                    <w:snapToGrid/>
                    <w:spacing w:line="240" w:lineRule="auto"/>
                    <w:ind w:left="0" w:firstLine="0" w:firstLineChars="0"/>
                    <w:jc w:val="center"/>
                    <w:rPr>
                      <w:b/>
                      <w:bCs/>
                      <w:color w:val="auto"/>
                      <w:sz w:val="21"/>
                      <w:szCs w:val="21"/>
                    </w:rPr>
                  </w:pPr>
                  <w:r>
                    <w:rPr>
                      <w:b/>
                      <w:bCs/>
                      <w:color w:val="auto"/>
                      <w:sz w:val="21"/>
                      <w:szCs w:val="21"/>
                    </w:rPr>
                    <w:t>标准值/μg/m³</w:t>
                  </w:r>
                </w:p>
              </w:tc>
              <w:tc>
                <w:tcPr>
                  <w:tcW w:w="710" w:type="pct"/>
                  <w:noWrap w:val="0"/>
                  <w:vAlign w:val="center"/>
                </w:tcPr>
                <w:p w14:paraId="4824155A">
                  <w:pPr>
                    <w:pStyle w:val="108"/>
                    <w:pageBreakBefore w:val="0"/>
                    <w:widowControl w:val="0"/>
                    <w:kinsoku/>
                    <w:wordWrap/>
                    <w:overflowPunct/>
                    <w:autoSpaceDE/>
                    <w:autoSpaceDN/>
                    <w:bidi w:val="0"/>
                    <w:adjustRightInd/>
                    <w:snapToGrid/>
                    <w:spacing w:line="240" w:lineRule="auto"/>
                    <w:ind w:left="0" w:firstLine="0" w:firstLineChars="0"/>
                    <w:jc w:val="center"/>
                    <w:rPr>
                      <w:b/>
                      <w:bCs/>
                      <w:color w:val="auto"/>
                      <w:sz w:val="21"/>
                      <w:szCs w:val="21"/>
                    </w:rPr>
                  </w:pPr>
                  <w:r>
                    <w:rPr>
                      <w:b/>
                      <w:bCs/>
                      <w:color w:val="auto"/>
                      <w:sz w:val="21"/>
                      <w:szCs w:val="21"/>
                    </w:rPr>
                    <w:t>占标率/%</w:t>
                  </w:r>
                </w:p>
              </w:tc>
              <w:tc>
                <w:tcPr>
                  <w:tcW w:w="707" w:type="pct"/>
                  <w:noWrap w:val="0"/>
                  <w:vAlign w:val="center"/>
                </w:tcPr>
                <w:p w14:paraId="6E89199B">
                  <w:pPr>
                    <w:pStyle w:val="108"/>
                    <w:pageBreakBefore w:val="0"/>
                    <w:widowControl w:val="0"/>
                    <w:kinsoku/>
                    <w:wordWrap/>
                    <w:overflowPunct/>
                    <w:autoSpaceDE/>
                    <w:autoSpaceDN/>
                    <w:bidi w:val="0"/>
                    <w:adjustRightInd/>
                    <w:snapToGrid/>
                    <w:spacing w:line="240" w:lineRule="auto"/>
                    <w:ind w:left="0" w:firstLine="0" w:firstLineChars="0"/>
                    <w:jc w:val="center"/>
                    <w:rPr>
                      <w:b/>
                      <w:bCs/>
                      <w:color w:val="auto"/>
                      <w:sz w:val="21"/>
                      <w:szCs w:val="21"/>
                    </w:rPr>
                  </w:pPr>
                  <w:r>
                    <w:rPr>
                      <w:b/>
                      <w:bCs/>
                      <w:color w:val="auto"/>
                      <w:sz w:val="21"/>
                      <w:szCs w:val="21"/>
                    </w:rPr>
                    <w:t>达标情况</w:t>
                  </w:r>
                </w:p>
              </w:tc>
            </w:tr>
            <w:tr w14:paraId="560D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7" w:type="pct"/>
                  <w:noWrap w:val="0"/>
                  <w:vAlign w:val="center"/>
                </w:tcPr>
                <w:p w14:paraId="46CDA4F6">
                  <w:pPr>
                    <w:pageBreakBefore w:val="0"/>
                    <w:kinsoku/>
                    <w:wordWrap/>
                    <w:overflowPunct/>
                    <w:autoSpaceDE/>
                    <w:autoSpaceDN/>
                    <w:bidi w:val="0"/>
                    <w:adjustRightInd/>
                    <w:snapToGrid/>
                    <w:ind w:left="0"/>
                    <w:jc w:val="center"/>
                    <w:rPr>
                      <w:color w:val="auto"/>
                      <w:sz w:val="21"/>
                      <w:szCs w:val="21"/>
                    </w:rPr>
                  </w:pPr>
                  <w:r>
                    <w:rPr>
                      <w:color w:val="auto"/>
                      <w:sz w:val="21"/>
                      <w:szCs w:val="21"/>
                    </w:rPr>
                    <w:t>PM</w:t>
                  </w:r>
                  <w:r>
                    <w:rPr>
                      <w:color w:val="auto"/>
                      <w:sz w:val="21"/>
                      <w:szCs w:val="21"/>
                      <w:vertAlign w:val="subscript"/>
                    </w:rPr>
                    <w:t>10</w:t>
                  </w:r>
                </w:p>
              </w:tc>
              <w:tc>
                <w:tcPr>
                  <w:tcW w:w="1450" w:type="pct"/>
                  <w:noWrap w:val="0"/>
                  <w:vAlign w:val="center"/>
                </w:tcPr>
                <w:p w14:paraId="3B717AFA">
                  <w:pPr>
                    <w:pageBreakBefore w:val="0"/>
                    <w:kinsoku/>
                    <w:wordWrap/>
                    <w:overflowPunct/>
                    <w:autoSpaceDE/>
                    <w:autoSpaceDN/>
                    <w:bidi w:val="0"/>
                    <w:adjustRightInd/>
                    <w:snapToGrid/>
                    <w:ind w:left="0"/>
                    <w:jc w:val="center"/>
                    <w:rPr>
                      <w:color w:val="auto"/>
                      <w:sz w:val="21"/>
                      <w:szCs w:val="21"/>
                    </w:rPr>
                  </w:pPr>
                  <w:r>
                    <w:rPr>
                      <w:color w:val="auto"/>
                      <w:sz w:val="21"/>
                      <w:szCs w:val="21"/>
                    </w:rPr>
                    <w:t>年平均浓度</w:t>
                  </w:r>
                </w:p>
              </w:tc>
              <w:tc>
                <w:tcPr>
                  <w:tcW w:w="870" w:type="pct"/>
                  <w:noWrap w:val="0"/>
                  <w:vAlign w:val="center"/>
                </w:tcPr>
                <w:p w14:paraId="26A00167">
                  <w:pPr>
                    <w:pageBreakBefore w:val="0"/>
                    <w:kinsoku/>
                    <w:wordWrap/>
                    <w:overflowPunct/>
                    <w:autoSpaceDE/>
                    <w:autoSpaceDN/>
                    <w:bidi w:val="0"/>
                    <w:adjustRightInd/>
                    <w:snapToGrid/>
                    <w:ind w:left="0"/>
                    <w:jc w:val="center"/>
                    <w:rPr>
                      <w:rFonts w:hint="default" w:eastAsia="宋体"/>
                      <w:color w:val="auto"/>
                      <w:sz w:val="21"/>
                      <w:szCs w:val="21"/>
                      <w:lang w:val="en-US" w:eastAsia="zh-CN"/>
                    </w:rPr>
                  </w:pPr>
                  <w:r>
                    <w:rPr>
                      <w:rFonts w:hint="eastAsia"/>
                      <w:color w:val="auto"/>
                      <w:sz w:val="21"/>
                      <w:szCs w:val="21"/>
                      <w:lang w:val="en-US" w:eastAsia="zh-CN"/>
                    </w:rPr>
                    <w:t>49</w:t>
                  </w:r>
                </w:p>
              </w:tc>
              <w:tc>
                <w:tcPr>
                  <w:tcW w:w="674" w:type="pct"/>
                  <w:noWrap w:val="0"/>
                  <w:vAlign w:val="center"/>
                </w:tcPr>
                <w:p w14:paraId="37C236A5">
                  <w:pPr>
                    <w:pageBreakBefore w:val="0"/>
                    <w:kinsoku/>
                    <w:wordWrap/>
                    <w:overflowPunct/>
                    <w:autoSpaceDE/>
                    <w:autoSpaceDN/>
                    <w:bidi w:val="0"/>
                    <w:adjustRightInd/>
                    <w:snapToGrid/>
                    <w:ind w:left="0"/>
                    <w:jc w:val="center"/>
                    <w:rPr>
                      <w:color w:val="auto"/>
                      <w:sz w:val="21"/>
                      <w:szCs w:val="21"/>
                    </w:rPr>
                  </w:pPr>
                  <w:r>
                    <w:rPr>
                      <w:color w:val="auto"/>
                      <w:sz w:val="21"/>
                      <w:szCs w:val="21"/>
                    </w:rPr>
                    <w:t>70</w:t>
                  </w:r>
                </w:p>
              </w:tc>
              <w:tc>
                <w:tcPr>
                  <w:tcW w:w="710" w:type="pct"/>
                  <w:noWrap w:val="0"/>
                  <w:vAlign w:val="center"/>
                </w:tcPr>
                <w:p w14:paraId="1CCEC887">
                  <w:pPr>
                    <w:pageBreakBefore w:val="0"/>
                    <w:widowControl/>
                    <w:kinsoku/>
                    <w:wordWrap/>
                    <w:overflowPunct/>
                    <w:autoSpaceDE/>
                    <w:autoSpaceDN/>
                    <w:bidi w:val="0"/>
                    <w:adjustRightInd/>
                    <w:snapToGrid/>
                    <w:ind w:left="0"/>
                    <w:jc w:val="center"/>
                    <w:textAlignment w:val="center"/>
                    <w:rPr>
                      <w:color w:val="auto"/>
                      <w:sz w:val="21"/>
                      <w:szCs w:val="21"/>
                    </w:rPr>
                  </w:pPr>
                  <w:r>
                    <w:rPr>
                      <w:rFonts w:hint="eastAsia"/>
                      <w:color w:val="auto"/>
                      <w:kern w:val="0"/>
                      <w:sz w:val="21"/>
                      <w:szCs w:val="21"/>
                      <w:lang w:val="en-US" w:eastAsia="zh-CN" w:bidi="ar"/>
                    </w:rPr>
                    <w:t>7</w:t>
                  </w:r>
                  <w:r>
                    <w:rPr>
                      <w:color w:val="auto"/>
                      <w:kern w:val="0"/>
                      <w:sz w:val="21"/>
                      <w:szCs w:val="21"/>
                      <w:lang w:bidi="ar"/>
                    </w:rPr>
                    <w:t>0</w:t>
                  </w:r>
                </w:p>
              </w:tc>
              <w:tc>
                <w:tcPr>
                  <w:tcW w:w="707" w:type="pct"/>
                  <w:noWrap w:val="0"/>
                  <w:vAlign w:val="center"/>
                </w:tcPr>
                <w:p w14:paraId="107080B1">
                  <w:pPr>
                    <w:pageBreakBefore w:val="0"/>
                    <w:kinsoku/>
                    <w:wordWrap/>
                    <w:overflowPunct/>
                    <w:autoSpaceDE/>
                    <w:autoSpaceDN/>
                    <w:bidi w:val="0"/>
                    <w:adjustRightInd/>
                    <w:snapToGrid/>
                    <w:ind w:left="0"/>
                    <w:jc w:val="center"/>
                    <w:rPr>
                      <w:color w:val="auto"/>
                      <w:sz w:val="21"/>
                      <w:szCs w:val="21"/>
                    </w:rPr>
                  </w:pPr>
                  <w:r>
                    <w:rPr>
                      <w:color w:val="auto"/>
                      <w:sz w:val="21"/>
                      <w:szCs w:val="21"/>
                    </w:rPr>
                    <w:t>达标</w:t>
                  </w:r>
                </w:p>
              </w:tc>
            </w:tr>
            <w:tr w14:paraId="645D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7" w:type="pct"/>
                  <w:noWrap w:val="0"/>
                  <w:vAlign w:val="center"/>
                </w:tcPr>
                <w:p w14:paraId="70555778">
                  <w:pPr>
                    <w:pageBreakBefore w:val="0"/>
                    <w:kinsoku/>
                    <w:wordWrap/>
                    <w:overflowPunct/>
                    <w:autoSpaceDE/>
                    <w:autoSpaceDN/>
                    <w:bidi w:val="0"/>
                    <w:adjustRightInd/>
                    <w:snapToGrid/>
                    <w:ind w:left="0"/>
                    <w:jc w:val="center"/>
                    <w:rPr>
                      <w:color w:val="auto"/>
                      <w:sz w:val="21"/>
                      <w:szCs w:val="21"/>
                    </w:rPr>
                  </w:pPr>
                  <w:r>
                    <w:rPr>
                      <w:color w:val="auto"/>
                      <w:sz w:val="21"/>
                      <w:szCs w:val="21"/>
                    </w:rPr>
                    <w:t>PM</w:t>
                  </w:r>
                  <w:r>
                    <w:rPr>
                      <w:color w:val="auto"/>
                      <w:sz w:val="21"/>
                      <w:szCs w:val="21"/>
                      <w:vertAlign w:val="subscript"/>
                    </w:rPr>
                    <w:t>2.5</w:t>
                  </w:r>
                </w:p>
              </w:tc>
              <w:tc>
                <w:tcPr>
                  <w:tcW w:w="1450" w:type="pct"/>
                  <w:noWrap w:val="0"/>
                  <w:vAlign w:val="center"/>
                </w:tcPr>
                <w:p w14:paraId="7250921D">
                  <w:pPr>
                    <w:pageBreakBefore w:val="0"/>
                    <w:kinsoku/>
                    <w:wordWrap/>
                    <w:overflowPunct/>
                    <w:autoSpaceDE/>
                    <w:autoSpaceDN/>
                    <w:bidi w:val="0"/>
                    <w:adjustRightInd/>
                    <w:snapToGrid/>
                    <w:ind w:left="0"/>
                    <w:jc w:val="center"/>
                    <w:rPr>
                      <w:color w:val="auto"/>
                      <w:sz w:val="21"/>
                      <w:szCs w:val="21"/>
                    </w:rPr>
                  </w:pPr>
                  <w:r>
                    <w:rPr>
                      <w:color w:val="auto"/>
                      <w:sz w:val="21"/>
                      <w:szCs w:val="21"/>
                    </w:rPr>
                    <w:t>年平均浓度</w:t>
                  </w:r>
                </w:p>
              </w:tc>
              <w:tc>
                <w:tcPr>
                  <w:tcW w:w="870" w:type="pct"/>
                  <w:noWrap w:val="0"/>
                  <w:vAlign w:val="center"/>
                </w:tcPr>
                <w:p w14:paraId="7F2B0CFC">
                  <w:pPr>
                    <w:pageBreakBefore w:val="0"/>
                    <w:kinsoku/>
                    <w:wordWrap/>
                    <w:overflowPunct/>
                    <w:autoSpaceDE/>
                    <w:autoSpaceDN/>
                    <w:bidi w:val="0"/>
                    <w:adjustRightInd/>
                    <w:snapToGrid/>
                    <w:ind w:left="0"/>
                    <w:jc w:val="center"/>
                    <w:rPr>
                      <w:rFonts w:hint="default" w:eastAsia="宋体"/>
                      <w:color w:val="auto"/>
                      <w:sz w:val="21"/>
                      <w:szCs w:val="21"/>
                      <w:lang w:val="en-US" w:eastAsia="zh-CN"/>
                    </w:rPr>
                  </w:pPr>
                  <w:r>
                    <w:rPr>
                      <w:rFonts w:hint="eastAsia"/>
                      <w:color w:val="auto"/>
                      <w:sz w:val="21"/>
                      <w:szCs w:val="21"/>
                      <w:lang w:val="en-US" w:eastAsia="zh-CN"/>
                    </w:rPr>
                    <w:t>31</w:t>
                  </w:r>
                </w:p>
              </w:tc>
              <w:tc>
                <w:tcPr>
                  <w:tcW w:w="674" w:type="pct"/>
                  <w:noWrap w:val="0"/>
                  <w:vAlign w:val="center"/>
                </w:tcPr>
                <w:p w14:paraId="69920A01">
                  <w:pPr>
                    <w:pageBreakBefore w:val="0"/>
                    <w:kinsoku/>
                    <w:wordWrap/>
                    <w:overflowPunct/>
                    <w:autoSpaceDE/>
                    <w:autoSpaceDN/>
                    <w:bidi w:val="0"/>
                    <w:adjustRightInd/>
                    <w:snapToGrid/>
                    <w:ind w:left="0"/>
                    <w:jc w:val="center"/>
                    <w:rPr>
                      <w:color w:val="auto"/>
                      <w:sz w:val="21"/>
                      <w:szCs w:val="21"/>
                    </w:rPr>
                  </w:pPr>
                  <w:r>
                    <w:rPr>
                      <w:color w:val="auto"/>
                      <w:sz w:val="21"/>
                      <w:szCs w:val="21"/>
                    </w:rPr>
                    <w:t>35</w:t>
                  </w:r>
                </w:p>
              </w:tc>
              <w:tc>
                <w:tcPr>
                  <w:tcW w:w="710" w:type="pct"/>
                  <w:noWrap w:val="0"/>
                  <w:vAlign w:val="center"/>
                </w:tcPr>
                <w:p w14:paraId="0A3B7992">
                  <w:pPr>
                    <w:pageBreakBefore w:val="0"/>
                    <w:widowControl/>
                    <w:kinsoku/>
                    <w:wordWrap/>
                    <w:overflowPunct/>
                    <w:autoSpaceDE/>
                    <w:autoSpaceDN/>
                    <w:bidi w:val="0"/>
                    <w:adjustRightInd/>
                    <w:snapToGrid/>
                    <w:ind w:left="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89</w:t>
                  </w:r>
                </w:p>
              </w:tc>
              <w:tc>
                <w:tcPr>
                  <w:tcW w:w="707" w:type="pct"/>
                  <w:noWrap w:val="0"/>
                  <w:vAlign w:val="center"/>
                </w:tcPr>
                <w:p w14:paraId="4DEFD30D">
                  <w:pPr>
                    <w:pageBreakBefore w:val="0"/>
                    <w:kinsoku/>
                    <w:wordWrap/>
                    <w:overflowPunct/>
                    <w:autoSpaceDE/>
                    <w:autoSpaceDN/>
                    <w:bidi w:val="0"/>
                    <w:adjustRightInd/>
                    <w:snapToGrid/>
                    <w:ind w:left="0"/>
                    <w:jc w:val="center"/>
                    <w:rPr>
                      <w:color w:val="auto"/>
                      <w:sz w:val="21"/>
                      <w:szCs w:val="21"/>
                    </w:rPr>
                  </w:pPr>
                  <w:r>
                    <w:rPr>
                      <w:color w:val="auto"/>
                      <w:sz w:val="21"/>
                      <w:szCs w:val="21"/>
                    </w:rPr>
                    <w:t>达标</w:t>
                  </w:r>
                </w:p>
              </w:tc>
            </w:tr>
            <w:tr w14:paraId="79F8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7" w:type="pct"/>
                  <w:noWrap w:val="0"/>
                  <w:vAlign w:val="center"/>
                </w:tcPr>
                <w:p w14:paraId="4C12BC7A">
                  <w:pPr>
                    <w:pageBreakBefore w:val="0"/>
                    <w:kinsoku/>
                    <w:wordWrap/>
                    <w:overflowPunct/>
                    <w:autoSpaceDE/>
                    <w:autoSpaceDN/>
                    <w:bidi w:val="0"/>
                    <w:adjustRightInd/>
                    <w:snapToGrid/>
                    <w:ind w:left="0"/>
                    <w:jc w:val="center"/>
                    <w:rPr>
                      <w:color w:val="auto"/>
                      <w:sz w:val="21"/>
                      <w:szCs w:val="21"/>
                    </w:rPr>
                  </w:pPr>
                  <w:r>
                    <w:rPr>
                      <w:color w:val="auto"/>
                      <w:sz w:val="21"/>
                      <w:szCs w:val="21"/>
                    </w:rPr>
                    <w:t>SO</w:t>
                  </w:r>
                  <w:r>
                    <w:rPr>
                      <w:color w:val="auto"/>
                      <w:sz w:val="21"/>
                      <w:szCs w:val="21"/>
                      <w:vertAlign w:val="subscript"/>
                    </w:rPr>
                    <w:t>2</w:t>
                  </w:r>
                </w:p>
              </w:tc>
              <w:tc>
                <w:tcPr>
                  <w:tcW w:w="1450" w:type="pct"/>
                  <w:noWrap w:val="0"/>
                  <w:vAlign w:val="center"/>
                </w:tcPr>
                <w:p w14:paraId="7699EE23">
                  <w:pPr>
                    <w:pageBreakBefore w:val="0"/>
                    <w:kinsoku/>
                    <w:wordWrap/>
                    <w:overflowPunct/>
                    <w:autoSpaceDE/>
                    <w:autoSpaceDN/>
                    <w:bidi w:val="0"/>
                    <w:adjustRightInd/>
                    <w:snapToGrid/>
                    <w:ind w:left="0"/>
                    <w:jc w:val="center"/>
                    <w:rPr>
                      <w:color w:val="auto"/>
                      <w:sz w:val="21"/>
                      <w:szCs w:val="21"/>
                    </w:rPr>
                  </w:pPr>
                  <w:r>
                    <w:rPr>
                      <w:color w:val="auto"/>
                      <w:sz w:val="21"/>
                      <w:szCs w:val="21"/>
                    </w:rPr>
                    <w:t>年平均浓度</w:t>
                  </w:r>
                </w:p>
              </w:tc>
              <w:tc>
                <w:tcPr>
                  <w:tcW w:w="870" w:type="pct"/>
                  <w:noWrap w:val="0"/>
                  <w:vAlign w:val="center"/>
                </w:tcPr>
                <w:p w14:paraId="10C41B5F">
                  <w:pPr>
                    <w:pageBreakBefore w:val="0"/>
                    <w:kinsoku/>
                    <w:wordWrap/>
                    <w:overflowPunct/>
                    <w:autoSpaceDE/>
                    <w:autoSpaceDN/>
                    <w:bidi w:val="0"/>
                    <w:adjustRightInd/>
                    <w:snapToGrid/>
                    <w:ind w:left="0"/>
                    <w:jc w:val="center"/>
                    <w:rPr>
                      <w:rFonts w:hint="default" w:eastAsia="宋体"/>
                      <w:color w:val="auto"/>
                      <w:sz w:val="21"/>
                      <w:szCs w:val="21"/>
                      <w:lang w:val="en-US" w:eastAsia="zh-CN"/>
                    </w:rPr>
                  </w:pPr>
                  <w:r>
                    <w:rPr>
                      <w:rFonts w:hint="eastAsia"/>
                      <w:color w:val="auto"/>
                      <w:sz w:val="21"/>
                      <w:szCs w:val="21"/>
                      <w:lang w:val="en-US" w:eastAsia="zh-CN"/>
                    </w:rPr>
                    <w:t>5</w:t>
                  </w:r>
                </w:p>
              </w:tc>
              <w:tc>
                <w:tcPr>
                  <w:tcW w:w="674" w:type="pct"/>
                  <w:noWrap w:val="0"/>
                  <w:vAlign w:val="center"/>
                </w:tcPr>
                <w:p w14:paraId="0BDFBBC6">
                  <w:pPr>
                    <w:pageBreakBefore w:val="0"/>
                    <w:kinsoku/>
                    <w:wordWrap/>
                    <w:overflowPunct/>
                    <w:autoSpaceDE/>
                    <w:autoSpaceDN/>
                    <w:bidi w:val="0"/>
                    <w:adjustRightInd/>
                    <w:snapToGrid/>
                    <w:ind w:left="0"/>
                    <w:jc w:val="center"/>
                    <w:rPr>
                      <w:color w:val="auto"/>
                      <w:sz w:val="21"/>
                      <w:szCs w:val="21"/>
                    </w:rPr>
                  </w:pPr>
                  <w:r>
                    <w:rPr>
                      <w:color w:val="auto"/>
                      <w:sz w:val="21"/>
                      <w:szCs w:val="21"/>
                    </w:rPr>
                    <w:t>60</w:t>
                  </w:r>
                </w:p>
              </w:tc>
              <w:tc>
                <w:tcPr>
                  <w:tcW w:w="710" w:type="pct"/>
                  <w:noWrap w:val="0"/>
                  <w:vAlign w:val="center"/>
                </w:tcPr>
                <w:p w14:paraId="591AA1FB">
                  <w:pPr>
                    <w:pageBreakBefore w:val="0"/>
                    <w:widowControl/>
                    <w:kinsoku/>
                    <w:wordWrap/>
                    <w:overflowPunct/>
                    <w:autoSpaceDE/>
                    <w:autoSpaceDN/>
                    <w:bidi w:val="0"/>
                    <w:adjustRightInd/>
                    <w:snapToGrid/>
                    <w:ind w:left="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83</w:t>
                  </w:r>
                </w:p>
              </w:tc>
              <w:tc>
                <w:tcPr>
                  <w:tcW w:w="707" w:type="pct"/>
                  <w:noWrap w:val="0"/>
                  <w:vAlign w:val="center"/>
                </w:tcPr>
                <w:p w14:paraId="4AC98B62">
                  <w:pPr>
                    <w:pageBreakBefore w:val="0"/>
                    <w:kinsoku/>
                    <w:wordWrap/>
                    <w:overflowPunct/>
                    <w:autoSpaceDE/>
                    <w:autoSpaceDN/>
                    <w:bidi w:val="0"/>
                    <w:adjustRightInd/>
                    <w:snapToGrid/>
                    <w:ind w:left="0"/>
                    <w:jc w:val="center"/>
                    <w:rPr>
                      <w:color w:val="auto"/>
                      <w:sz w:val="21"/>
                      <w:szCs w:val="21"/>
                    </w:rPr>
                  </w:pPr>
                  <w:r>
                    <w:rPr>
                      <w:color w:val="auto"/>
                      <w:sz w:val="21"/>
                      <w:szCs w:val="21"/>
                    </w:rPr>
                    <w:t>达标</w:t>
                  </w:r>
                </w:p>
              </w:tc>
            </w:tr>
            <w:tr w14:paraId="3A2B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7" w:type="pct"/>
                  <w:noWrap w:val="0"/>
                  <w:vAlign w:val="center"/>
                </w:tcPr>
                <w:p w14:paraId="4319D4AD">
                  <w:pPr>
                    <w:pageBreakBefore w:val="0"/>
                    <w:kinsoku/>
                    <w:wordWrap/>
                    <w:overflowPunct/>
                    <w:autoSpaceDE/>
                    <w:autoSpaceDN/>
                    <w:bidi w:val="0"/>
                    <w:adjustRightInd/>
                    <w:snapToGrid/>
                    <w:ind w:left="0"/>
                    <w:jc w:val="center"/>
                    <w:rPr>
                      <w:color w:val="auto"/>
                      <w:sz w:val="21"/>
                      <w:szCs w:val="21"/>
                    </w:rPr>
                  </w:pPr>
                  <w:r>
                    <w:rPr>
                      <w:color w:val="auto"/>
                      <w:sz w:val="21"/>
                      <w:szCs w:val="21"/>
                    </w:rPr>
                    <w:t>NO</w:t>
                  </w:r>
                  <w:r>
                    <w:rPr>
                      <w:color w:val="auto"/>
                      <w:sz w:val="21"/>
                      <w:szCs w:val="21"/>
                      <w:vertAlign w:val="subscript"/>
                    </w:rPr>
                    <w:t>2</w:t>
                  </w:r>
                </w:p>
              </w:tc>
              <w:tc>
                <w:tcPr>
                  <w:tcW w:w="1450" w:type="pct"/>
                  <w:noWrap w:val="0"/>
                  <w:vAlign w:val="center"/>
                </w:tcPr>
                <w:p w14:paraId="5A701589">
                  <w:pPr>
                    <w:pageBreakBefore w:val="0"/>
                    <w:kinsoku/>
                    <w:wordWrap/>
                    <w:overflowPunct/>
                    <w:autoSpaceDE/>
                    <w:autoSpaceDN/>
                    <w:bidi w:val="0"/>
                    <w:adjustRightInd/>
                    <w:snapToGrid/>
                    <w:ind w:left="0"/>
                    <w:jc w:val="center"/>
                    <w:rPr>
                      <w:color w:val="auto"/>
                      <w:sz w:val="21"/>
                      <w:szCs w:val="21"/>
                    </w:rPr>
                  </w:pPr>
                  <w:r>
                    <w:rPr>
                      <w:color w:val="auto"/>
                      <w:sz w:val="21"/>
                      <w:szCs w:val="21"/>
                    </w:rPr>
                    <w:t>年平均浓度</w:t>
                  </w:r>
                </w:p>
              </w:tc>
              <w:tc>
                <w:tcPr>
                  <w:tcW w:w="870" w:type="pct"/>
                  <w:noWrap w:val="0"/>
                  <w:vAlign w:val="center"/>
                </w:tcPr>
                <w:p w14:paraId="4F30909A">
                  <w:pPr>
                    <w:pageBreakBefore w:val="0"/>
                    <w:kinsoku/>
                    <w:wordWrap/>
                    <w:overflowPunct/>
                    <w:autoSpaceDE/>
                    <w:autoSpaceDN/>
                    <w:bidi w:val="0"/>
                    <w:adjustRightInd/>
                    <w:snapToGrid/>
                    <w:ind w:left="0"/>
                    <w:jc w:val="center"/>
                    <w:rPr>
                      <w:rFonts w:hint="eastAsia" w:eastAsia="宋体"/>
                      <w:color w:val="auto"/>
                      <w:sz w:val="21"/>
                      <w:szCs w:val="21"/>
                      <w:lang w:eastAsia="zh-CN"/>
                    </w:rPr>
                  </w:pPr>
                  <w:r>
                    <w:rPr>
                      <w:rFonts w:hint="eastAsia"/>
                      <w:color w:val="auto"/>
                      <w:sz w:val="21"/>
                      <w:szCs w:val="21"/>
                      <w:lang w:val="en-US" w:eastAsia="zh-CN"/>
                    </w:rPr>
                    <w:t>15</w:t>
                  </w:r>
                </w:p>
              </w:tc>
              <w:tc>
                <w:tcPr>
                  <w:tcW w:w="674" w:type="pct"/>
                  <w:noWrap w:val="0"/>
                  <w:vAlign w:val="center"/>
                </w:tcPr>
                <w:p w14:paraId="4B221A4E">
                  <w:pPr>
                    <w:pageBreakBefore w:val="0"/>
                    <w:kinsoku/>
                    <w:wordWrap/>
                    <w:overflowPunct/>
                    <w:autoSpaceDE/>
                    <w:autoSpaceDN/>
                    <w:bidi w:val="0"/>
                    <w:adjustRightInd/>
                    <w:snapToGrid/>
                    <w:ind w:left="0"/>
                    <w:jc w:val="center"/>
                    <w:rPr>
                      <w:color w:val="auto"/>
                      <w:sz w:val="21"/>
                      <w:szCs w:val="21"/>
                    </w:rPr>
                  </w:pPr>
                  <w:r>
                    <w:rPr>
                      <w:color w:val="auto"/>
                      <w:sz w:val="21"/>
                      <w:szCs w:val="21"/>
                    </w:rPr>
                    <w:t>40</w:t>
                  </w:r>
                </w:p>
              </w:tc>
              <w:tc>
                <w:tcPr>
                  <w:tcW w:w="710" w:type="pct"/>
                  <w:noWrap w:val="0"/>
                  <w:vAlign w:val="center"/>
                </w:tcPr>
                <w:p w14:paraId="286EB228">
                  <w:pPr>
                    <w:pageBreakBefore w:val="0"/>
                    <w:widowControl/>
                    <w:kinsoku/>
                    <w:wordWrap/>
                    <w:overflowPunct/>
                    <w:autoSpaceDE/>
                    <w:autoSpaceDN/>
                    <w:bidi w:val="0"/>
                    <w:adjustRightInd/>
                    <w:snapToGrid/>
                    <w:ind w:left="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38</w:t>
                  </w:r>
                </w:p>
              </w:tc>
              <w:tc>
                <w:tcPr>
                  <w:tcW w:w="707" w:type="pct"/>
                  <w:noWrap w:val="0"/>
                  <w:vAlign w:val="center"/>
                </w:tcPr>
                <w:p w14:paraId="6C35EF49">
                  <w:pPr>
                    <w:pageBreakBefore w:val="0"/>
                    <w:kinsoku/>
                    <w:wordWrap/>
                    <w:overflowPunct/>
                    <w:autoSpaceDE/>
                    <w:autoSpaceDN/>
                    <w:bidi w:val="0"/>
                    <w:adjustRightInd/>
                    <w:snapToGrid/>
                    <w:ind w:left="0"/>
                    <w:jc w:val="center"/>
                    <w:rPr>
                      <w:color w:val="auto"/>
                      <w:sz w:val="21"/>
                      <w:szCs w:val="21"/>
                    </w:rPr>
                  </w:pPr>
                  <w:r>
                    <w:rPr>
                      <w:color w:val="auto"/>
                      <w:sz w:val="21"/>
                      <w:szCs w:val="21"/>
                    </w:rPr>
                    <w:t>达标</w:t>
                  </w:r>
                </w:p>
              </w:tc>
            </w:tr>
            <w:tr w14:paraId="5C3D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7" w:type="pct"/>
                  <w:noWrap w:val="0"/>
                  <w:vAlign w:val="center"/>
                </w:tcPr>
                <w:p w14:paraId="076BF95B">
                  <w:pPr>
                    <w:pageBreakBefore w:val="0"/>
                    <w:kinsoku/>
                    <w:wordWrap/>
                    <w:overflowPunct/>
                    <w:autoSpaceDE/>
                    <w:autoSpaceDN/>
                    <w:bidi w:val="0"/>
                    <w:adjustRightInd/>
                    <w:snapToGrid/>
                    <w:ind w:left="0"/>
                    <w:jc w:val="center"/>
                    <w:rPr>
                      <w:color w:val="auto"/>
                      <w:sz w:val="21"/>
                      <w:szCs w:val="21"/>
                    </w:rPr>
                  </w:pPr>
                  <w:r>
                    <w:rPr>
                      <w:color w:val="auto"/>
                      <w:sz w:val="21"/>
                      <w:szCs w:val="21"/>
                    </w:rPr>
                    <w:t>CO</w:t>
                  </w:r>
                </w:p>
              </w:tc>
              <w:tc>
                <w:tcPr>
                  <w:tcW w:w="1450" w:type="pct"/>
                  <w:noWrap w:val="0"/>
                  <w:vAlign w:val="center"/>
                </w:tcPr>
                <w:p w14:paraId="109E09A9">
                  <w:pPr>
                    <w:pageBreakBefore w:val="0"/>
                    <w:kinsoku/>
                    <w:wordWrap/>
                    <w:overflowPunct/>
                    <w:autoSpaceDE/>
                    <w:autoSpaceDN/>
                    <w:bidi w:val="0"/>
                    <w:adjustRightInd/>
                    <w:snapToGrid/>
                    <w:ind w:left="0"/>
                    <w:jc w:val="center"/>
                    <w:rPr>
                      <w:color w:val="auto"/>
                      <w:sz w:val="21"/>
                      <w:szCs w:val="21"/>
                    </w:rPr>
                  </w:pPr>
                  <w:r>
                    <w:rPr>
                      <w:color w:val="auto"/>
                      <w:sz w:val="21"/>
                      <w:szCs w:val="21"/>
                    </w:rPr>
                    <w:t>日均值第95百分位浓度</w:t>
                  </w:r>
                </w:p>
              </w:tc>
              <w:tc>
                <w:tcPr>
                  <w:tcW w:w="870" w:type="pct"/>
                  <w:noWrap w:val="0"/>
                  <w:vAlign w:val="center"/>
                </w:tcPr>
                <w:p w14:paraId="50B5F04A">
                  <w:pPr>
                    <w:pageBreakBefore w:val="0"/>
                    <w:kinsoku/>
                    <w:wordWrap/>
                    <w:overflowPunct/>
                    <w:autoSpaceDE/>
                    <w:autoSpaceDN/>
                    <w:bidi w:val="0"/>
                    <w:adjustRightInd/>
                    <w:snapToGrid/>
                    <w:ind w:left="0"/>
                    <w:jc w:val="center"/>
                    <w:rPr>
                      <w:color w:val="auto"/>
                      <w:sz w:val="21"/>
                      <w:szCs w:val="21"/>
                    </w:rPr>
                  </w:pPr>
                  <w:r>
                    <w:rPr>
                      <w:rFonts w:hint="eastAsia"/>
                      <w:color w:val="auto"/>
                      <w:sz w:val="21"/>
                      <w:szCs w:val="21"/>
                      <w:lang w:val="en-US" w:eastAsia="zh-CN"/>
                    </w:rPr>
                    <w:t>8</w:t>
                  </w:r>
                  <w:r>
                    <w:rPr>
                      <w:color w:val="auto"/>
                      <w:sz w:val="21"/>
                      <w:szCs w:val="21"/>
                    </w:rPr>
                    <w:t>00</w:t>
                  </w:r>
                </w:p>
              </w:tc>
              <w:tc>
                <w:tcPr>
                  <w:tcW w:w="674" w:type="pct"/>
                  <w:noWrap w:val="0"/>
                  <w:vAlign w:val="center"/>
                </w:tcPr>
                <w:p w14:paraId="2E7B1A0D">
                  <w:pPr>
                    <w:pageBreakBefore w:val="0"/>
                    <w:kinsoku/>
                    <w:wordWrap/>
                    <w:overflowPunct/>
                    <w:autoSpaceDE/>
                    <w:autoSpaceDN/>
                    <w:bidi w:val="0"/>
                    <w:adjustRightInd/>
                    <w:snapToGrid/>
                    <w:ind w:left="0"/>
                    <w:jc w:val="center"/>
                    <w:rPr>
                      <w:color w:val="auto"/>
                      <w:sz w:val="21"/>
                      <w:szCs w:val="21"/>
                    </w:rPr>
                  </w:pPr>
                  <w:r>
                    <w:rPr>
                      <w:color w:val="auto"/>
                      <w:sz w:val="21"/>
                      <w:szCs w:val="21"/>
                    </w:rPr>
                    <w:t>4000</w:t>
                  </w:r>
                </w:p>
              </w:tc>
              <w:tc>
                <w:tcPr>
                  <w:tcW w:w="710" w:type="pct"/>
                  <w:noWrap w:val="0"/>
                  <w:vAlign w:val="center"/>
                </w:tcPr>
                <w:p w14:paraId="41033F67">
                  <w:pPr>
                    <w:pageBreakBefore w:val="0"/>
                    <w:widowControl/>
                    <w:kinsoku/>
                    <w:wordWrap/>
                    <w:overflowPunct/>
                    <w:autoSpaceDE/>
                    <w:autoSpaceDN/>
                    <w:bidi w:val="0"/>
                    <w:adjustRightInd/>
                    <w:snapToGrid/>
                    <w:ind w:left="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20</w:t>
                  </w:r>
                </w:p>
              </w:tc>
              <w:tc>
                <w:tcPr>
                  <w:tcW w:w="707" w:type="pct"/>
                  <w:noWrap w:val="0"/>
                  <w:vAlign w:val="center"/>
                </w:tcPr>
                <w:p w14:paraId="752D7B3D">
                  <w:pPr>
                    <w:pageBreakBefore w:val="0"/>
                    <w:kinsoku/>
                    <w:wordWrap/>
                    <w:overflowPunct/>
                    <w:autoSpaceDE/>
                    <w:autoSpaceDN/>
                    <w:bidi w:val="0"/>
                    <w:adjustRightInd/>
                    <w:snapToGrid/>
                    <w:ind w:left="0"/>
                    <w:jc w:val="center"/>
                    <w:rPr>
                      <w:color w:val="auto"/>
                      <w:sz w:val="21"/>
                      <w:szCs w:val="21"/>
                    </w:rPr>
                  </w:pPr>
                  <w:r>
                    <w:rPr>
                      <w:color w:val="auto"/>
                      <w:sz w:val="21"/>
                      <w:szCs w:val="21"/>
                    </w:rPr>
                    <w:t>达标</w:t>
                  </w:r>
                </w:p>
              </w:tc>
            </w:tr>
            <w:tr w14:paraId="1567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7" w:type="pct"/>
                  <w:noWrap w:val="0"/>
                  <w:vAlign w:val="center"/>
                </w:tcPr>
                <w:p w14:paraId="74603041">
                  <w:pPr>
                    <w:pageBreakBefore w:val="0"/>
                    <w:kinsoku/>
                    <w:wordWrap/>
                    <w:overflowPunct/>
                    <w:autoSpaceDE/>
                    <w:autoSpaceDN/>
                    <w:bidi w:val="0"/>
                    <w:adjustRightInd/>
                    <w:snapToGrid/>
                    <w:ind w:left="0"/>
                    <w:jc w:val="center"/>
                    <w:rPr>
                      <w:color w:val="auto"/>
                      <w:sz w:val="21"/>
                      <w:szCs w:val="21"/>
                    </w:rPr>
                  </w:pPr>
                  <w:r>
                    <w:rPr>
                      <w:color w:val="auto"/>
                      <w:sz w:val="21"/>
                      <w:szCs w:val="21"/>
                    </w:rPr>
                    <w:t>O</w:t>
                  </w:r>
                  <w:r>
                    <w:rPr>
                      <w:color w:val="auto"/>
                      <w:sz w:val="21"/>
                      <w:szCs w:val="21"/>
                      <w:vertAlign w:val="subscript"/>
                    </w:rPr>
                    <w:t>3</w:t>
                  </w:r>
                </w:p>
              </w:tc>
              <w:tc>
                <w:tcPr>
                  <w:tcW w:w="1450" w:type="pct"/>
                  <w:noWrap w:val="0"/>
                  <w:vAlign w:val="center"/>
                </w:tcPr>
                <w:p w14:paraId="193DF491">
                  <w:pPr>
                    <w:pageBreakBefore w:val="0"/>
                    <w:kinsoku/>
                    <w:wordWrap/>
                    <w:overflowPunct/>
                    <w:autoSpaceDE/>
                    <w:autoSpaceDN/>
                    <w:bidi w:val="0"/>
                    <w:adjustRightInd/>
                    <w:snapToGrid/>
                    <w:ind w:left="0"/>
                    <w:jc w:val="center"/>
                    <w:rPr>
                      <w:color w:val="auto"/>
                      <w:sz w:val="21"/>
                      <w:szCs w:val="21"/>
                    </w:rPr>
                  </w:pPr>
                  <w:r>
                    <w:rPr>
                      <w:color w:val="auto"/>
                      <w:sz w:val="21"/>
                      <w:szCs w:val="21"/>
                    </w:rPr>
                    <w:t>日最大8小时平均浓度第90百分位浓度</w:t>
                  </w:r>
                </w:p>
              </w:tc>
              <w:tc>
                <w:tcPr>
                  <w:tcW w:w="870" w:type="pct"/>
                  <w:noWrap w:val="0"/>
                  <w:vAlign w:val="center"/>
                </w:tcPr>
                <w:p w14:paraId="6D7D95C0">
                  <w:pPr>
                    <w:pageBreakBefore w:val="0"/>
                    <w:kinsoku/>
                    <w:wordWrap/>
                    <w:overflowPunct/>
                    <w:autoSpaceDE/>
                    <w:autoSpaceDN/>
                    <w:bidi w:val="0"/>
                    <w:adjustRightInd/>
                    <w:snapToGrid/>
                    <w:ind w:left="0"/>
                    <w:jc w:val="center"/>
                    <w:rPr>
                      <w:rFonts w:hint="default" w:eastAsia="宋体"/>
                      <w:color w:val="auto"/>
                      <w:sz w:val="21"/>
                      <w:szCs w:val="21"/>
                      <w:lang w:val="en-US" w:eastAsia="zh-CN"/>
                    </w:rPr>
                  </w:pPr>
                  <w:r>
                    <w:rPr>
                      <w:rFonts w:hint="eastAsia"/>
                      <w:color w:val="auto"/>
                      <w:sz w:val="21"/>
                      <w:szCs w:val="21"/>
                      <w:lang w:val="en-US" w:eastAsia="zh-CN"/>
                    </w:rPr>
                    <w:t>138</w:t>
                  </w:r>
                </w:p>
              </w:tc>
              <w:tc>
                <w:tcPr>
                  <w:tcW w:w="674" w:type="pct"/>
                  <w:noWrap w:val="0"/>
                  <w:vAlign w:val="center"/>
                </w:tcPr>
                <w:p w14:paraId="5A616D6E">
                  <w:pPr>
                    <w:pageBreakBefore w:val="0"/>
                    <w:kinsoku/>
                    <w:wordWrap/>
                    <w:overflowPunct/>
                    <w:autoSpaceDE/>
                    <w:autoSpaceDN/>
                    <w:bidi w:val="0"/>
                    <w:adjustRightInd/>
                    <w:snapToGrid/>
                    <w:ind w:left="0"/>
                    <w:jc w:val="center"/>
                    <w:rPr>
                      <w:color w:val="auto"/>
                      <w:sz w:val="21"/>
                      <w:szCs w:val="21"/>
                    </w:rPr>
                  </w:pPr>
                  <w:r>
                    <w:rPr>
                      <w:color w:val="auto"/>
                      <w:sz w:val="21"/>
                      <w:szCs w:val="21"/>
                    </w:rPr>
                    <w:t>160</w:t>
                  </w:r>
                </w:p>
              </w:tc>
              <w:tc>
                <w:tcPr>
                  <w:tcW w:w="710" w:type="pct"/>
                  <w:noWrap w:val="0"/>
                  <w:vAlign w:val="center"/>
                </w:tcPr>
                <w:p w14:paraId="247765E3">
                  <w:pPr>
                    <w:pageBreakBefore w:val="0"/>
                    <w:widowControl/>
                    <w:kinsoku/>
                    <w:wordWrap/>
                    <w:overflowPunct/>
                    <w:autoSpaceDE/>
                    <w:autoSpaceDN/>
                    <w:bidi w:val="0"/>
                    <w:adjustRightInd/>
                    <w:snapToGrid/>
                    <w:ind w:left="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86</w:t>
                  </w:r>
                </w:p>
              </w:tc>
              <w:tc>
                <w:tcPr>
                  <w:tcW w:w="707" w:type="pct"/>
                  <w:noWrap w:val="0"/>
                  <w:vAlign w:val="center"/>
                </w:tcPr>
                <w:p w14:paraId="164CCD29">
                  <w:pPr>
                    <w:pageBreakBefore w:val="0"/>
                    <w:kinsoku/>
                    <w:wordWrap/>
                    <w:overflowPunct/>
                    <w:autoSpaceDE/>
                    <w:autoSpaceDN/>
                    <w:bidi w:val="0"/>
                    <w:adjustRightInd/>
                    <w:snapToGrid/>
                    <w:ind w:left="0"/>
                    <w:jc w:val="center"/>
                    <w:rPr>
                      <w:color w:val="auto"/>
                      <w:sz w:val="21"/>
                      <w:szCs w:val="21"/>
                    </w:rPr>
                  </w:pPr>
                  <w:r>
                    <w:rPr>
                      <w:color w:val="auto"/>
                      <w:sz w:val="21"/>
                      <w:szCs w:val="21"/>
                    </w:rPr>
                    <w:t>达标</w:t>
                  </w:r>
                </w:p>
              </w:tc>
            </w:tr>
          </w:tbl>
          <w:p w14:paraId="458235D0">
            <w:pPr>
              <w:pageBreakBefore w:val="0"/>
              <w:kinsoku/>
              <w:wordWrap/>
              <w:overflowPunct/>
              <w:topLinePunct w:val="0"/>
              <w:autoSpaceDE/>
              <w:autoSpaceDN/>
              <w:bidi w:val="0"/>
              <w:adjustRightInd/>
              <w:snapToGrid/>
              <w:spacing w:line="360" w:lineRule="auto"/>
              <w:ind w:left="0" w:right="0" w:firstLine="480" w:firstLineChars="200"/>
              <w:rPr>
                <w:color w:val="auto"/>
                <w:kern w:val="24"/>
                <w:sz w:val="24"/>
              </w:rPr>
            </w:pPr>
            <w:r>
              <w:rPr>
                <w:color w:val="auto"/>
                <w:kern w:val="24"/>
                <w:sz w:val="24"/>
              </w:rPr>
              <w:t>根据</w:t>
            </w:r>
            <w:r>
              <w:rPr>
                <w:rFonts w:hint="default" w:ascii="Times New Roman" w:hAnsi="Times New Roman" w:eastAsia="宋体" w:cs="Times New Roman"/>
                <w:color w:val="auto"/>
                <w:sz w:val="24"/>
                <w:szCs w:val="24"/>
                <w:lang w:eastAsia="zh-CN"/>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年金寨县环境质量年报》</w:t>
            </w:r>
            <w:r>
              <w:rPr>
                <w:rFonts w:hint="eastAsia" w:ascii="Times New Roman" w:hAnsi="Times New Roman" w:eastAsia="宋体" w:cs="Times New Roman"/>
                <w:color w:val="auto"/>
                <w:sz w:val="24"/>
                <w:szCs w:val="24"/>
                <w:lang w:eastAsia="zh-CN"/>
              </w:rPr>
              <w:t>数据</w:t>
            </w:r>
            <w:r>
              <w:rPr>
                <w:color w:val="auto"/>
                <w:kern w:val="24"/>
                <w:sz w:val="24"/>
              </w:rPr>
              <w:t>，并结合《环境空气质量标准》（GB3095-2012）及2018年修改单中二级标准可知，</w:t>
            </w:r>
            <w:r>
              <w:rPr>
                <w:rFonts w:hint="eastAsia"/>
                <w:color w:val="auto"/>
                <w:sz w:val="24"/>
                <w:lang w:eastAsia="zh-CN"/>
              </w:rPr>
              <w:t>项目区域内PM</w:t>
            </w:r>
            <w:r>
              <w:rPr>
                <w:rFonts w:hint="eastAsia"/>
                <w:color w:val="auto"/>
                <w:sz w:val="24"/>
                <w:vertAlign w:val="subscript"/>
                <w:lang w:eastAsia="zh-CN"/>
              </w:rPr>
              <w:t>10</w:t>
            </w:r>
            <w:r>
              <w:rPr>
                <w:rFonts w:hint="eastAsia"/>
                <w:color w:val="auto"/>
                <w:sz w:val="24"/>
                <w:lang w:eastAsia="zh-CN"/>
              </w:rPr>
              <w:t>、PM</w:t>
            </w:r>
            <w:r>
              <w:rPr>
                <w:rFonts w:hint="eastAsia"/>
                <w:color w:val="auto"/>
                <w:sz w:val="24"/>
                <w:vertAlign w:val="subscript"/>
                <w:lang w:eastAsia="zh-CN"/>
              </w:rPr>
              <w:t>2.5</w:t>
            </w:r>
            <w:r>
              <w:rPr>
                <w:rFonts w:hint="eastAsia"/>
                <w:color w:val="auto"/>
                <w:sz w:val="24"/>
                <w:lang w:eastAsia="zh-CN"/>
              </w:rPr>
              <w:t>、SO</w:t>
            </w:r>
            <w:r>
              <w:rPr>
                <w:rFonts w:hint="eastAsia"/>
                <w:color w:val="auto"/>
                <w:sz w:val="24"/>
                <w:vertAlign w:val="subscript"/>
                <w:lang w:eastAsia="zh-CN"/>
              </w:rPr>
              <w:t>2</w:t>
            </w:r>
            <w:r>
              <w:rPr>
                <w:rFonts w:hint="eastAsia"/>
                <w:color w:val="auto"/>
                <w:sz w:val="24"/>
                <w:lang w:eastAsia="zh-CN"/>
              </w:rPr>
              <w:t>、NO</w:t>
            </w:r>
            <w:r>
              <w:rPr>
                <w:rFonts w:hint="eastAsia"/>
                <w:color w:val="auto"/>
                <w:sz w:val="24"/>
                <w:vertAlign w:val="subscript"/>
                <w:lang w:eastAsia="zh-CN"/>
              </w:rPr>
              <w:t>2</w:t>
            </w:r>
            <w:r>
              <w:rPr>
                <w:rFonts w:hint="eastAsia"/>
                <w:color w:val="auto"/>
                <w:sz w:val="24"/>
                <w:lang w:eastAsia="zh-CN"/>
              </w:rPr>
              <w:t>、O</w:t>
            </w:r>
            <w:r>
              <w:rPr>
                <w:rFonts w:hint="eastAsia"/>
                <w:color w:val="auto"/>
                <w:sz w:val="24"/>
                <w:vertAlign w:val="subscript"/>
                <w:lang w:eastAsia="zh-CN"/>
              </w:rPr>
              <w:t>3</w:t>
            </w:r>
            <w:r>
              <w:rPr>
                <w:rFonts w:hint="eastAsia"/>
                <w:color w:val="auto"/>
                <w:sz w:val="24"/>
                <w:lang w:eastAsia="zh-CN"/>
              </w:rPr>
              <w:t>、CO</w:t>
            </w:r>
            <w:r>
              <w:rPr>
                <w:rFonts w:hint="eastAsia"/>
                <w:color w:val="auto"/>
                <w:sz w:val="24"/>
                <w:lang w:val="en-US" w:eastAsia="zh-CN"/>
              </w:rPr>
              <w:t>污染物浓度均满足</w:t>
            </w:r>
            <w:r>
              <w:rPr>
                <w:rFonts w:hint="eastAsia"/>
                <w:color w:val="auto"/>
                <w:sz w:val="24"/>
                <w:lang w:eastAsia="zh-CN"/>
              </w:rPr>
              <w:t>《环境空气质量标准》（GB3095-2012）二级标准要求，项目所在区域环境空气质量为达标区</w:t>
            </w:r>
            <w:r>
              <w:rPr>
                <w:rFonts w:hint="eastAsia"/>
                <w:color w:val="auto"/>
                <w:kern w:val="24"/>
                <w:sz w:val="24"/>
              </w:rPr>
              <w:t>。</w:t>
            </w:r>
          </w:p>
          <w:p w14:paraId="5A57A5E1">
            <w:pPr>
              <w:pageBreakBefore w:val="0"/>
              <w:kinsoku/>
              <w:wordWrap/>
              <w:overflowPunct/>
              <w:topLinePunct w:val="0"/>
              <w:autoSpaceDE/>
              <w:autoSpaceDN/>
              <w:bidi w:val="0"/>
              <w:adjustRightInd/>
              <w:snapToGrid/>
              <w:spacing w:line="360" w:lineRule="auto"/>
              <w:ind w:left="0" w:right="0" w:firstLine="480" w:firstLineChars="200"/>
              <w:rPr>
                <w:rFonts w:hint="eastAsia" w:eastAsia="宋体"/>
                <w:color w:val="auto"/>
                <w:kern w:val="24"/>
                <w:sz w:val="24"/>
                <w:lang w:eastAsia="zh-CN"/>
              </w:rPr>
            </w:pPr>
            <w:r>
              <w:rPr>
                <w:rFonts w:hint="eastAsia"/>
                <w:color w:val="auto"/>
                <w:kern w:val="24"/>
                <w:sz w:val="24"/>
                <w:lang w:val="en-US" w:eastAsia="zh-CN"/>
              </w:rPr>
              <w:t>2、</w:t>
            </w:r>
            <w:r>
              <w:rPr>
                <w:rFonts w:hint="eastAsia"/>
                <w:color w:val="auto"/>
                <w:kern w:val="24"/>
                <w:sz w:val="24"/>
                <w:lang w:eastAsia="zh-CN"/>
              </w:rPr>
              <w:t>其他污染物</w:t>
            </w:r>
          </w:p>
          <w:p w14:paraId="7E3C2C2A">
            <w:pPr>
              <w:pageBreakBefore w:val="0"/>
              <w:kinsoku/>
              <w:wordWrap/>
              <w:overflowPunct/>
              <w:autoSpaceDE/>
              <w:autoSpaceDN/>
              <w:bidi w:val="0"/>
              <w:adjustRightInd/>
              <w:snapToGrid/>
              <w:spacing w:line="360" w:lineRule="auto"/>
              <w:ind w:lef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项目位于安徽</w:t>
            </w:r>
            <w:r>
              <w:rPr>
                <w:rFonts w:hint="eastAsia" w:ascii="Times New Roman" w:hAnsi="Times New Roman" w:eastAsia="宋体" w:cs="Times New Roman"/>
                <w:color w:val="auto"/>
                <w:sz w:val="24"/>
                <w:szCs w:val="24"/>
                <w:lang w:val="en-US" w:eastAsia="zh-CN"/>
              </w:rPr>
              <w:t>六安市金寨县</w:t>
            </w:r>
            <w:r>
              <w:rPr>
                <w:rFonts w:hint="default" w:ascii="Times New Roman" w:hAnsi="Times New Roman" w:eastAsia="宋体" w:cs="Times New Roman"/>
                <w:color w:val="auto"/>
                <w:sz w:val="24"/>
                <w:szCs w:val="24"/>
                <w:lang w:val="en-US" w:eastAsia="zh-CN"/>
              </w:rPr>
              <w:t>青山镇青山村，</w:t>
            </w:r>
            <w:r>
              <w:rPr>
                <w:rFonts w:hint="eastAsia"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sz w:val="24"/>
                <w:szCs w:val="24"/>
                <w:lang w:val="en-US" w:eastAsia="zh-CN"/>
              </w:rPr>
              <w:t>特征因子</w:t>
            </w:r>
            <w:r>
              <w:rPr>
                <w:rFonts w:hint="eastAsia" w:ascii="Times New Roman" w:hAnsi="Times New Roman" w:eastAsia="宋体" w:cs="Times New Roman"/>
                <w:color w:val="auto"/>
                <w:sz w:val="24"/>
                <w:szCs w:val="24"/>
                <w:lang w:val="en-US" w:eastAsia="zh-CN"/>
              </w:rPr>
              <w:t>为TSP，</w:t>
            </w:r>
            <w:r>
              <w:rPr>
                <w:rFonts w:hint="default" w:ascii="Times New Roman" w:hAnsi="Times New Roman" w:eastAsia="宋体" w:cs="Times New Roman"/>
                <w:color w:val="auto"/>
                <w:sz w:val="24"/>
                <w:szCs w:val="24"/>
                <w:lang w:val="en-US" w:eastAsia="zh-CN"/>
              </w:rPr>
              <w:t>环境质量现状监测数据直接引用《中国葛洲坝集团股份有限公司和襄高速公路六安段项目经理部和襄高速青山镇沥青搅拌站项目》中监测数据，引用监测时间为</w:t>
            </w:r>
            <w:r>
              <w:rPr>
                <w:rFonts w:hint="default" w:ascii="Times New Roman" w:hAnsi="Times New Roman" w:cs="Times New Roman"/>
                <w:color w:val="auto"/>
                <w:sz w:val="24"/>
                <w:szCs w:val="24"/>
              </w:rPr>
              <w:t>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日~202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日</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引用</w:t>
            </w:r>
            <w:r>
              <w:rPr>
                <w:rFonts w:hint="default" w:ascii="Times New Roman" w:hAnsi="Times New Roman" w:eastAsia="宋体" w:cs="Times New Roman"/>
                <w:color w:val="auto"/>
                <w:sz w:val="24"/>
                <w:szCs w:val="24"/>
                <w:lang w:val="en-US" w:eastAsia="zh-CN"/>
              </w:rPr>
              <w:t>监测点位G</w:t>
            </w:r>
            <w:r>
              <w:rPr>
                <w:rFonts w:hint="eastAsia" w:ascii="Times New Roman" w:hAnsi="Times New Roman" w:eastAsia="宋体" w:cs="Times New Roman"/>
                <w:color w:val="auto"/>
                <w:sz w:val="24"/>
                <w:szCs w:val="24"/>
                <w:lang w:val="en-US" w:eastAsia="zh-CN"/>
              </w:rPr>
              <w:t>1位于本项目</w:t>
            </w:r>
            <w:r>
              <w:rPr>
                <w:rFonts w:hint="eastAsia" w:cs="Times New Roman"/>
                <w:color w:val="auto"/>
                <w:sz w:val="24"/>
                <w:szCs w:val="24"/>
                <w:lang w:val="en-US" w:eastAsia="zh-CN"/>
              </w:rPr>
              <w:t>东</w:t>
            </w:r>
            <w:r>
              <w:rPr>
                <w:rFonts w:hint="eastAsia" w:ascii="Times New Roman" w:hAnsi="Times New Roman" w:eastAsia="宋体" w:cs="Times New Roman"/>
                <w:color w:val="auto"/>
                <w:sz w:val="24"/>
                <w:szCs w:val="24"/>
                <w:lang w:val="en-US" w:eastAsia="zh-CN"/>
              </w:rPr>
              <w:t>南侧</w:t>
            </w:r>
            <w:r>
              <w:rPr>
                <w:rFonts w:hint="eastAsia" w:cs="Times New Roman"/>
                <w:color w:val="auto"/>
                <w:sz w:val="24"/>
                <w:szCs w:val="24"/>
                <w:lang w:val="en-US" w:eastAsia="zh-CN"/>
              </w:rPr>
              <w:t>1600</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，引用数据具有代表性，监测时间为近3年的数据，满足时效性</w:t>
            </w:r>
            <w:r>
              <w:rPr>
                <w:rFonts w:hint="eastAsia" w:ascii="Times New Roman" w:hAnsi="Times New Roman" w:eastAsia="宋体" w:cs="Times New Roman"/>
                <w:color w:val="auto"/>
                <w:sz w:val="24"/>
                <w:szCs w:val="24"/>
                <w:lang w:val="en-US" w:eastAsia="zh-CN"/>
              </w:rPr>
              <w:t>，引用监测点位见下图3-1、</w:t>
            </w:r>
            <w:r>
              <w:rPr>
                <w:rFonts w:hint="default" w:ascii="Times New Roman" w:hAnsi="Times New Roman" w:eastAsia="宋体" w:cs="Times New Roman"/>
                <w:color w:val="auto"/>
                <w:sz w:val="24"/>
                <w:szCs w:val="24"/>
                <w:lang w:val="en-US" w:eastAsia="zh-CN"/>
              </w:rPr>
              <w:t>监测结果见下表。</w:t>
            </w:r>
          </w:p>
          <w:p w14:paraId="5A4BA71D">
            <w:pPr>
              <w:pStyle w:val="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auto"/>
                <w:kern w:val="0"/>
                <w:sz w:val="24"/>
                <w:szCs w:val="24"/>
                <w:highlight w:val="none"/>
                <w:lang w:val="en-US" w:eastAsia="zh-CN" w:bidi="ar-SA"/>
              </w:rPr>
            </w:pPr>
            <w:r>
              <w:rPr>
                <w:rFonts w:hint="default" w:ascii="Times New Roman" w:hAnsi="Times New Roman" w:eastAsia="宋体" w:cs="Times New Roman"/>
                <w:b/>
                <w:bCs w:val="0"/>
                <w:color w:val="auto"/>
                <w:kern w:val="0"/>
                <w:sz w:val="24"/>
                <w:szCs w:val="24"/>
                <w:highlight w:val="none"/>
                <w:lang w:val="en-US" w:eastAsia="zh-CN" w:bidi="ar-SA"/>
              </w:rPr>
              <w:t>表3-2  引用监测结果及评价结果一览表 μg/m</w:t>
            </w:r>
            <w:r>
              <w:rPr>
                <w:rFonts w:hint="default" w:ascii="Times New Roman" w:hAnsi="Times New Roman" w:eastAsia="宋体" w:cs="Times New Roman"/>
                <w:b/>
                <w:bCs w:val="0"/>
                <w:color w:val="auto"/>
                <w:kern w:val="0"/>
                <w:sz w:val="24"/>
                <w:szCs w:val="24"/>
                <w:highlight w:val="none"/>
                <w:vertAlign w:val="superscript"/>
                <w:lang w:val="en-US" w:eastAsia="zh-CN" w:bidi="ar-SA"/>
              </w:rPr>
              <w:t xml:space="preserve">3 </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488"/>
              <w:gridCol w:w="2043"/>
              <w:gridCol w:w="1605"/>
              <w:gridCol w:w="1986"/>
            </w:tblGrid>
            <w:tr w14:paraId="6E64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5" w:type="pct"/>
                  <w:noWrap w:val="0"/>
                  <w:vAlign w:val="center"/>
                </w:tcPr>
                <w:p w14:paraId="549B626F">
                  <w:pPr>
                    <w:pageBreakBefore w:val="0"/>
                    <w:widowControl w:val="0"/>
                    <w:kinsoku/>
                    <w:wordWrap/>
                    <w:overflowPunct/>
                    <w:autoSpaceDE/>
                    <w:autoSpaceDN/>
                    <w:bidi w:val="0"/>
                    <w:adjustRightInd/>
                    <w:snapToGrid/>
                    <w:spacing w:line="240" w:lineRule="auto"/>
                    <w:ind w:lef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872" w:type="pct"/>
                  <w:noWrap w:val="0"/>
                  <w:vAlign w:val="center"/>
                </w:tcPr>
                <w:p w14:paraId="16DE12C8">
                  <w:pPr>
                    <w:pageBreakBefore w:val="0"/>
                    <w:widowControl w:val="0"/>
                    <w:kinsoku/>
                    <w:wordWrap/>
                    <w:overflowPunct/>
                    <w:autoSpaceDE/>
                    <w:autoSpaceDN/>
                    <w:bidi w:val="0"/>
                    <w:adjustRightInd/>
                    <w:snapToGrid/>
                    <w:spacing w:line="240" w:lineRule="auto"/>
                    <w:ind w:lef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1197" w:type="pct"/>
                  <w:noWrap w:val="0"/>
                  <w:vAlign w:val="center"/>
                </w:tcPr>
                <w:p w14:paraId="39400F94">
                  <w:pPr>
                    <w:pageBreakBefore w:val="0"/>
                    <w:widowControl w:val="0"/>
                    <w:kinsoku/>
                    <w:wordWrap/>
                    <w:overflowPunct/>
                    <w:autoSpaceDE/>
                    <w:autoSpaceDN/>
                    <w:bidi w:val="0"/>
                    <w:adjustRightInd/>
                    <w:snapToGrid/>
                    <w:spacing w:line="240" w:lineRule="auto"/>
                    <w:ind w:lef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监测时间</w:t>
                  </w:r>
                </w:p>
              </w:tc>
              <w:tc>
                <w:tcPr>
                  <w:tcW w:w="940" w:type="pct"/>
                  <w:noWrap w:val="0"/>
                  <w:vAlign w:val="center"/>
                </w:tcPr>
                <w:p w14:paraId="5759FA30">
                  <w:pPr>
                    <w:pageBreakBefore w:val="0"/>
                    <w:widowControl w:val="0"/>
                    <w:kinsoku/>
                    <w:wordWrap/>
                    <w:overflowPunct/>
                    <w:autoSpaceDE/>
                    <w:autoSpaceDN/>
                    <w:bidi w:val="0"/>
                    <w:adjustRightInd/>
                    <w:snapToGrid/>
                    <w:spacing w:line="240" w:lineRule="auto"/>
                    <w:ind w:lef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日均浓度范围</w:t>
                  </w:r>
                </w:p>
              </w:tc>
              <w:tc>
                <w:tcPr>
                  <w:tcW w:w="1164" w:type="pct"/>
                  <w:noWrap w:val="0"/>
                  <w:vAlign w:val="center"/>
                </w:tcPr>
                <w:p w14:paraId="1DB7790C">
                  <w:pPr>
                    <w:pageBreakBefore w:val="0"/>
                    <w:widowControl w:val="0"/>
                    <w:kinsoku/>
                    <w:wordWrap/>
                    <w:overflowPunct/>
                    <w:autoSpaceDE/>
                    <w:autoSpaceDN/>
                    <w:bidi w:val="0"/>
                    <w:adjustRightInd/>
                    <w:snapToGrid/>
                    <w:spacing w:line="240" w:lineRule="auto"/>
                    <w:ind w:lef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单因子污染指数Ii</w:t>
                  </w:r>
                </w:p>
              </w:tc>
            </w:tr>
            <w:tr w14:paraId="5B42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25" w:type="pct"/>
                  <w:noWrap w:val="0"/>
                  <w:vAlign w:val="center"/>
                </w:tcPr>
                <w:p w14:paraId="75C4D203">
                  <w:pPr>
                    <w:pageBreakBefore w:val="0"/>
                    <w:widowControl w:val="0"/>
                    <w:kinsoku/>
                    <w:wordWrap/>
                    <w:overflowPunct/>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w:t>
                  </w:r>
                  <w:r>
                    <w:rPr>
                      <w:rFonts w:hint="eastAsia" w:ascii="Times New Roman" w:hAnsi="Times New Roman" w:eastAsia="宋体" w:cs="Times New Roman"/>
                      <w:color w:val="auto"/>
                      <w:sz w:val="21"/>
                      <w:szCs w:val="21"/>
                      <w:lang w:val="en-US" w:eastAsia="zh-CN"/>
                    </w:rPr>
                    <w:t>1</w:t>
                  </w:r>
                </w:p>
              </w:tc>
              <w:tc>
                <w:tcPr>
                  <w:tcW w:w="872" w:type="pct"/>
                  <w:noWrap w:val="0"/>
                  <w:vAlign w:val="center"/>
                </w:tcPr>
                <w:p w14:paraId="4046394E">
                  <w:pPr>
                    <w:pageBreakBefore w:val="0"/>
                    <w:widowControl w:val="0"/>
                    <w:kinsoku/>
                    <w:wordWrap/>
                    <w:overflowPunct/>
                    <w:autoSpaceDE/>
                    <w:autoSpaceDN/>
                    <w:bidi w:val="0"/>
                    <w:adjustRightInd/>
                    <w:snapToGrid/>
                    <w:spacing w:line="240" w:lineRule="auto"/>
                    <w:ind w:left="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TSP</w:t>
                  </w:r>
                </w:p>
              </w:tc>
              <w:tc>
                <w:tcPr>
                  <w:tcW w:w="1197" w:type="pct"/>
                  <w:noWrap w:val="0"/>
                  <w:vAlign w:val="center"/>
                </w:tcPr>
                <w:p w14:paraId="6F7CF5C6">
                  <w:pPr>
                    <w:pageBreakBefore w:val="0"/>
                    <w:widowControl w:val="0"/>
                    <w:kinsoku/>
                    <w:wordWrap/>
                    <w:overflowPunct/>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7</w:t>
                  </w:r>
                </w:p>
              </w:tc>
              <w:tc>
                <w:tcPr>
                  <w:tcW w:w="940" w:type="pct"/>
                  <w:noWrap w:val="0"/>
                  <w:vAlign w:val="center"/>
                </w:tcPr>
                <w:p w14:paraId="53E7962D">
                  <w:pPr>
                    <w:pageBreakBefore w:val="0"/>
                    <w:widowControl w:val="0"/>
                    <w:kinsoku/>
                    <w:wordWrap/>
                    <w:overflowPunct/>
                    <w:autoSpaceDE/>
                    <w:autoSpaceDN/>
                    <w:bidi w:val="0"/>
                    <w:adjustRightInd/>
                    <w:snapToGrid/>
                    <w:spacing w:line="240" w:lineRule="auto"/>
                    <w:ind w:lef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59-64</w:t>
                  </w:r>
                </w:p>
              </w:tc>
              <w:tc>
                <w:tcPr>
                  <w:tcW w:w="1164" w:type="pct"/>
                  <w:noWrap w:val="0"/>
                  <w:vAlign w:val="center"/>
                </w:tcPr>
                <w:p w14:paraId="231F4CC3">
                  <w:pPr>
                    <w:pageBreakBefore w:val="0"/>
                    <w:widowControl w:val="0"/>
                    <w:kinsoku/>
                    <w:wordWrap/>
                    <w:overflowPunct/>
                    <w:autoSpaceDE/>
                    <w:autoSpaceDN/>
                    <w:bidi w:val="0"/>
                    <w:adjustRightInd/>
                    <w:snapToGrid/>
                    <w:spacing w:line="240" w:lineRule="auto"/>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0.197-0.213</w:t>
                  </w:r>
                </w:p>
              </w:tc>
            </w:tr>
          </w:tbl>
          <w:p w14:paraId="1E006542">
            <w:pPr>
              <w:pageBreakBefore w:val="0"/>
              <w:kinsoku/>
              <w:wordWrap/>
              <w:overflowPunct/>
              <w:topLinePunct w:val="0"/>
              <w:autoSpaceDE/>
              <w:autoSpaceDN/>
              <w:bidi w:val="0"/>
              <w:adjustRightInd/>
              <w:snapToGrid/>
              <w:spacing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从上表中监测结果、评价结果可见，项目所在区域，TSP</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《环境空气质量标准》(GB3095-2012)二级标准及其2018年修改单中浓度要求</w:t>
            </w:r>
            <w:r>
              <w:rPr>
                <w:rFonts w:hint="eastAsia" w:ascii="Times New Roman" w:hAnsi="Times New Roman" w:eastAsia="宋体" w:cs="Times New Roman"/>
                <w:color w:val="auto"/>
                <w:sz w:val="24"/>
                <w:szCs w:val="24"/>
                <w:lang w:val="en-US" w:eastAsia="zh-CN"/>
              </w:rPr>
              <w:t>。</w:t>
            </w:r>
          </w:p>
          <w:p w14:paraId="5993E77A">
            <w:pPr>
              <w:pageBreakBefore w:val="0"/>
              <w:kinsoku/>
              <w:wordWrap/>
              <w:overflowPunct/>
              <w:topLinePunct w:val="0"/>
              <w:autoSpaceDE/>
              <w:autoSpaceDN/>
              <w:bidi w:val="0"/>
              <w:adjustRightInd/>
              <w:snapToGrid/>
              <w:spacing w:line="360" w:lineRule="auto"/>
              <w:ind w:left="0" w:right="0"/>
              <w:rPr>
                <w:rFonts w:hint="eastAsia" w:ascii="Times New Roman" w:hAnsi="Times New Roman" w:eastAsia="宋体" w:cs="Times New Roman"/>
                <w:color w:val="auto"/>
                <w:sz w:val="24"/>
                <w:szCs w:val="24"/>
                <w:lang w:val="en-US" w:eastAsia="zh-CN"/>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2341245</wp:posOffset>
                      </wp:positionH>
                      <wp:positionV relativeFrom="paragraph">
                        <wp:posOffset>1295400</wp:posOffset>
                      </wp:positionV>
                      <wp:extent cx="711835" cy="3441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71183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BC7FE">
                                  <w:pPr>
                                    <w:jc w:val="center"/>
                                    <w:rPr>
                                      <w:rFonts w:hint="default" w:ascii="宋体" w:hAnsi="宋体" w:eastAsia="宋体" w:cs="宋体"/>
                                      <w:b w:val="0"/>
                                      <w:bCs w:val="0"/>
                                      <w:color w:val="auto"/>
                                      <w:sz w:val="21"/>
                                      <w:szCs w:val="21"/>
                                      <w:lang w:val="en-US" w:eastAsia="zh-CN"/>
                                    </w:rPr>
                                  </w:pPr>
                                  <w:r>
                                    <w:rPr>
                                      <w:rFonts w:hint="default" w:ascii="Times New Roman" w:hAnsi="Times New Roman" w:cs="Times New Roman"/>
                                      <w:b w:val="0"/>
                                      <w:bCs w:val="0"/>
                                      <w:color w:val="FF0000"/>
                                      <w:sz w:val="21"/>
                                      <w:szCs w:val="21"/>
                                      <w:lang w:val="en-US" w:eastAsia="zh-CN"/>
                                    </w:rPr>
                                    <w:t>1600m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35pt;margin-top:102pt;height:27.1pt;width:56.05pt;z-index:251666432;mso-width-relative:page;mso-height-relative:page;" filled="f" stroked="f" coordsize="21600,21600" o:gfxdata="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XuTq3bAAAACwEAAA8AAAAAAAAAAQAgAAAAIgAA&#10;AGRycy9kb3ducmV2LnhtbFBLAQIUABQAAAAIAIdO4kDoN+WEPgIAAGcEAAAOAAAAAAAAAAEAIAAA&#10;ACoBAABkcnMvZTJvRG9jLnhtbFBLBQYAAAAABgAGAFkBAADaBQAAAAA=&#10;">
                      <v:fill on="f" focussize="0,0"/>
                      <v:stroke on="f" weight="0.5pt"/>
                      <v:imagedata o:title=""/>
                      <o:lock v:ext="edit" aspectratio="f"/>
                      <v:textbox>
                        <w:txbxContent>
                          <w:p w14:paraId="304BC7FE">
                            <w:pPr>
                              <w:jc w:val="center"/>
                              <w:rPr>
                                <w:rFonts w:hint="default" w:ascii="宋体" w:hAnsi="宋体" w:eastAsia="宋体" w:cs="宋体"/>
                                <w:b w:val="0"/>
                                <w:bCs w:val="0"/>
                                <w:color w:val="auto"/>
                                <w:sz w:val="21"/>
                                <w:szCs w:val="21"/>
                                <w:lang w:val="en-US" w:eastAsia="zh-CN"/>
                              </w:rPr>
                            </w:pPr>
                            <w:r>
                              <w:rPr>
                                <w:rFonts w:hint="default" w:ascii="Times New Roman" w:hAnsi="Times New Roman" w:cs="Times New Roman"/>
                                <w:b w:val="0"/>
                                <w:bCs w:val="0"/>
                                <w:color w:val="FF0000"/>
                                <w:sz w:val="21"/>
                                <w:szCs w:val="21"/>
                                <w:lang w:val="en-US" w:eastAsia="zh-CN"/>
                              </w:rPr>
                              <w:t>1600m</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3526155</wp:posOffset>
                      </wp:positionH>
                      <wp:positionV relativeFrom="paragraph">
                        <wp:posOffset>1113155</wp:posOffset>
                      </wp:positionV>
                      <wp:extent cx="1038225" cy="323850"/>
                      <wp:effectExtent l="12700" t="12700" r="15875" b="349250"/>
                      <wp:wrapNone/>
                      <wp:docPr id="6" name="矩形标注 6"/>
                      <wp:cNvGraphicFramePr/>
                      <a:graphic xmlns:a="http://schemas.openxmlformats.org/drawingml/2006/main">
                        <a:graphicData uri="http://schemas.microsoft.com/office/word/2010/wordprocessingShape">
                          <wps:wsp>
                            <wps:cNvSpPr/>
                            <wps:spPr>
                              <a:xfrm>
                                <a:off x="0" y="0"/>
                                <a:ext cx="1038225" cy="323850"/>
                              </a:xfrm>
                              <a:prstGeom prst="wedgeRectCallout">
                                <a:avLst>
                                  <a:gd name="adj1" fmla="val -45840"/>
                                  <a:gd name="adj2" fmla="val 153725"/>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2A002D4">
                                  <w:pPr>
                                    <w:jc w:val="center"/>
                                    <w:rPr>
                                      <w:rFonts w:hint="eastAsia" w:eastAsia="宋体"/>
                                      <w:color w:val="FF0000"/>
                                      <w:lang w:eastAsia="zh-CN"/>
                                    </w:rPr>
                                  </w:pPr>
                                  <w:r>
                                    <w:rPr>
                                      <w:rFonts w:hint="eastAsia"/>
                                      <w:color w:val="FF0000"/>
                                      <w:sz w:val="21"/>
                                      <w:szCs w:val="21"/>
                                      <w:lang w:eastAsia="zh-CN"/>
                                    </w:rPr>
                                    <w:t>引用监测点位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7.65pt;margin-top:87.65pt;height:25.5pt;width:81.75pt;z-index:251663360;v-text-anchor:middle;mso-width-relative:page;mso-height-relative:page;" filled="f" stroked="t" coordsize="21600,21600" o:gfxdata="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KKTMe2QAAAAsBAAAPAAAAAAAAAAEAIAAAACIAAABkcnMvZG93bnJldi54bWxQSwEC&#10;FAAUAAAACACHTuJAPE7bcp4CAAAkBQAADgAAAAAAAAABACAAAAAoAQAAZHJzL2Uyb0RvYy54bWxQ&#10;SwUGAAAAAAYABgBZAQAAOAYAAAAA&#10;" adj="899,44005">
                      <v:fill on="f" focussize="0,0"/>
                      <v:stroke weight="2pt" color="#FF0000 [2404]" joinstyle="round"/>
                      <v:imagedata o:title=""/>
                      <o:lock v:ext="edit" aspectratio="f"/>
                      <v:textbox>
                        <w:txbxContent>
                          <w:p w14:paraId="12A002D4">
                            <w:pPr>
                              <w:jc w:val="center"/>
                              <w:rPr>
                                <w:rFonts w:hint="eastAsia" w:eastAsia="宋体"/>
                                <w:color w:val="FF0000"/>
                                <w:lang w:eastAsia="zh-CN"/>
                              </w:rPr>
                            </w:pPr>
                            <w:r>
                              <w:rPr>
                                <w:rFonts w:hint="eastAsia"/>
                                <w:color w:val="FF0000"/>
                                <w:sz w:val="21"/>
                                <w:szCs w:val="21"/>
                                <w:lang w:eastAsia="zh-CN"/>
                              </w:rPr>
                              <w:t>引用监测点位</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1030605</wp:posOffset>
                      </wp:positionH>
                      <wp:positionV relativeFrom="paragraph">
                        <wp:posOffset>1598930</wp:posOffset>
                      </wp:positionV>
                      <wp:extent cx="714375" cy="323850"/>
                      <wp:effectExtent l="12700" t="343535" r="111125" b="18415"/>
                      <wp:wrapNone/>
                      <wp:docPr id="2" name="矩形标注 2"/>
                      <wp:cNvGraphicFramePr/>
                      <a:graphic xmlns:a="http://schemas.openxmlformats.org/drawingml/2006/main">
                        <a:graphicData uri="http://schemas.microsoft.com/office/word/2010/wordprocessingShape">
                          <wps:wsp>
                            <wps:cNvSpPr/>
                            <wps:spPr>
                              <a:xfrm>
                                <a:off x="2618105" y="6478270"/>
                                <a:ext cx="714375" cy="323850"/>
                              </a:xfrm>
                              <a:prstGeom prst="wedgeRectCallout">
                                <a:avLst>
                                  <a:gd name="adj1" fmla="val 63155"/>
                                  <a:gd name="adj2" fmla="val -152156"/>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0F32D7B">
                                  <w:pPr>
                                    <w:jc w:val="center"/>
                                    <w:rPr>
                                      <w:rFonts w:hint="eastAsia" w:eastAsia="宋体"/>
                                      <w:color w:val="FF0000"/>
                                      <w:sz w:val="21"/>
                                      <w:szCs w:val="21"/>
                                      <w:lang w:eastAsia="zh-CN"/>
                                    </w:rPr>
                                  </w:pPr>
                                  <w:r>
                                    <w:rPr>
                                      <w:rFonts w:hint="eastAsia"/>
                                      <w:color w:val="FF0000"/>
                                      <w:sz w:val="21"/>
                                      <w:szCs w:val="21"/>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1.15pt;margin-top:125.9pt;height:25.5pt;width:56.25pt;z-index:251662336;v-text-anchor:middle;mso-width-relative:page;mso-height-relative:page;" filled="f" stroked="t" coordsize="21600,21600" o:gfxdata="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lAMQ5tgAAAALAQAADwAAAAAAAAABACAAAAAiAAAAZHJzL2Rvd25y&#10;ZXYueG1sUEsBAhQAFAAAAAgAh07iQEZUlnipAgAALwUAAA4AAAAAAAAAAQAgAAAAJwEAAGRycy9l&#10;Mm9Eb2MueG1sUEsFBgAAAAAGAAYAWQEAAEIGAAAAAA==&#10;" adj="24441,-22066">
                      <v:fill on="f" focussize="0,0"/>
                      <v:stroke weight="2pt" color="#FF0000 [2404]" joinstyle="round"/>
                      <v:imagedata o:title=""/>
                      <o:lock v:ext="edit" aspectratio="f"/>
                      <v:textbox>
                        <w:txbxContent>
                          <w:p w14:paraId="30F32D7B">
                            <w:pPr>
                              <w:jc w:val="center"/>
                              <w:rPr>
                                <w:rFonts w:hint="eastAsia" w:eastAsia="宋体"/>
                                <w:color w:val="FF0000"/>
                                <w:sz w:val="21"/>
                                <w:szCs w:val="21"/>
                                <w:lang w:eastAsia="zh-CN"/>
                              </w:rPr>
                            </w:pPr>
                            <w:r>
                              <w:rPr>
                                <w:rFonts w:hint="eastAsia"/>
                                <w:color w:val="FF0000"/>
                                <w:sz w:val="21"/>
                                <w:szCs w:val="21"/>
                                <w:lang w:eastAsia="zh-CN"/>
                              </w:rPr>
                              <w:t>本项目</w:t>
                            </w:r>
                          </w:p>
                        </w:txbxContent>
                      </v:textbox>
                    </v:shape>
                  </w:pict>
                </mc:Fallback>
              </mc:AlternateContent>
            </w:r>
            <w:r>
              <w:rPr>
                <w:color w:val="auto"/>
              </w:rPr>
              <w:drawing>
                <wp:anchor distT="0" distB="0" distL="114300" distR="114300" simplePos="0" relativeHeight="251661312" behindDoc="0" locked="0" layoutInCell="1" allowOverlap="1">
                  <wp:simplePos x="0" y="0"/>
                  <wp:positionH relativeFrom="column">
                    <wp:posOffset>4876800</wp:posOffset>
                  </wp:positionH>
                  <wp:positionV relativeFrom="paragraph">
                    <wp:posOffset>109855</wp:posOffset>
                  </wp:positionV>
                  <wp:extent cx="520700" cy="669290"/>
                  <wp:effectExtent l="0" t="0" r="12700" b="16510"/>
                  <wp:wrapNone/>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6"/>
                          <a:stretch>
                            <a:fillRect/>
                          </a:stretch>
                        </pic:blipFill>
                        <pic:spPr>
                          <a:xfrm>
                            <a:off x="0" y="0"/>
                            <a:ext cx="520700" cy="669290"/>
                          </a:xfrm>
                          <a:prstGeom prst="rect">
                            <a:avLst/>
                          </a:prstGeom>
                          <a:noFill/>
                          <a:ln>
                            <a:noFill/>
                          </a:ln>
                        </pic:spPr>
                      </pic:pic>
                    </a:graphicData>
                  </a:graphic>
                </wp:anchor>
              </w:drawing>
            </w:r>
            <w:r>
              <w:rPr>
                <w:rFonts w:hint="eastAsia" w:ascii="Times New Roman" w:hAnsi="Times New Roman" w:eastAsia="宋体" w:cs="Times New Roman"/>
                <w:color w:val="auto"/>
                <w:sz w:val="24"/>
                <w:szCs w:val="24"/>
                <w:lang w:val="en-US" w:eastAsia="zh-CN"/>
              </w:rPr>
              <w:drawing>
                <wp:inline distT="0" distB="0" distL="114300" distR="114300">
                  <wp:extent cx="5417185" cy="3245485"/>
                  <wp:effectExtent l="0" t="0" r="12065" b="12065"/>
                  <wp:docPr id="18" name="图片 18" descr="9fd3a6d4-46b8-47d5-b915-dd79de1c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fd3a6d4-46b8-47d5-b915-dd79de1c0913"/>
                          <pic:cNvPicPr>
                            <a:picLocks noChangeAspect="1"/>
                          </pic:cNvPicPr>
                        </pic:nvPicPr>
                        <pic:blipFill>
                          <a:blip r:embed="rId17"/>
                          <a:stretch>
                            <a:fillRect/>
                          </a:stretch>
                        </pic:blipFill>
                        <pic:spPr>
                          <a:xfrm>
                            <a:off x="0" y="0"/>
                            <a:ext cx="5417185" cy="3245485"/>
                          </a:xfrm>
                          <a:prstGeom prst="rect">
                            <a:avLst/>
                          </a:prstGeom>
                        </pic:spPr>
                      </pic:pic>
                    </a:graphicData>
                  </a:graphic>
                </wp:inline>
              </w:drawing>
            </w:r>
          </w:p>
          <w:p w14:paraId="71637E7F">
            <w:pPr>
              <w:pageBreakBefore w:val="0"/>
              <w:kinsoku/>
              <w:wordWrap/>
              <w:overflowPunct/>
              <w:topLinePunct w:val="0"/>
              <w:autoSpaceDE/>
              <w:autoSpaceDN/>
              <w:bidi w:val="0"/>
              <w:adjustRightInd/>
              <w:snapToGrid/>
              <w:spacing w:line="360" w:lineRule="auto"/>
              <w:ind w:left="0" w:right="0" w:firstLine="482" w:firstLineChars="200"/>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sz w:val="24"/>
                <w:szCs w:val="24"/>
                <w:lang w:val="en-US" w:eastAsia="zh-CN"/>
              </w:rPr>
              <w:t xml:space="preserve">图3-1 </w:t>
            </w:r>
            <w:r>
              <w:rPr>
                <w:rFonts w:hint="default" w:ascii="Times New Roman" w:hAnsi="Times New Roman" w:eastAsia="宋体" w:cs="Times New Roman"/>
                <w:b/>
                <w:bCs/>
                <w:color w:val="auto"/>
                <w:kern w:val="0"/>
                <w:sz w:val="24"/>
                <w:szCs w:val="24"/>
                <w:highlight w:val="none"/>
                <w:lang w:val="en-US" w:eastAsia="zh-CN" w:bidi="ar-SA"/>
              </w:rPr>
              <w:t>引用监测数据点位</w:t>
            </w:r>
          </w:p>
          <w:p w14:paraId="59C9210E">
            <w:pPr>
              <w:pStyle w:val="3"/>
              <w:pageBreakBefore w:val="0"/>
              <w:kinsoku/>
              <w:wordWrap/>
              <w:overflowPunct/>
              <w:autoSpaceDE/>
              <w:autoSpaceDN/>
              <w:bidi w:val="0"/>
              <w:adjustRightInd/>
              <w:snapToGrid/>
              <w:ind w:left="0"/>
              <w:rPr>
                <w:rFonts w:hint="default"/>
                <w:color w:val="auto"/>
                <w:lang w:val="en-US" w:eastAsia="zh-CN"/>
              </w:rPr>
            </w:pPr>
          </w:p>
          <w:p w14:paraId="392A720B">
            <w:pPr>
              <w:pageBreakBefore w:val="0"/>
              <w:kinsoku/>
              <w:wordWrap/>
              <w:overflowPunct/>
              <w:topLinePunct w:val="0"/>
              <w:autoSpaceDE/>
              <w:autoSpaceDN/>
              <w:bidi w:val="0"/>
              <w:adjustRightInd/>
              <w:snapToGrid/>
              <w:spacing w:line="360" w:lineRule="auto"/>
              <w:ind w:left="0" w:right="0" w:firstLine="482" w:firstLineChars="200"/>
              <w:rPr>
                <w:b/>
                <w:color w:val="auto"/>
                <w:sz w:val="24"/>
              </w:rPr>
            </w:pPr>
            <w:r>
              <w:rPr>
                <w:b/>
                <w:color w:val="auto"/>
                <w:sz w:val="24"/>
              </w:rPr>
              <w:t>二、地表水环境</w:t>
            </w:r>
          </w:p>
          <w:p w14:paraId="722766F2">
            <w:pPr>
              <w:pageBreakBefore w:val="0"/>
              <w:kinsoku/>
              <w:wordWrap/>
              <w:overflowPunct/>
              <w:topLinePunct w:val="0"/>
              <w:autoSpaceDE/>
              <w:autoSpaceDN/>
              <w:bidi w:val="0"/>
              <w:adjustRightInd/>
              <w:snapToGrid/>
              <w:spacing w:line="360" w:lineRule="auto"/>
              <w:ind w:left="0" w:right="0" w:firstLine="480" w:firstLineChars="200"/>
              <w:rPr>
                <w:color w:val="auto"/>
                <w:sz w:val="24"/>
              </w:rPr>
            </w:pPr>
            <w:r>
              <w:rPr>
                <w:color w:val="auto"/>
                <w:sz w:val="24"/>
              </w:rPr>
              <w:t>根据建设项目环境影响报告表编制技术指南（污染影响类）</w:t>
            </w:r>
            <w:r>
              <w:rPr>
                <w:rFonts w:hint="eastAsia"/>
                <w:color w:val="auto"/>
                <w:sz w:val="24"/>
              </w:rPr>
              <w:t>，</w:t>
            </w:r>
            <w:r>
              <w:rPr>
                <w:color w:val="auto"/>
                <w:sz w:val="24"/>
              </w:rPr>
              <w:t>水环境质量现状调查应优先采用国务院生态环境保护主管部门统一发布的水环境状况信息。</w:t>
            </w:r>
          </w:p>
          <w:p w14:paraId="69CEF9B0">
            <w:pPr>
              <w:keepNext/>
              <w:keepLines/>
              <w:pageBreakBefore w:val="0"/>
              <w:kinsoku/>
              <w:wordWrap/>
              <w:overflowPunct/>
              <w:topLinePunct w:val="0"/>
              <w:autoSpaceDE/>
              <w:autoSpaceDN/>
              <w:bidi w:val="0"/>
              <w:adjustRightInd/>
              <w:snapToGrid/>
              <w:spacing w:line="360" w:lineRule="auto"/>
              <w:ind w:left="0" w:right="0" w:firstLine="480" w:firstLineChars="200"/>
              <w:rPr>
                <w:rFonts w:hint="eastAsia"/>
                <w:color w:val="auto"/>
                <w:sz w:val="24"/>
                <w:lang w:eastAsia="zh-CN"/>
              </w:rPr>
            </w:pPr>
            <w:r>
              <w:rPr>
                <w:color w:val="auto"/>
                <w:sz w:val="24"/>
              </w:rPr>
              <w:t>本项目位于</w:t>
            </w:r>
            <w:r>
              <w:rPr>
                <w:rFonts w:hint="eastAsia"/>
                <w:color w:val="auto"/>
                <w:sz w:val="24"/>
                <w:lang w:eastAsia="zh-CN"/>
              </w:rPr>
              <w:t>金寨县青山镇毛竹工业园</w:t>
            </w:r>
            <w:r>
              <w:rPr>
                <w:color w:val="auto"/>
                <w:sz w:val="24"/>
              </w:rPr>
              <w:t>，</w:t>
            </w:r>
            <w:r>
              <w:rPr>
                <w:rFonts w:hint="eastAsia"/>
                <w:color w:val="auto"/>
                <w:sz w:val="24"/>
              </w:rPr>
              <w:t>本评价引用</w:t>
            </w:r>
            <w:r>
              <w:rPr>
                <w:rFonts w:hint="default" w:ascii="Times New Roman" w:hAnsi="Times New Roman" w:eastAsia="宋体" w:cs="Times New Roman"/>
                <w:color w:val="auto"/>
                <w:sz w:val="24"/>
                <w:szCs w:val="24"/>
                <w:lang w:eastAsia="zh-CN"/>
              </w:rPr>
              <w:t>六安市金寨县生态环境分局</w:t>
            </w:r>
            <w:r>
              <w:rPr>
                <w:rFonts w:hint="default" w:ascii="Times New Roman" w:hAnsi="Times New Roman" w:eastAsia="宋体" w:cs="Times New Roman"/>
                <w:color w:val="auto"/>
                <w:sz w:val="24"/>
                <w:szCs w:val="24"/>
                <w:lang w:val="en-US" w:eastAsia="zh-CN"/>
              </w:rPr>
              <w:t>发布的</w:t>
            </w:r>
            <w:r>
              <w:rPr>
                <w:rFonts w:hint="default" w:ascii="Times New Roman" w:hAnsi="Times New Roman" w:eastAsia="宋体" w:cs="Times New Roman"/>
                <w:color w:val="auto"/>
                <w:sz w:val="24"/>
                <w:szCs w:val="24"/>
                <w:lang w:eastAsia="zh-CN"/>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年金寨县环境质量年报》</w:t>
            </w:r>
            <w:r>
              <w:rPr>
                <w:rFonts w:hint="eastAsia" w:cs="Times New Roman"/>
                <w:color w:val="auto"/>
                <w:sz w:val="24"/>
                <w:szCs w:val="24"/>
                <w:lang w:eastAsia="zh-CN"/>
              </w:rPr>
              <w:t>中内容</w:t>
            </w:r>
            <w:r>
              <w:rPr>
                <w:rFonts w:hint="eastAsia"/>
                <w:color w:val="auto"/>
                <w:sz w:val="24"/>
                <w:lang w:eastAsia="zh-CN"/>
              </w:rPr>
              <w:t>，2024年金寨县国控监测断面共5个，总体水质状况良好，水质年均达到Ⅱ类，均达到考核目标要求。</w:t>
            </w:r>
          </w:p>
          <w:p w14:paraId="622CF3E3">
            <w:pPr>
              <w:pageBreakBefore w:val="0"/>
              <w:kinsoku/>
              <w:wordWrap/>
              <w:overflowPunct/>
              <w:topLinePunct w:val="0"/>
              <w:autoSpaceDE/>
              <w:autoSpaceDN/>
              <w:bidi w:val="0"/>
              <w:adjustRightInd/>
              <w:snapToGrid/>
              <w:spacing w:line="360" w:lineRule="auto"/>
              <w:ind w:left="0" w:right="0" w:firstLine="482" w:firstLineChars="200"/>
              <w:rPr>
                <w:b/>
                <w:color w:val="auto"/>
                <w:sz w:val="24"/>
              </w:rPr>
            </w:pPr>
            <w:r>
              <w:rPr>
                <w:b/>
                <w:color w:val="auto"/>
                <w:sz w:val="24"/>
              </w:rPr>
              <w:t>三、声环境</w:t>
            </w:r>
          </w:p>
          <w:p w14:paraId="4B037D37">
            <w:pPr>
              <w:spacing w:line="360" w:lineRule="auto"/>
              <w:ind w:firstLine="480" w:firstLineChars="200"/>
              <w:rPr>
                <w:rFonts w:hint="eastAsia" w:eastAsia="宋体"/>
                <w:color w:val="auto"/>
                <w:sz w:val="24"/>
                <w:lang w:eastAsia="zh-CN"/>
              </w:rPr>
            </w:pPr>
            <w:r>
              <w:rPr>
                <w:color w:val="auto"/>
                <w:sz w:val="24"/>
              </w:rPr>
              <w:t>经现场勘查，本项目周边50m范围内</w:t>
            </w:r>
            <w:r>
              <w:rPr>
                <w:rFonts w:hint="eastAsia"/>
                <w:color w:val="auto"/>
                <w:sz w:val="24"/>
                <w:lang w:val="en-US" w:eastAsia="zh-CN"/>
              </w:rPr>
              <w:t>有2处敏感点</w:t>
            </w:r>
            <w:r>
              <w:rPr>
                <w:color w:val="auto"/>
                <w:sz w:val="24"/>
              </w:rPr>
              <w:t>，</w:t>
            </w:r>
            <w:r>
              <w:rPr>
                <w:rFonts w:hint="default" w:ascii="Times New Roman" w:hAnsi="Times New Roman" w:cs="Times New Roman"/>
                <w:color w:val="auto"/>
                <w:sz w:val="24"/>
              </w:rPr>
              <w:t>本次评价委托</w:t>
            </w:r>
            <w:r>
              <w:rPr>
                <w:rFonts w:hint="eastAsia" w:ascii="Times New Roman" w:hAnsi="Times New Roman" w:eastAsia="宋体" w:cs="Times New Roman"/>
                <w:color w:val="auto"/>
                <w:kern w:val="24"/>
                <w:sz w:val="24"/>
                <w:lang w:eastAsia="zh-CN"/>
              </w:rPr>
              <w:t>安徽</w:t>
            </w:r>
            <w:r>
              <w:rPr>
                <w:rFonts w:hint="eastAsia" w:cs="Times New Roman"/>
                <w:color w:val="auto"/>
                <w:kern w:val="24"/>
                <w:sz w:val="24"/>
                <w:lang w:eastAsia="zh-CN"/>
              </w:rPr>
              <w:t>思谱检测</w:t>
            </w:r>
            <w:r>
              <w:rPr>
                <w:rFonts w:hint="eastAsia" w:ascii="Times New Roman" w:hAnsi="Times New Roman" w:eastAsia="宋体" w:cs="Times New Roman"/>
                <w:color w:val="auto"/>
                <w:kern w:val="24"/>
                <w:sz w:val="24"/>
                <w:lang w:eastAsia="zh-CN"/>
              </w:rPr>
              <w:t>有限责任公司</w:t>
            </w:r>
            <w:r>
              <w:rPr>
                <w:rFonts w:hint="default" w:ascii="Times New Roman" w:hAnsi="Times New Roman" w:cs="Times New Roman"/>
                <w:color w:val="auto"/>
                <w:sz w:val="24"/>
              </w:rPr>
              <w:t>进行现状监测，现状监测共在项目</w:t>
            </w:r>
            <w:r>
              <w:rPr>
                <w:rFonts w:hint="default" w:ascii="Times New Roman" w:hAnsi="Times New Roman" w:cs="Times New Roman"/>
                <w:color w:val="auto"/>
                <w:sz w:val="24"/>
                <w:highlight w:val="none"/>
              </w:rPr>
              <w:t>区东、西、南、北面场界外1米</w:t>
            </w:r>
            <w:r>
              <w:rPr>
                <w:rFonts w:hint="eastAsia" w:cs="Times New Roman"/>
                <w:color w:val="auto"/>
                <w:sz w:val="24"/>
                <w:highlight w:val="none"/>
                <w:lang w:val="en-US" w:eastAsia="zh-CN"/>
              </w:rPr>
              <w:t>和2处敏感点</w:t>
            </w:r>
            <w:r>
              <w:rPr>
                <w:rFonts w:hint="default" w:ascii="Times New Roman" w:hAnsi="Times New Roman" w:cs="Times New Roman"/>
                <w:color w:val="auto"/>
                <w:sz w:val="24"/>
                <w:highlight w:val="none"/>
              </w:rPr>
              <w:t>各设1个噪声监测点。</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年</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月</w:t>
            </w:r>
            <w:r>
              <w:rPr>
                <w:rFonts w:hint="eastAsia" w:ascii="Times New Roman" w:hAnsi="Times New Roman" w:eastAsia="宋体" w:cs="Times New Roman"/>
                <w:color w:val="auto"/>
                <w:sz w:val="24"/>
                <w:lang w:val="en-US" w:eastAsia="zh-CN"/>
              </w:rPr>
              <w:t>9</w:t>
            </w:r>
            <w:r>
              <w:rPr>
                <w:rFonts w:hint="default" w:ascii="Times New Roman" w:hAnsi="Times New Roman" w:cs="Times New Roman"/>
                <w:color w:val="auto"/>
                <w:sz w:val="24"/>
              </w:rPr>
              <w:t>日</w:t>
            </w:r>
            <w:r>
              <w:rPr>
                <w:rFonts w:hint="eastAsia" w:ascii="Times New Roman" w:hAnsi="Times New Roman" w:eastAsia="宋体" w:cs="Times New Roman"/>
                <w:color w:val="auto"/>
                <w:kern w:val="24"/>
                <w:sz w:val="24"/>
                <w:lang w:eastAsia="zh-CN"/>
              </w:rPr>
              <w:t>安徽</w:t>
            </w:r>
            <w:r>
              <w:rPr>
                <w:rFonts w:hint="eastAsia" w:cs="Times New Roman"/>
                <w:color w:val="auto"/>
                <w:kern w:val="24"/>
                <w:sz w:val="24"/>
                <w:lang w:eastAsia="zh-CN"/>
              </w:rPr>
              <w:t>思谱检测</w:t>
            </w:r>
            <w:r>
              <w:rPr>
                <w:rFonts w:hint="eastAsia" w:ascii="Times New Roman" w:hAnsi="Times New Roman" w:eastAsia="宋体" w:cs="Times New Roman"/>
                <w:color w:val="auto"/>
                <w:kern w:val="24"/>
                <w:sz w:val="24"/>
                <w:lang w:eastAsia="zh-CN"/>
              </w:rPr>
              <w:t>有限责任公司对</w:t>
            </w:r>
            <w:r>
              <w:rPr>
                <w:rFonts w:hint="default" w:ascii="Times New Roman" w:hAnsi="Times New Roman" w:cs="Times New Roman"/>
                <w:color w:val="auto"/>
                <w:sz w:val="24"/>
              </w:rPr>
              <w:t>昼间</w:t>
            </w:r>
            <w:r>
              <w:rPr>
                <w:rFonts w:hint="eastAsia" w:ascii="Times New Roman" w:hAnsi="Times New Roman" w:cs="Times New Roman"/>
                <w:color w:val="auto"/>
                <w:sz w:val="24"/>
                <w:lang w:eastAsia="zh-CN"/>
              </w:rPr>
              <w:t>噪声进行</w:t>
            </w:r>
            <w:r>
              <w:rPr>
                <w:rFonts w:hint="default" w:ascii="Times New Roman" w:hAnsi="Times New Roman" w:cs="Times New Roman"/>
                <w:color w:val="auto"/>
                <w:sz w:val="24"/>
              </w:rPr>
              <w:t>监测，</w:t>
            </w:r>
            <w:r>
              <w:rPr>
                <w:rFonts w:hint="eastAsia" w:ascii="Times New Roman" w:hAnsi="Times New Roman" w:cs="Times New Roman"/>
                <w:color w:val="auto"/>
                <w:sz w:val="24"/>
                <w:lang w:eastAsia="zh-CN"/>
              </w:rPr>
              <w:t>监测结果见下表：</w:t>
            </w:r>
          </w:p>
          <w:p w14:paraId="3671A53C">
            <w:pPr>
              <w:keepNext w:val="0"/>
              <w:keepLines w:val="0"/>
              <w:pageBreakBefore w:val="0"/>
              <w:widowControl/>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表3-</w:t>
            </w:r>
            <w:r>
              <w:rPr>
                <w:rFonts w:hint="eastAsia" w:cs="Times New Roman"/>
                <w:b/>
                <w:color w:val="auto"/>
                <w:kern w:val="0"/>
                <w:sz w:val="24"/>
                <w:szCs w:val="24"/>
                <w:lang w:val="en-US" w:eastAsia="zh-CN"/>
              </w:rPr>
              <w:t>3</w:t>
            </w:r>
            <w:r>
              <w:rPr>
                <w:rFonts w:hint="default" w:ascii="Times New Roman" w:hAnsi="Times New Roman" w:cs="Times New Roman"/>
                <w:b/>
                <w:color w:val="auto"/>
                <w:kern w:val="0"/>
                <w:sz w:val="24"/>
                <w:szCs w:val="24"/>
              </w:rPr>
              <w:t xml:space="preserve"> 噪声监测结果</w:t>
            </w:r>
            <w:r>
              <w:rPr>
                <w:rFonts w:hint="eastAsia"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3313"/>
              <w:gridCol w:w="3038"/>
            </w:tblGrid>
            <w:tr w14:paraId="21B5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8" w:type="pct"/>
                  <w:noWrap w:val="0"/>
                  <w:vAlign w:val="center"/>
                </w:tcPr>
                <w:p w14:paraId="23C166B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default" w:ascii="Times New Roman" w:hAnsi="Times New Roman" w:eastAsia="宋体" w:cs="宋体"/>
                      <w:i w:val="0"/>
                      <w:color w:val="auto"/>
                      <w:kern w:val="0"/>
                      <w:sz w:val="21"/>
                      <w:szCs w:val="21"/>
                      <w:highlight w:val="none"/>
                      <w:u w:val="none"/>
                      <w:lang w:val="en-US" w:eastAsia="zh-CN" w:bidi="ar"/>
                    </w:rPr>
                    <w:t>监测</w:t>
                  </w:r>
                  <w:r>
                    <w:rPr>
                      <w:rFonts w:hint="eastAsia" w:ascii="Times New Roman" w:hAnsi="Times New Roman" w:eastAsia="宋体" w:cs="宋体"/>
                      <w:i w:val="0"/>
                      <w:color w:val="auto"/>
                      <w:kern w:val="0"/>
                      <w:sz w:val="21"/>
                      <w:szCs w:val="21"/>
                      <w:highlight w:val="none"/>
                      <w:u w:val="none"/>
                      <w:lang w:val="en-US" w:eastAsia="zh-CN" w:bidi="ar"/>
                    </w:rPr>
                    <w:t>点编号</w:t>
                  </w:r>
                </w:p>
              </w:tc>
              <w:tc>
                <w:tcPr>
                  <w:tcW w:w="1941" w:type="pct"/>
                  <w:noWrap w:val="0"/>
                  <w:vAlign w:val="center"/>
                </w:tcPr>
                <w:p w14:paraId="3BC418C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default" w:ascii="Times New Roman" w:hAnsi="Times New Roman" w:eastAsia="宋体" w:cs="宋体"/>
                      <w:i w:val="0"/>
                      <w:color w:val="auto"/>
                      <w:kern w:val="0"/>
                      <w:sz w:val="21"/>
                      <w:szCs w:val="21"/>
                      <w:highlight w:val="none"/>
                      <w:u w:val="none"/>
                      <w:lang w:val="en-US" w:eastAsia="zh-CN" w:bidi="ar"/>
                    </w:rPr>
                    <w:t>监测点位</w:t>
                  </w:r>
                </w:p>
              </w:tc>
              <w:tc>
                <w:tcPr>
                  <w:tcW w:w="1780" w:type="pct"/>
                  <w:noWrap w:val="0"/>
                  <w:vAlign w:val="center"/>
                </w:tcPr>
                <w:p w14:paraId="671C6E2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default" w:ascii="Times New Roman" w:hAnsi="Times New Roman" w:eastAsia="宋体" w:cs="宋体"/>
                      <w:i w:val="0"/>
                      <w:color w:val="auto"/>
                      <w:kern w:val="0"/>
                      <w:sz w:val="21"/>
                      <w:szCs w:val="21"/>
                      <w:highlight w:val="none"/>
                      <w:u w:val="none"/>
                      <w:lang w:val="en-US" w:eastAsia="zh-CN" w:bidi="ar"/>
                    </w:rPr>
                    <w:t>昼间</w:t>
                  </w:r>
                </w:p>
              </w:tc>
            </w:tr>
            <w:tr w14:paraId="72D1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8" w:type="pct"/>
                  <w:noWrap w:val="0"/>
                  <w:vAlign w:val="center"/>
                </w:tcPr>
                <w:p w14:paraId="3821D2C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N1</w:t>
                  </w:r>
                </w:p>
              </w:tc>
              <w:tc>
                <w:tcPr>
                  <w:tcW w:w="1941" w:type="pct"/>
                  <w:noWrap w:val="0"/>
                  <w:vAlign w:val="center"/>
                </w:tcPr>
                <w:p w14:paraId="263EF3A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场界外东侧1m</w:t>
                  </w:r>
                </w:p>
              </w:tc>
              <w:tc>
                <w:tcPr>
                  <w:tcW w:w="1780" w:type="pct"/>
                  <w:noWrap w:val="0"/>
                  <w:vAlign w:val="center"/>
                </w:tcPr>
                <w:p w14:paraId="6A0731B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46</w:t>
                  </w:r>
                </w:p>
              </w:tc>
            </w:tr>
            <w:tr w14:paraId="4D84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8" w:type="pct"/>
                  <w:noWrap w:val="0"/>
                  <w:vAlign w:val="center"/>
                </w:tcPr>
                <w:p w14:paraId="483AD4D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N2</w:t>
                  </w:r>
                </w:p>
              </w:tc>
              <w:tc>
                <w:tcPr>
                  <w:tcW w:w="1941" w:type="pct"/>
                  <w:noWrap w:val="0"/>
                  <w:vAlign w:val="center"/>
                </w:tcPr>
                <w:p w14:paraId="776EE20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eastAsia"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场界外南侧1m</w:t>
                  </w:r>
                </w:p>
              </w:tc>
              <w:tc>
                <w:tcPr>
                  <w:tcW w:w="1780" w:type="pct"/>
                  <w:noWrap w:val="0"/>
                  <w:vAlign w:val="center"/>
                </w:tcPr>
                <w:p w14:paraId="68A546B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42</w:t>
                  </w:r>
                </w:p>
              </w:tc>
            </w:tr>
            <w:tr w14:paraId="03BE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8" w:type="pct"/>
                  <w:noWrap w:val="0"/>
                  <w:vAlign w:val="center"/>
                </w:tcPr>
                <w:p w14:paraId="0738698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N3</w:t>
                  </w:r>
                </w:p>
              </w:tc>
              <w:tc>
                <w:tcPr>
                  <w:tcW w:w="1941" w:type="pct"/>
                  <w:noWrap w:val="0"/>
                  <w:vAlign w:val="center"/>
                </w:tcPr>
                <w:p w14:paraId="637A242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eastAsia"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场界外西侧1m</w:t>
                  </w:r>
                </w:p>
              </w:tc>
              <w:tc>
                <w:tcPr>
                  <w:tcW w:w="1780" w:type="pct"/>
                  <w:noWrap w:val="0"/>
                  <w:vAlign w:val="center"/>
                </w:tcPr>
                <w:p w14:paraId="1123BAD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43</w:t>
                  </w:r>
                </w:p>
              </w:tc>
            </w:tr>
            <w:tr w14:paraId="2C61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8" w:type="pct"/>
                  <w:noWrap w:val="0"/>
                  <w:vAlign w:val="center"/>
                </w:tcPr>
                <w:p w14:paraId="733F380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N4</w:t>
                  </w:r>
                </w:p>
              </w:tc>
              <w:tc>
                <w:tcPr>
                  <w:tcW w:w="1941" w:type="pct"/>
                  <w:noWrap w:val="0"/>
                  <w:vAlign w:val="center"/>
                </w:tcPr>
                <w:p w14:paraId="1028162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eastAsia"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场界外北侧1m</w:t>
                  </w:r>
                </w:p>
              </w:tc>
              <w:tc>
                <w:tcPr>
                  <w:tcW w:w="1780" w:type="pct"/>
                  <w:noWrap w:val="0"/>
                  <w:vAlign w:val="center"/>
                </w:tcPr>
                <w:p w14:paraId="21744B1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47</w:t>
                  </w:r>
                </w:p>
              </w:tc>
            </w:tr>
            <w:tr w14:paraId="3804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8" w:type="pct"/>
                  <w:noWrap w:val="0"/>
                  <w:vAlign w:val="center"/>
                </w:tcPr>
                <w:p w14:paraId="5F9ADFB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N5</w:t>
                  </w:r>
                </w:p>
              </w:tc>
              <w:tc>
                <w:tcPr>
                  <w:tcW w:w="1941" w:type="pct"/>
                  <w:noWrap w:val="0"/>
                  <w:vAlign w:val="center"/>
                </w:tcPr>
                <w:p w14:paraId="6A1518F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eastAsia"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场界外东侧散户</w:t>
                  </w:r>
                </w:p>
              </w:tc>
              <w:tc>
                <w:tcPr>
                  <w:tcW w:w="1780" w:type="pct"/>
                  <w:noWrap w:val="0"/>
                  <w:vAlign w:val="center"/>
                </w:tcPr>
                <w:p w14:paraId="05BE0B2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48</w:t>
                  </w:r>
                </w:p>
              </w:tc>
            </w:tr>
            <w:tr w14:paraId="32E6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8" w:type="pct"/>
                  <w:noWrap w:val="0"/>
                  <w:vAlign w:val="center"/>
                </w:tcPr>
                <w:p w14:paraId="1694972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N6</w:t>
                  </w:r>
                </w:p>
              </w:tc>
              <w:tc>
                <w:tcPr>
                  <w:tcW w:w="1941" w:type="pct"/>
                  <w:noWrap w:val="0"/>
                  <w:vAlign w:val="center"/>
                </w:tcPr>
                <w:p w14:paraId="078C42B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eastAsia"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场界外北侧散户</w:t>
                  </w:r>
                </w:p>
              </w:tc>
              <w:tc>
                <w:tcPr>
                  <w:tcW w:w="1780" w:type="pct"/>
                  <w:noWrap w:val="0"/>
                  <w:vAlign w:val="center"/>
                </w:tcPr>
                <w:p w14:paraId="37C423A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41</w:t>
                  </w:r>
                </w:p>
              </w:tc>
            </w:tr>
            <w:tr w14:paraId="0CDF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9" w:type="pct"/>
                  <w:gridSpan w:val="2"/>
                  <w:noWrap w:val="0"/>
                  <w:vAlign w:val="center"/>
                </w:tcPr>
                <w:p w14:paraId="2A175E9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eastAsia"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标准限值</w:t>
                  </w:r>
                </w:p>
              </w:tc>
              <w:tc>
                <w:tcPr>
                  <w:tcW w:w="1780" w:type="pct"/>
                  <w:noWrap w:val="0"/>
                  <w:vAlign w:val="center"/>
                </w:tcPr>
                <w:p w14:paraId="22C17DE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rPr>
                      <w:rFonts w:hint="default" w:ascii="Times New Roman" w:hAnsi="Times New Roman" w:eastAsia="宋体" w:cs="宋体"/>
                      <w:i w:val="0"/>
                      <w:color w:val="auto"/>
                      <w:kern w:val="0"/>
                      <w:sz w:val="21"/>
                      <w:szCs w:val="21"/>
                      <w:highlight w:val="none"/>
                      <w:u w:val="none"/>
                      <w:lang w:val="en-US" w:eastAsia="zh-CN" w:bidi="ar"/>
                    </w:rPr>
                  </w:pPr>
                  <w:r>
                    <w:rPr>
                      <w:rFonts w:hint="eastAsia" w:cs="宋体"/>
                      <w:i w:val="0"/>
                      <w:color w:val="auto"/>
                      <w:kern w:val="0"/>
                      <w:sz w:val="21"/>
                      <w:szCs w:val="21"/>
                      <w:highlight w:val="none"/>
                      <w:u w:val="none"/>
                      <w:lang w:val="en-US" w:eastAsia="zh-CN" w:bidi="ar"/>
                    </w:rPr>
                    <w:t>60</w:t>
                  </w:r>
                </w:p>
              </w:tc>
            </w:tr>
          </w:tbl>
          <w:p w14:paraId="54BE694D">
            <w:pPr>
              <w:pageBreakBefore w:val="0"/>
              <w:tabs>
                <w:tab w:val="left" w:pos="452"/>
              </w:tabs>
              <w:kinsoku/>
              <w:wordWrap/>
              <w:overflowPunct/>
              <w:topLinePunct w:val="0"/>
              <w:autoSpaceDE/>
              <w:autoSpaceDN/>
              <w:bidi w:val="0"/>
              <w:adjustRightInd/>
              <w:snapToGrid/>
              <w:spacing w:line="360" w:lineRule="auto"/>
              <w:ind w:right="0" w:firstLine="480" w:firstLineChars="200"/>
              <w:rPr>
                <w:b/>
                <w:color w:val="auto"/>
                <w:sz w:val="24"/>
              </w:rPr>
            </w:pPr>
            <w:r>
              <w:rPr>
                <w:rFonts w:hint="eastAsia" w:ascii="Times New Roman" w:hAnsi="Times New Roman" w:eastAsia="宋体" w:cs="Times New Roman"/>
                <w:color w:val="auto"/>
                <w:sz w:val="24"/>
              </w:rPr>
              <w:t>由项目区域环境噪声监测结果可以看出：项目</w:t>
            </w:r>
            <w:r>
              <w:rPr>
                <w:rFonts w:hint="eastAsia" w:ascii="Times New Roman" w:hAnsi="Times New Roman" w:eastAsia="宋体" w:cs="Times New Roman"/>
                <w:color w:val="auto"/>
                <w:sz w:val="24"/>
                <w:lang w:val="en-US" w:eastAsia="zh-CN"/>
              </w:rPr>
              <w:t>50m范围内</w:t>
            </w:r>
            <w:r>
              <w:rPr>
                <w:rFonts w:hint="eastAsia" w:ascii="Times New Roman" w:hAnsi="Times New Roman" w:eastAsia="宋体" w:cs="Times New Roman"/>
                <w:color w:val="auto"/>
                <w:sz w:val="24"/>
              </w:rPr>
              <w:t>敏感点满足《声环境质量标准》（GB3096-2008）中2类标准</w:t>
            </w:r>
            <w:r>
              <w:rPr>
                <w:rFonts w:hint="eastAsia" w:ascii="Times New Roman" w:hAnsi="Times New Roman" w:eastAsia="宋体" w:cs="Times New Roman"/>
                <w:color w:val="auto"/>
                <w:sz w:val="24"/>
                <w:lang w:eastAsia="zh-CN"/>
              </w:rPr>
              <w:t>。</w:t>
            </w:r>
          </w:p>
          <w:p w14:paraId="437B929E">
            <w:pPr>
              <w:pageBreakBefore w:val="0"/>
              <w:tabs>
                <w:tab w:val="left" w:pos="452"/>
              </w:tabs>
              <w:kinsoku/>
              <w:wordWrap/>
              <w:overflowPunct/>
              <w:topLinePunct w:val="0"/>
              <w:autoSpaceDE/>
              <w:autoSpaceDN/>
              <w:bidi w:val="0"/>
              <w:adjustRightInd/>
              <w:snapToGrid/>
              <w:spacing w:line="360" w:lineRule="auto"/>
              <w:ind w:left="0" w:right="0" w:firstLine="482" w:firstLineChars="200"/>
              <w:rPr>
                <w:b/>
                <w:color w:val="auto"/>
                <w:sz w:val="24"/>
              </w:rPr>
            </w:pPr>
            <w:r>
              <w:rPr>
                <w:b/>
                <w:color w:val="auto"/>
                <w:sz w:val="24"/>
              </w:rPr>
              <w:t>四、生态环境质量现状</w:t>
            </w:r>
          </w:p>
          <w:p w14:paraId="4D75335A">
            <w:pPr>
              <w:pageBreakBefore w:val="0"/>
              <w:kinsoku/>
              <w:wordWrap/>
              <w:overflowPunct/>
              <w:topLinePunct w:val="0"/>
              <w:autoSpaceDE/>
              <w:autoSpaceDN/>
              <w:bidi w:val="0"/>
              <w:adjustRightInd/>
              <w:snapToGrid/>
              <w:spacing w:line="360" w:lineRule="auto"/>
              <w:ind w:left="0" w:right="0" w:firstLine="480" w:firstLineChars="200"/>
              <w:rPr>
                <w:color w:val="auto"/>
                <w:sz w:val="24"/>
              </w:rPr>
            </w:pPr>
            <w:r>
              <w:rPr>
                <w:color w:val="auto"/>
                <w:sz w:val="24"/>
              </w:rPr>
              <w:t>本项目位于安徽</w:t>
            </w:r>
            <w:r>
              <w:rPr>
                <w:rFonts w:hint="eastAsia"/>
                <w:color w:val="auto"/>
                <w:sz w:val="24"/>
                <w:lang w:eastAsia="zh-CN"/>
              </w:rPr>
              <w:t>金寨县青山镇毛竹工业园</w:t>
            </w:r>
            <w:r>
              <w:rPr>
                <w:color w:val="auto"/>
                <w:sz w:val="24"/>
              </w:rPr>
              <w:t>，项目为</w:t>
            </w:r>
            <w:r>
              <w:rPr>
                <w:rFonts w:hint="eastAsia"/>
                <w:color w:val="auto"/>
                <w:sz w:val="24"/>
                <w:lang w:eastAsia="zh-CN"/>
              </w:rPr>
              <w:t>工业</w:t>
            </w:r>
            <w:r>
              <w:rPr>
                <w:color w:val="auto"/>
                <w:sz w:val="24"/>
              </w:rPr>
              <w:t>用地，且周边无风景名胜区和文物古迹等生态环境保护目标，因此不需要开展生态环境质量现状</w:t>
            </w:r>
            <w:r>
              <w:rPr>
                <w:rFonts w:hint="eastAsia"/>
                <w:color w:val="auto"/>
                <w:sz w:val="24"/>
                <w:lang w:val="en-US" w:eastAsia="zh-CN"/>
              </w:rPr>
              <w:t>调查</w:t>
            </w:r>
            <w:r>
              <w:rPr>
                <w:rFonts w:hint="eastAsia"/>
                <w:color w:val="auto"/>
                <w:sz w:val="24"/>
              </w:rPr>
              <w:t>。</w:t>
            </w:r>
          </w:p>
          <w:p w14:paraId="16B24CBD">
            <w:pPr>
              <w:pageBreakBefore w:val="0"/>
              <w:tabs>
                <w:tab w:val="left" w:pos="452"/>
              </w:tabs>
              <w:kinsoku/>
              <w:wordWrap/>
              <w:overflowPunct/>
              <w:topLinePunct w:val="0"/>
              <w:autoSpaceDE/>
              <w:autoSpaceDN/>
              <w:bidi w:val="0"/>
              <w:adjustRightInd/>
              <w:snapToGrid/>
              <w:spacing w:line="360" w:lineRule="auto"/>
              <w:ind w:left="0" w:right="0" w:firstLine="482" w:firstLineChars="200"/>
              <w:rPr>
                <w:b/>
                <w:color w:val="auto"/>
                <w:sz w:val="24"/>
              </w:rPr>
            </w:pPr>
            <w:r>
              <w:rPr>
                <w:rFonts w:hint="eastAsia"/>
                <w:b/>
                <w:color w:val="auto"/>
                <w:sz w:val="24"/>
              </w:rPr>
              <w:t>五</w:t>
            </w:r>
            <w:r>
              <w:rPr>
                <w:b/>
                <w:color w:val="auto"/>
                <w:sz w:val="24"/>
              </w:rPr>
              <w:t>、电磁辐射</w:t>
            </w:r>
          </w:p>
          <w:p w14:paraId="65B30971">
            <w:pPr>
              <w:pageBreakBefore w:val="0"/>
              <w:kinsoku/>
              <w:wordWrap/>
              <w:overflowPunct/>
              <w:topLinePunct w:val="0"/>
              <w:autoSpaceDE/>
              <w:autoSpaceDN/>
              <w:bidi w:val="0"/>
              <w:adjustRightInd/>
              <w:snapToGrid/>
              <w:spacing w:line="360" w:lineRule="auto"/>
              <w:ind w:left="0" w:right="0" w:firstLine="480" w:firstLineChars="200"/>
              <w:rPr>
                <w:color w:val="auto"/>
                <w:sz w:val="24"/>
              </w:rPr>
            </w:pPr>
            <w:r>
              <w:rPr>
                <w:color w:val="auto"/>
                <w:sz w:val="24"/>
              </w:rPr>
              <w:t>本项目不属于广播电台、差转台、电视塔台、卫星地球上行站、雷达等电磁辐射类项目，不存在电磁辐射等污染，因此不需要开展电磁辐射现状监测与评价。</w:t>
            </w:r>
          </w:p>
          <w:p w14:paraId="79C78208">
            <w:pPr>
              <w:pageBreakBefore w:val="0"/>
              <w:tabs>
                <w:tab w:val="left" w:pos="452"/>
              </w:tabs>
              <w:kinsoku/>
              <w:wordWrap/>
              <w:overflowPunct/>
              <w:topLinePunct w:val="0"/>
              <w:autoSpaceDE/>
              <w:autoSpaceDN/>
              <w:bidi w:val="0"/>
              <w:adjustRightInd/>
              <w:snapToGrid/>
              <w:spacing w:line="360" w:lineRule="auto"/>
              <w:ind w:left="0" w:right="0" w:firstLine="482" w:firstLineChars="200"/>
              <w:rPr>
                <w:b/>
                <w:color w:val="auto"/>
                <w:sz w:val="24"/>
              </w:rPr>
            </w:pPr>
            <w:r>
              <w:rPr>
                <w:rFonts w:hint="eastAsia"/>
                <w:b/>
                <w:color w:val="auto"/>
                <w:sz w:val="24"/>
              </w:rPr>
              <w:t>六</w:t>
            </w:r>
            <w:r>
              <w:rPr>
                <w:b/>
                <w:color w:val="auto"/>
                <w:sz w:val="24"/>
              </w:rPr>
              <w:t>、地下水、土壤环境</w:t>
            </w:r>
          </w:p>
          <w:p w14:paraId="274DFAF7">
            <w:pPr>
              <w:pageBreakBefore w:val="0"/>
              <w:kinsoku/>
              <w:wordWrap/>
              <w:overflowPunct/>
              <w:topLinePunct w:val="0"/>
              <w:autoSpaceDE/>
              <w:autoSpaceDN/>
              <w:bidi w:val="0"/>
              <w:adjustRightInd/>
              <w:snapToGrid/>
              <w:spacing w:line="360" w:lineRule="auto"/>
              <w:ind w:left="0" w:right="0" w:firstLine="480" w:firstLineChars="200"/>
              <w:rPr>
                <w:rFonts w:hint="eastAsia"/>
                <w:color w:val="auto"/>
                <w:sz w:val="24"/>
                <w:lang w:val="en-US" w:eastAsia="zh-CN"/>
              </w:rPr>
            </w:pPr>
            <w:r>
              <w:rPr>
                <w:color w:val="auto"/>
                <w:sz w:val="24"/>
              </w:rPr>
              <w:t>根据《建设项目环境影响报告表编制技术指南（污染影响类）（试行）》，地下水、土壤环境原则上不开展环境质量现状调查。建设项目存在地下水、土壤环境污染途径的，应结合污染源、保护目标分布情况开展现状调查以留作背景值。本项目厂界外500m范围内不涉及地下水集中式饮用水水源和热水、矿泉水、温泉等特殊地下水资源等地下水环境敏感目标，本项目</w:t>
            </w:r>
            <w:r>
              <w:rPr>
                <w:rFonts w:hint="eastAsia"/>
                <w:color w:val="auto"/>
                <w:sz w:val="24"/>
                <w:lang w:eastAsia="zh-CN"/>
              </w:rPr>
              <w:t>危废间、化学品库均</w:t>
            </w:r>
            <w:r>
              <w:rPr>
                <w:rFonts w:hint="eastAsia"/>
                <w:color w:val="auto"/>
                <w:lang w:val="en-US" w:eastAsia="zh-CN"/>
              </w:rPr>
              <w:t>进行基础硬化和重点防渗，</w:t>
            </w:r>
            <w:r>
              <w:rPr>
                <w:color w:val="auto"/>
                <w:sz w:val="24"/>
              </w:rPr>
              <w:t>对地下水及土壤影响很小</w:t>
            </w:r>
            <w:r>
              <w:rPr>
                <w:rFonts w:hint="eastAsia"/>
                <w:color w:val="auto"/>
                <w:lang w:eastAsia="zh-CN"/>
              </w:rPr>
              <w:t>。</w:t>
            </w:r>
            <w:r>
              <w:rPr>
                <w:rFonts w:hint="eastAsia"/>
                <w:color w:val="auto"/>
                <w:sz w:val="24"/>
                <w:lang w:val="en-US" w:eastAsia="zh-CN"/>
              </w:rPr>
              <w:t xml:space="preserve">  </w:t>
            </w:r>
          </w:p>
          <w:p w14:paraId="17892AAA">
            <w:pPr>
              <w:pageBreakBefore w:val="0"/>
              <w:kinsoku/>
              <w:wordWrap/>
              <w:overflowPunct/>
              <w:topLinePunct w:val="0"/>
              <w:autoSpaceDE/>
              <w:autoSpaceDN/>
              <w:bidi w:val="0"/>
              <w:adjustRightInd/>
              <w:snapToGrid/>
              <w:spacing w:line="360" w:lineRule="auto"/>
              <w:ind w:left="0" w:right="0" w:firstLine="480" w:firstLineChars="200"/>
              <w:rPr>
                <w:color w:val="auto"/>
                <w:kern w:val="0"/>
                <w:szCs w:val="21"/>
              </w:rPr>
            </w:pPr>
            <w:r>
              <w:rPr>
                <w:color w:val="auto"/>
                <w:sz w:val="24"/>
              </w:rPr>
              <w:t>因此不需要开展地下水、土壤环境现状监测与评价。</w:t>
            </w:r>
          </w:p>
        </w:tc>
      </w:tr>
      <w:tr w14:paraId="3EC1B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Align w:val="center"/>
          </w:tcPr>
          <w:p w14:paraId="737C5340">
            <w:pPr>
              <w:pageBreakBefore w:val="0"/>
              <w:kinsoku/>
              <w:wordWrap/>
              <w:overflowPunct/>
              <w:topLinePunct w:val="0"/>
              <w:autoSpaceDE/>
              <w:autoSpaceDN/>
              <w:bidi w:val="0"/>
              <w:adjustRightInd/>
              <w:snapToGrid/>
              <w:spacing w:line="240" w:lineRule="auto"/>
              <w:ind w:left="0" w:right="0"/>
              <w:jc w:val="center"/>
              <w:rPr>
                <w:b/>
                <w:bCs/>
                <w:color w:val="auto"/>
                <w:kern w:val="0"/>
                <w:sz w:val="24"/>
              </w:rPr>
            </w:pPr>
            <w:r>
              <w:rPr>
                <w:b/>
                <w:bCs/>
                <w:color w:val="auto"/>
                <w:kern w:val="0"/>
                <w:sz w:val="24"/>
              </w:rPr>
              <w:t>环境</w:t>
            </w:r>
          </w:p>
          <w:p w14:paraId="4FF3A042">
            <w:pPr>
              <w:pageBreakBefore w:val="0"/>
              <w:kinsoku/>
              <w:wordWrap/>
              <w:overflowPunct/>
              <w:topLinePunct w:val="0"/>
              <w:autoSpaceDE/>
              <w:autoSpaceDN/>
              <w:bidi w:val="0"/>
              <w:adjustRightInd/>
              <w:snapToGrid/>
              <w:spacing w:line="240" w:lineRule="auto"/>
              <w:ind w:left="0" w:right="0"/>
              <w:jc w:val="center"/>
              <w:rPr>
                <w:b/>
                <w:bCs/>
                <w:color w:val="auto"/>
                <w:kern w:val="0"/>
                <w:sz w:val="24"/>
              </w:rPr>
            </w:pPr>
            <w:r>
              <w:rPr>
                <w:b/>
                <w:bCs/>
                <w:color w:val="auto"/>
                <w:kern w:val="0"/>
                <w:sz w:val="24"/>
              </w:rPr>
              <w:t>保护</w:t>
            </w:r>
          </w:p>
          <w:p w14:paraId="0779F7DB">
            <w:pPr>
              <w:pageBreakBefore w:val="0"/>
              <w:kinsoku/>
              <w:wordWrap/>
              <w:overflowPunct/>
              <w:topLinePunct w:val="0"/>
              <w:autoSpaceDE/>
              <w:autoSpaceDN/>
              <w:bidi w:val="0"/>
              <w:adjustRightInd/>
              <w:snapToGrid/>
              <w:spacing w:line="240" w:lineRule="auto"/>
              <w:ind w:left="0" w:right="0"/>
              <w:jc w:val="center"/>
              <w:rPr>
                <w:color w:val="auto"/>
                <w:kern w:val="0"/>
                <w:szCs w:val="21"/>
              </w:rPr>
            </w:pPr>
            <w:r>
              <w:rPr>
                <w:b/>
                <w:bCs/>
                <w:color w:val="auto"/>
                <w:kern w:val="0"/>
                <w:sz w:val="24"/>
              </w:rPr>
              <w:t>目标</w:t>
            </w:r>
          </w:p>
        </w:tc>
        <w:tc>
          <w:tcPr>
            <w:tcW w:w="4715" w:type="pct"/>
            <w:vAlign w:val="center"/>
          </w:tcPr>
          <w:p w14:paraId="28694C36">
            <w:pPr>
              <w:pageBreakBefore w:val="0"/>
              <w:kinsoku/>
              <w:wordWrap/>
              <w:overflowPunct/>
              <w:topLinePunct w:val="0"/>
              <w:autoSpaceDE/>
              <w:autoSpaceDN/>
              <w:bidi w:val="0"/>
              <w:adjustRightInd/>
              <w:snapToGrid/>
              <w:spacing w:line="360" w:lineRule="auto"/>
              <w:ind w:left="0" w:right="0" w:firstLine="482" w:firstLineChars="200"/>
              <w:rPr>
                <w:b/>
                <w:bCs/>
                <w:iCs/>
                <w:color w:val="auto"/>
                <w:sz w:val="24"/>
              </w:rPr>
            </w:pPr>
            <w:r>
              <w:rPr>
                <w:b/>
                <w:bCs/>
                <w:iCs/>
                <w:color w:val="auto"/>
                <w:sz w:val="24"/>
              </w:rPr>
              <w:t>1、大气环境保护目标</w:t>
            </w:r>
          </w:p>
          <w:p w14:paraId="1EF9A2AF">
            <w:pPr>
              <w:pageBreakBefore w:val="0"/>
              <w:kinsoku/>
              <w:wordWrap/>
              <w:overflowPunct/>
              <w:topLinePunct w:val="0"/>
              <w:autoSpaceDE/>
              <w:autoSpaceDN/>
              <w:bidi w:val="0"/>
              <w:adjustRightInd/>
              <w:snapToGrid/>
              <w:spacing w:line="360" w:lineRule="auto"/>
              <w:ind w:left="0" w:right="0" w:firstLine="480" w:firstLineChars="200"/>
              <w:rPr>
                <w:b/>
                <w:bCs/>
                <w:iCs/>
                <w:color w:val="auto"/>
                <w:sz w:val="24"/>
              </w:rPr>
            </w:pPr>
            <w:r>
              <w:rPr>
                <w:color w:val="auto"/>
                <w:kern w:val="0"/>
                <w:sz w:val="24"/>
              </w:rPr>
              <w:t>根据现场踏勘与调查，项目</w:t>
            </w:r>
            <w:r>
              <w:rPr>
                <w:rFonts w:hint="eastAsia"/>
                <w:color w:val="auto"/>
                <w:kern w:val="0"/>
                <w:sz w:val="24"/>
              </w:rPr>
              <w:t>厂界500m范围内</w:t>
            </w:r>
            <w:r>
              <w:rPr>
                <w:rFonts w:hint="eastAsia"/>
                <w:color w:val="auto"/>
                <w:kern w:val="0"/>
                <w:sz w:val="24"/>
                <w:lang w:val="en-US" w:eastAsia="zh-CN"/>
              </w:rPr>
              <w:t>有6处居民区</w:t>
            </w:r>
            <w:r>
              <w:rPr>
                <w:rFonts w:hint="eastAsia"/>
                <w:color w:val="auto"/>
                <w:kern w:val="0"/>
                <w:sz w:val="24"/>
              </w:rPr>
              <w:t>。</w:t>
            </w:r>
          </w:p>
          <w:p w14:paraId="09BBA3FB">
            <w:pPr>
              <w:keepNext w:val="0"/>
              <w:keepLines w:val="0"/>
              <w:pageBreakBefore w:val="0"/>
              <w:widowControl/>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表3-</w:t>
            </w:r>
            <w:r>
              <w:rPr>
                <w:rFonts w:hint="eastAsia" w:cs="Times New Roman"/>
                <w:b/>
                <w:color w:val="auto"/>
                <w:kern w:val="0"/>
                <w:sz w:val="24"/>
                <w:szCs w:val="24"/>
                <w:lang w:val="en-US" w:eastAsia="zh-CN"/>
              </w:rPr>
              <w:t>4</w:t>
            </w:r>
            <w:r>
              <w:rPr>
                <w:rFonts w:hint="default"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项目环境敏感保护目标一览表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6"/>
              <w:gridCol w:w="510"/>
              <w:gridCol w:w="964"/>
              <w:gridCol w:w="1253"/>
              <w:gridCol w:w="1170"/>
              <w:gridCol w:w="1065"/>
              <w:gridCol w:w="735"/>
              <w:gridCol w:w="870"/>
              <w:gridCol w:w="1260"/>
            </w:tblGrid>
            <w:tr w14:paraId="228A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6" w:type="dxa"/>
                  <w:vMerge w:val="restart"/>
                  <w:tcBorders>
                    <w:tl2br w:val="nil"/>
                    <w:tr2bl w:val="nil"/>
                  </w:tcBorders>
                  <w:noWrap w:val="0"/>
                  <w:vAlign w:val="center"/>
                </w:tcPr>
                <w:p w14:paraId="02301389">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510" w:type="dxa"/>
                  <w:vMerge w:val="restart"/>
                  <w:tcBorders>
                    <w:tl2br w:val="nil"/>
                    <w:tr2bl w:val="nil"/>
                  </w:tcBorders>
                  <w:noWrap w:val="0"/>
                  <w:vAlign w:val="center"/>
                </w:tcPr>
                <w:p w14:paraId="50BC48B9">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964" w:type="dxa"/>
                  <w:vMerge w:val="restart"/>
                  <w:tcBorders>
                    <w:tl2br w:val="nil"/>
                    <w:tr2bl w:val="nil"/>
                  </w:tcBorders>
                  <w:noWrap w:val="0"/>
                  <w:vAlign w:val="center"/>
                </w:tcPr>
                <w:p w14:paraId="2AC5587C">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主要保护目标</w:t>
                  </w:r>
                </w:p>
              </w:tc>
              <w:tc>
                <w:tcPr>
                  <w:tcW w:w="2423" w:type="dxa"/>
                  <w:gridSpan w:val="2"/>
                  <w:tcBorders>
                    <w:tl2br w:val="nil"/>
                    <w:tr2bl w:val="nil"/>
                  </w:tcBorders>
                  <w:noWrap w:val="0"/>
                  <w:vAlign w:val="center"/>
                </w:tcPr>
                <w:p w14:paraId="4FFFCC92">
                  <w:pPr>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kern w:val="0"/>
                      <w:sz w:val="21"/>
                      <w:szCs w:val="21"/>
                    </w:rPr>
                    <w:t>坐标</w:t>
                  </w:r>
                </w:p>
              </w:tc>
              <w:tc>
                <w:tcPr>
                  <w:tcW w:w="1065" w:type="dxa"/>
                  <w:vMerge w:val="restart"/>
                  <w:tcBorders>
                    <w:tl2br w:val="nil"/>
                    <w:tr2bl w:val="nil"/>
                  </w:tcBorders>
                  <w:noWrap w:val="0"/>
                  <w:vAlign w:val="center"/>
                </w:tcPr>
                <w:p w14:paraId="733BA700">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性质、规模</w:t>
                  </w:r>
                </w:p>
              </w:tc>
              <w:tc>
                <w:tcPr>
                  <w:tcW w:w="735" w:type="dxa"/>
                  <w:vMerge w:val="restart"/>
                  <w:tcBorders>
                    <w:tl2br w:val="nil"/>
                    <w:tr2bl w:val="nil"/>
                  </w:tcBorders>
                  <w:noWrap w:val="0"/>
                  <w:vAlign w:val="center"/>
                </w:tcPr>
                <w:p w14:paraId="09A2A6FF">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距离(m)</w:t>
                  </w:r>
                </w:p>
              </w:tc>
              <w:tc>
                <w:tcPr>
                  <w:tcW w:w="870" w:type="dxa"/>
                  <w:vMerge w:val="restart"/>
                  <w:tcBorders>
                    <w:tl2br w:val="nil"/>
                    <w:tr2bl w:val="nil"/>
                  </w:tcBorders>
                  <w:noWrap w:val="0"/>
                  <w:vAlign w:val="center"/>
                </w:tcPr>
                <w:p w14:paraId="6BAFF9F0">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1260" w:type="dxa"/>
                  <w:vMerge w:val="restart"/>
                  <w:tcBorders>
                    <w:tl2br w:val="nil"/>
                    <w:tr2bl w:val="nil"/>
                  </w:tcBorders>
                  <w:noWrap w:val="0"/>
                  <w:vAlign w:val="center"/>
                </w:tcPr>
                <w:p w14:paraId="2D024F26">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保护级别</w:t>
                  </w:r>
                </w:p>
              </w:tc>
            </w:tr>
            <w:tr w14:paraId="6AAD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6" w:type="dxa"/>
                  <w:vMerge w:val="continue"/>
                  <w:tcBorders>
                    <w:tl2br w:val="nil"/>
                    <w:tr2bl w:val="nil"/>
                  </w:tcBorders>
                  <w:noWrap w:val="0"/>
                  <w:vAlign w:val="center"/>
                </w:tcPr>
                <w:p w14:paraId="1E5C01E2">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color w:val="auto"/>
                      <w:sz w:val="21"/>
                      <w:szCs w:val="21"/>
                    </w:rPr>
                  </w:pPr>
                </w:p>
              </w:tc>
              <w:tc>
                <w:tcPr>
                  <w:tcW w:w="510" w:type="dxa"/>
                  <w:vMerge w:val="continue"/>
                  <w:tcBorders>
                    <w:tl2br w:val="nil"/>
                    <w:tr2bl w:val="nil"/>
                  </w:tcBorders>
                  <w:noWrap w:val="0"/>
                  <w:vAlign w:val="center"/>
                </w:tcPr>
                <w:p w14:paraId="5D17B246">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color w:val="auto"/>
                      <w:sz w:val="21"/>
                      <w:szCs w:val="21"/>
                    </w:rPr>
                  </w:pPr>
                </w:p>
              </w:tc>
              <w:tc>
                <w:tcPr>
                  <w:tcW w:w="964" w:type="dxa"/>
                  <w:vMerge w:val="continue"/>
                  <w:tcBorders>
                    <w:tl2br w:val="nil"/>
                    <w:tr2bl w:val="nil"/>
                  </w:tcBorders>
                  <w:noWrap w:val="0"/>
                  <w:vAlign w:val="center"/>
                </w:tcPr>
                <w:p w14:paraId="34FDA659">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color w:val="auto"/>
                      <w:sz w:val="21"/>
                      <w:szCs w:val="21"/>
                    </w:rPr>
                  </w:pPr>
                </w:p>
              </w:tc>
              <w:tc>
                <w:tcPr>
                  <w:tcW w:w="1253" w:type="dxa"/>
                  <w:tcBorders>
                    <w:tl2br w:val="nil"/>
                    <w:tr2bl w:val="nil"/>
                  </w:tcBorders>
                  <w:noWrap w:val="0"/>
                  <w:vAlign w:val="center"/>
                </w:tcPr>
                <w:p w14:paraId="50E4306A">
                  <w:pPr>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 w:val="21"/>
                      <w:szCs w:val="21"/>
                    </w:rPr>
                    <w:t>X</w:t>
                  </w:r>
                </w:p>
              </w:tc>
              <w:tc>
                <w:tcPr>
                  <w:tcW w:w="1170" w:type="dxa"/>
                  <w:tcBorders>
                    <w:tl2br w:val="nil"/>
                    <w:tr2bl w:val="nil"/>
                  </w:tcBorders>
                  <w:noWrap w:val="0"/>
                  <w:vAlign w:val="center"/>
                </w:tcPr>
                <w:p w14:paraId="7CDDCBDF">
                  <w:pPr>
                    <w:pageBreakBefore w:val="0"/>
                    <w:widowControl/>
                    <w:kinsoku/>
                    <w:wordWrap/>
                    <w:overflowPunct/>
                    <w:topLinePunct w:val="0"/>
                    <w:autoSpaceDE/>
                    <w:autoSpaceDN/>
                    <w:bidi w:val="0"/>
                    <w:adjustRightInd/>
                    <w:snapToGrid/>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kern w:val="0"/>
                      <w:sz w:val="21"/>
                      <w:szCs w:val="21"/>
                    </w:rPr>
                    <w:t>Y</w:t>
                  </w:r>
                </w:p>
              </w:tc>
              <w:tc>
                <w:tcPr>
                  <w:tcW w:w="1065" w:type="dxa"/>
                  <w:vMerge w:val="continue"/>
                  <w:tcBorders>
                    <w:tl2br w:val="nil"/>
                    <w:tr2bl w:val="nil"/>
                  </w:tcBorders>
                  <w:noWrap w:val="0"/>
                  <w:vAlign w:val="center"/>
                </w:tcPr>
                <w:p w14:paraId="6B65A00F">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p>
              </w:tc>
              <w:tc>
                <w:tcPr>
                  <w:tcW w:w="735" w:type="dxa"/>
                  <w:vMerge w:val="continue"/>
                  <w:tcBorders>
                    <w:tl2br w:val="nil"/>
                    <w:tr2bl w:val="nil"/>
                  </w:tcBorders>
                  <w:noWrap w:val="0"/>
                  <w:vAlign w:val="center"/>
                </w:tcPr>
                <w:p w14:paraId="029700AA">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p>
              </w:tc>
              <w:tc>
                <w:tcPr>
                  <w:tcW w:w="870" w:type="dxa"/>
                  <w:vMerge w:val="continue"/>
                  <w:tcBorders>
                    <w:tl2br w:val="nil"/>
                    <w:tr2bl w:val="nil"/>
                  </w:tcBorders>
                  <w:noWrap w:val="0"/>
                  <w:vAlign w:val="center"/>
                </w:tcPr>
                <w:p w14:paraId="193E8C2F">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p>
              </w:tc>
              <w:tc>
                <w:tcPr>
                  <w:tcW w:w="1260" w:type="dxa"/>
                  <w:vMerge w:val="continue"/>
                  <w:tcBorders>
                    <w:tl2br w:val="nil"/>
                    <w:tr2bl w:val="nil"/>
                  </w:tcBorders>
                  <w:noWrap w:val="0"/>
                  <w:vAlign w:val="center"/>
                </w:tcPr>
                <w:p w14:paraId="4D9A8F26">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rPr>
                  </w:pPr>
                </w:p>
              </w:tc>
            </w:tr>
            <w:tr w14:paraId="6DE2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6" w:type="dxa"/>
                  <w:vMerge w:val="restart"/>
                  <w:tcBorders>
                    <w:tl2br w:val="nil"/>
                    <w:tr2bl w:val="nil"/>
                  </w:tcBorders>
                  <w:noWrap w:val="0"/>
                  <w:vAlign w:val="center"/>
                </w:tcPr>
                <w:p w14:paraId="03B2072C">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c>
                <w:tcPr>
                  <w:tcW w:w="510" w:type="dxa"/>
                  <w:tcBorders>
                    <w:tl2br w:val="nil"/>
                    <w:tr2bl w:val="nil"/>
                  </w:tcBorders>
                  <w:noWrap w:val="0"/>
                  <w:vAlign w:val="center"/>
                </w:tcPr>
                <w:p w14:paraId="0982453B">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64" w:type="dxa"/>
                  <w:tcBorders>
                    <w:tl2br w:val="nil"/>
                    <w:tr2bl w:val="nil"/>
                  </w:tcBorders>
                  <w:noWrap w:val="0"/>
                  <w:vAlign w:val="center"/>
                </w:tcPr>
                <w:p w14:paraId="3FE7A196">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汤店镇</w:t>
                  </w:r>
                </w:p>
              </w:tc>
              <w:tc>
                <w:tcPr>
                  <w:tcW w:w="1253" w:type="dxa"/>
                  <w:tcBorders>
                    <w:tl2br w:val="nil"/>
                    <w:tr2bl w:val="nil"/>
                  </w:tcBorders>
                  <w:noWrap w:val="0"/>
                  <w:vAlign w:val="center"/>
                </w:tcPr>
                <w:p w14:paraId="2BCB32AC">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115.9119645°</w:t>
                  </w:r>
                </w:p>
              </w:tc>
              <w:tc>
                <w:tcPr>
                  <w:tcW w:w="1170" w:type="dxa"/>
                  <w:tcBorders>
                    <w:tl2br w:val="nil"/>
                    <w:tr2bl w:val="nil"/>
                  </w:tcBorders>
                  <w:noWrap w:val="0"/>
                  <w:vAlign w:val="center"/>
                </w:tcPr>
                <w:p w14:paraId="39BB4C61">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31.4528541°</w:t>
                  </w:r>
                </w:p>
              </w:tc>
              <w:tc>
                <w:tcPr>
                  <w:tcW w:w="1065" w:type="dxa"/>
                  <w:tcBorders>
                    <w:tl2br w:val="nil"/>
                    <w:tr2bl w:val="nil"/>
                  </w:tcBorders>
                  <w:noWrap w:val="0"/>
                  <w:vAlign w:val="center"/>
                </w:tcPr>
                <w:p w14:paraId="00A66921">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200</w:t>
                  </w:r>
                  <w:r>
                    <w:rPr>
                      <w:rFonts w:hint="default" w:ascii="Times New Roman" w:hAnsi="Times New Roman" w:eastAsia="宋体" w:cs="Times New Roman"/>
                      <w:color w:val="auto"/>
                      <w:sz w:val="21"/>
                      <w:szCs w:val="21"/>
                      <w:lang w:val="en-US" w:eastAsia="zh-CN"/>
                    </w:rPr>
                    <w:t>人</w:t>
                  </w:r>
                </w:p>
              </w:tc>
              <w:tc>
                <w:tcPr>
                  <w:tcW w:w="735" w:type="dxa"/>
                  <w:tcBorders>
                    <w:tl2br w:val="nil"/>
                    <w:tr2bl w:val="nil"/>
                  </w:tcBorders>
                  <w:noWrap w:val="0"/>
                  <w:vAlign w:val="center"/>
                </w:tcPr>
                <w:p w14:paraId="5688EFFE">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232</w:t>
                  </w:r>
                </w:p>
              </w:tc>
              <w:tc>
                <w:tcPr>
                  <w:tcW w:w="870" w:type="dxa"/>
                  <w:tcBorders>
                    <w:tl2br w:val="nil"/>
                    <w:tr2bl w:val="nil"/>
                  </w:tcBorders>
                  <w:noWrap w:val="0"/>
                  <w:vAlign w:val="center"/>
                </w:tcPr>
                <w:p w14:paraId="04A4335A">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WN</w:t>
                  </w:r>
                </w:p>
              </w:tc>
              <w:tc>
                <w:tcPr>
                  <w:tcW w:w="1260" w:type="dxa"/>
                  <w:vMerge w:val="restart"/>
                  <w:tcBorders>
                    <w:tl2br w:val="nil"/>
                    <w:tr2bl w:val="nil"/>
                  </w:tcBorders>
                  <w:noWrap w:val="0"/>
                  <w:vAlign w:val="center"/>
                </w:tcPr>
                <w:p w14:paraId="266DAEEB">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《环境空气质量标准》（GB3095-2012）二级标准</w:t>
                  </w:r>
                </w:p>
              </w:tc>
            </w:tr>
            <w:tr w14:paraId="35FC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6" w:type="dxa"/>
                  <w:vMerge w:val="continue"/>
                  <w:tcBorders>
                    <w:tl2br w:val="nil"/>
                    <w:tr2bl w:val="nil"/>
                  </w:tcBorders>
                  <w:noWrap w:val="0"/>
                  <w:vAlign w:val="center"/>
                </w:tcPr>
                <w:p w14:paraId="3978A95B">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color w:val="auto"/>
                      <w:sz w:val="21"/>
                      <w:szCs w:val="21"/>
                    </w:rPr>
                  </w:pPr>
                </w:p>
              </w:tc>
              <w:tc>
                <w:tcPr>
                  <w:tcW w:w="510" w:type="dxa"/>
                  <w:tcBorders>
                    <w:tl2br w:val="nil"/>
                    <w:tr2bl w:val="nil"/>
                  </w:tcBorders>
                  <w:noWrap w:val="0"/>
                  <w:vAlign w:val="center"/>
                </w:tcPr>
                <w:p w14:paraId="3B8184F8">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964" w:type="dxa"/>
                  <w:tcBorders>
                    <w:tl2br w:val="nil"/>
                    <w:tr2bl w:val="nil"/>
                  </w:tcBorders>
                  <w:noWrap w:val="0"/>
                  <w:vAlign w:val="center"/>
                </w:tcPr>
                <w:p w14:paraId="3035F6BE">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汤店</w:t>
                  </w:r>
                  <w:r>
                    <w:rPr>
                      <w:rFonts w:hint="eastAsia" w:cs="Times New Roman"/>
                      <w:color w:val="auto"/>
                      <w:sz w:val="21"/>
                      <w:szCs w:val="21"/>
                      <w:lang w:val="en-US" w:eastAsia="zh-CN"/>
                    </w:rPr>
                    <w:t>新村</w:t>
                  </w:r>
                </w:p>
              </w:tc>
              <w:tc>
                <w:tcPr>
                  <w:tcW w:w="1253" w:type="dxa"/>
                  <w:tcBorders>
                    <w:tl2br w:val="nil"/>
                    <w:tr2bl w:val="nil"/>
                  </w:tcBorders>
                  <w:noWrap w:val="0"/>
                  <w:vAlign w:val="center"/>
                </w:tcPr>
                <w:p w14:paraId="1F312C38">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115.9136174°</w:t>
                  </w:r>
                </w:p>
              </w:tc>
              <w:tc>
                <w:tcPr>
                  <w:tcW w:w="1170" w:type="dxa"/>
                  <w:tcBorders>
                    <w:tl2br w:val="nil"/>
                    <w:tr2bl w:val="nil"/>
                  </w:tcBorders>
                  <w:noWrap w:val="0"/>
                  <w:vAlign w:val="center"/>
                </w:tcPr>
                <w:p w14:paraId="0EAF09E5">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31.4519916°</w:t>
                  </w:r>
                </w:p>
              </w:tc>
              <w:tc>
                <w:tcPr>
                  <w:tcW w:w="1065" w:type="dxa"/>
                  <w:tcBorders>
                    <w:tl2br w:val="nil"/>
                    <w:tr2bl w:val="nil"/>
                  </w:tcBorders>
                  <w:noWrap w:val="0"/>
                  <w:vAlign w:val="center"/>
                </w:tcPr>
                <w:p w14:paraId="0A7453D9">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120</w:t>
                  </w:r>
                  <w:r>
                    <w:rPr>
                      <w:rFonts w:hint="default" w:ascii="Times New Roman" w:hAnsi="Times New Roman" w:eastAsia="宋体" w:cs="Times New Roman"/>
                      <w:color w:val="auto"/>
                      <w:sz w:val="21"/>
                      <w:szCs w:val="21"/>
                      <w:lang w:val="en-US" w:eastAsia="zh-CN"/>
                    </w:rPr>
                    <w:t>人</w:t>
                  </w:r>
                </w:p>
              </w:tc>
              <w:tc>
                <w:tcPr>
                  <w:tcW w:w="735" w:type="dxa"/>
                  <w:tcBorders>
                    <w:tl2br w:val="nil"/>
                    <w:tr2bl w:val="nil"/>
                  </w:tcBorders>
                  <w:noWrap w:val="0"/>
                  <w:vAlign w:val="center"/>
                </w:tcPr>
                <w:p w14:paraId="467EC9D9">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w:t>
                  </w:r>
                </w:p>
              </w:tc>
              <w:tc>
                <w:tcPr>
                  <w:tcW w:w="870" w:type="dxa"/>
                  <w:tcBorders>
                    <w:tl2br w:val="nil"/>
                    <w:tr2bl w:val="nil"/>
                  </w:tcBorders>
                  <w:noWrap w:val="0"/>
                  <w:vAlign w:val="center"/>
                </w:tcPr>
                <w:p w14:paraId="76EB9093">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w:t>
                  </w:r>
                </w:p>
              </w:tc>
              <w:tc>
                <w:tcPr>
                  <w:tcW w:w="1260" w:type="dxa"/>
                  <w:vMerge w:val="continue"/>
                  <w:tcBorders>
                    <w:tl2br w:val="nil"/>
                    <w:tr2bl w:val="nil"/>
                  </w:tcBorders>
                  <w:noWrap w:val="0"/>
                  <w:vAlign w:val="center"/>
                </w:tcPr>
                <w:p w14:paraId="159392A0">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p>
              </w:tc>
            </w:tr>
            <w:tr w14:paraId="746B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6" w:type="dxa"/>
                  <w:vMerge w:val="continue"/>
                  <w:tcBorders>
                    <w:tl2br w:val="nil"/>
                    <w:tr2bl w:val="nil"/>
                  </w:tcBorders>
                  <w:noWrap w:val="0"/>
                  <w:vAlign w:val="center"/>
                </w:tcPr>
                <w:p w14:paraId="47923148">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p>
              </w:tc>
              <w:tc>
                <w:tcPr>
                  <w:tcW w:w="510" w:type="dxa"/>
                  <w:tcBorders>
                    <w:tl2br w:val="nil"/>
                    <w:tr2bl w:val="nil"/>
                  </w:tcBorders>
                  <w:noWrap w:val="0"/>
                  <w:vAlign w:val="center"/>
                </w:tcPr>
                <w:p w14:paraId="72DB4CC4">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64" w:type="dxa"/>
                  <w:tcBorders>
                    <w:tl2br w:val="nil"/>
                    <w:tr2bl w:val="nil"/>
                  </w:tcBorders>
                  <w:noWrap w:val="0"/>
                  <w:vAlign w:val="center"/>
                </w:tcPr>
                <w:p w14:paraId="3D5658A7">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北侧</w:t>
                  </w:r>
                  <w:r>
                    <w:rPr>
                      <w:rFonts w:hint="eastAsia" w:ascii="Times New Roman" w:hAnsi="Times New Roman" w:eastAsia="宋体" w:cs="Times New Roman"/>
                      <w:color w:val="auto"/>
                      <w:sz w:val="21"/>
                      <w:szCs w:val="21"/>
                      <w:lang w:val="en-US" w:eastAsia="zh-CN"/>
                    </w:rPr>
                    <w:t>散户</w:t>
                  </w:r>
                </w:p>
              </w:tc>
              <w:tc>
                <w:tcPr>
                  <w:tcW w:w="1253" w:type="dxa"/>
                  <w:tcBorders>
                    <w:tl2br w:val="nil"/>
                    <w:tr2bl w:val="nil"/>
                  </w:tcBorders>
                  <w:noWrap w:val="0"/>
                  <w:vAlign w:val="center"/>
                </w:tcPr>
                <w:p w14:paraId="33F7B6FE">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115.9152433°</w:t>
                  </w:r>
                </w:p>
              </w:tc>
              <w:tc>
                <w:tcPr>
                  <w:tcW w:w="1170" w:type="dxa"/>
                  <w:tcBorders>
                    <w:tl2br w:val="nil"/>
                    <w:tr2bl w:val="nil"/>
                  </w:tcBorders>
                  <w:noWrap w:val="0"/>
                  <w:vAlign w:val="center"/>
                </w:tcPr>
                <w:p w14:paraId="025489AC">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31.4527617°</w:t>
                  </w:r>
                </w:p>
              </w:tc>
              <w:tc>
                <w:tcPr>
                  <w:tcW w:w="1065" w:type="dxa"/>
                  <w:tcBorders>
                    <w:tl2br w:val="nil"/>
                    <w:tr2bl w:val="nil"/>
                  </w:tcBorders>
                  <w:noWrap w:val="0"/>
                  <w:vAlign w:val="center"/>
                </w:tcPr>
                <w:p w14:paraId="1E910CD8">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人</w:t>
                  </w:r>
                </w:p>
              </w:tc>
              <w:tc>
                <w:tcPr>
                  <w:tcW w:w="735" w:type="dxa"/>
                  <w:tcBorders>
                    <w:tl2br w:val="nil"/>
                    <w:tr2bl w:val="nil"/>
                  </w:tcBorders>
                  <w:noWrap w:val="0"/>
                  <w:vAlign w:val="center"/>
                </w:tcPr>
                <w:p w14:paraId="382484A2">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870" w:type="dxa"/>
                  <w:tcBorders>
                    <w:tl2br w:val="nil"/>
                    <w:tr2bl w:val="nil"/>
                  </w:tcBorders>
                  <w:noWrap w:val="0"/>
                  <w:vAlign w:val="center"/>
                </w:tcPr>
                <w:p w14:paraId="04FE70C6">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w:t>
                  </w:r>
                </w:p>
              </w:tc>
              <w:tc>
                <w:tcPr>
                  <w:tcW w:w="1260" w:type="dxa"/>
                  <w:vMerge w:val="continue"/>
                  <w:tcBorders>
                    <w:tl2br w:val="nil"/>
                    <w:tr2bl w:val="nil"/>
                  </w:tcBorders>
                  <w:noWrap w:val="0"/>
                  <w:vAlign w:val="center"/>
                </w:tcPr>
                <w:p w14:paraId="3B1F95E8">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p>
              </w:tc>
            </w:tr>
            <w:tr w14:paraId="4A6F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6" w:type="dxa"/>
                  <w:vMerge w:val="continue"/>
                  <w:tcBorders>
                    <w:tl2br w:val="nil"/>
                    <w:tr2bl w:val="nil"/>
                  </w:tcBorders>
                  <w:noWrap w:val="0"/>
                  <w:vAlign w:val="center"/>
                </w:tcPr>
                <w:p w14:paraId="28313D95">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p>
              </w:tc>
              <w:tc>
                <w:tcPr>
                  <w:tcW w:w="510" w:type="dxa"/>
                  <w:tcBorders>
                    <w:tl2br w:val="nil"/>
                    <w:tr2bl w:val="nil"/>
                  </w:tcBorders>
                  <w:noWrap w:val="0"/>
                  <w:vAlign w:val="center"/>
                </w:tcPr>
                <w:p w14:paraId="723773F1">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964" w:type="dxa"/>
                  <w:tcBorders>
                    <w:tl2br w:val="nil"/>
                    <w:tr2bl w:val="nil"/>
                  </w:tcBorders>
                  <w:noWrap w:val="0"/>
                  <w:vAlign w:val="center"/>
                </w:tcPr>
                <w:p w14:paraId="71044E49">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东侧</w:t>
                  </w:r>
                  <w:r>
                    <w:rPr>
                      <w:rFonts w:hint="eastAsia" w:ascii="Times New Roman" w:hAnsi="Times New Roman" w:eastAsia="宋体" w:cs="Times New Roman"/>
                      <w:color w:val="auto"/>
                      <w:sz w:val="21"/>
                      <w:szCs w:val="21"/>
                      <w:lang w:val="en-US" w:eastAsia="zh-CN"/>
                    </w:rPr>
                    <w:t>散户</w:t>
                  </w:r>
                </w:p>
              </w:tc>
              <w:tc>
                <w:tcPr>
                  <w:tcW w:w="1253" w:type="dxa"/>
                  <w:tcBorders>
                    <w:tl2br w:val="nil"/>
                    <w:tr2bl w:val="nil"/>
                  </w:tcBorders>
                  <w:noWrap w:val="0"/>
                  <w:vAlign w:val="center"/>
                </w:tcPr>
                <w:p w14:paraId="1EBDA60A">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115.9161057°</w:t>
                  </w:r>
                </w:p>
              </w:tc>
              <w:tc>
                <w:tcPr>
                  <w:tcW w:w="1170" w:type="dxa"/>
                  <w:tcBorders>
                    <w:tl2br w:val="nil"/>
                    <w:tr2bl w:val="nil"/>
                  </w:tcBorders>
                  <w:noWrap w:val="0"/>
                  <w:vAlign w:val="center"/>
                </w:tcPr>
                <w:p w14:paraId="783B6AFF">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31.4526077°</w:t>
                  </w:r>
                </w:p>
              </w:tc>
              <w:tc>
                <w:tcPr>
                  <w:tcW w:w="1065" w:type="dxa"/>
                  <w:tcBorders>
                    <w:tl2br w:val="nil"/>
                    <w:tr2bl w:val="nil"/>
                  </w:tcBorders>
                  <w:noWrap w:val="0"/>
                  <w:vAlign w:val="center"/>
                </w:tcPr>
                <w:p w14:paraId="42E5C898">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人</w:t>
                  </w:r>
                </w:p>
              </w:tc>
              <w:tc>
                <w:tcPr>
                  <w:tcW w:w="735" w:type="dxa"/>
                  <w:tcBorders>
                    <w:tl2br w:val="nil"/>
                    <w:tr2bl w:val="nil"/>
                  </w:tcBorders>
                  <w:noWrap w:val="0"/>
                  <w:vAlign w:val="center"/>
                </w:tcPr>
                <w:p w14:paraId="70BCF9E4">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870" w:type="dxa"/>
                  <w:tcBorders>
                    <w:tl2br w:val="nil"/>
                    <w:tr2bl w:val="nil"/>
                  </w:tcBorders>
                  <w:noWrap w:val="0"/>
                  <w:vAlign w:val="center"/>
                </w:tcPr>
                <w:p w14:paraId="3C374FB5">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NE</w:t>
                  </w:r>
                </w:p>
              </w:tc>
              <w:tc>
                <w:tcPr>
                  <w:tcW w:w="1260" w:type="dxa"/>
                  <w:vMerge w:val="continue"/>
                  <w:tcBorders>
                    <w:tl2br w:val="nil"/>
                    <w:tr2bl w:val="nil"/>
                  </w:tcBorders>
                  <w:noWrap w:val="0"/>
                  <w:vAlign w:val="center"/>
                </w:tcPr>
                <w:p w14:paraId="7758D298">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p>
              </w:tc>
            </w:tr>
            <w:tr w14:paraId="4FBA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6" w:type="dxa"/>
                  <w:vMerge w:val="continue"/>
                  <w:tcBorders>
                    <w:tl2br w:val="nil"/>
                    <w:tr2bl w:val="nil"/>
                  </w:tcBorders>
                  <w:noWrap w:val="0"/>
                  <w:vAlign w:val="center"/>
                </w:tcPr>
                <w:p w14:paraId="1B95F512">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p>
              </w:tc>
              <w:tc>
                <w:tcPr>
                  <w:tcW w:w="510" w:type="dxa"/>
                  <w:tcBorders>
                    <w:tl2br w:val="nil"/>
                    <w:tr2bl w:val="nil"/>
                  </w:tcBorders>
                  <w:noWrap w:val="0"/>
                  <w:vAlign w:val="center"/>
                </w:tcPr>
                <w:p w14:paraId="3B7CD66E">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64" w:type="dxa"/>
                  <w:tcBorders>
                    <w:tl2br w:val="nil"/>
                    <w:tr2bl w:val="nil"/>
                  </w:tcBorders>
                  <w:noWrap w:val="0"/>
                  <w:vAlign w:val="center"/>
                </w:tcPr>
                <w:p w14:paraId="13850040">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青丁路</w:t>
                  </w:r>
                  <w:r>
                    <w:rPr>
                      <w:rFonts w:hint="eastAsia" w:ascii="Times New Roman" w:hAnsi="Times New Roman" w:eastAsia="宋体" w:cs="Times New Roman"/>
                      <w:color w:val="auto"/>
                      <w:sz w:val="21"/>
                      <w:szCs w:val="21"/>
                      <w:lang w:val="en-US" w:eastAsia="zh-CN"/>
                    </w:rPr>
                    <w:t>散户</w:t>
                  </w:r>
                </w:p>
              </w:tc>
              <w:tc>
                <w:tcPr>
                  <w:tcW w:w="1253" w:type="dxa"/>
                  <w:tcBorders>
                    <w:tl2br w:val="nil"/>
                    <w:tr2bl w:val="nil"/>
                  </w:tcBorders>
                  <w:noWrap w:val="0"/>
                  <w:vAlign w:val="center"/>
                </w:tcPr>
                <w:p w14:paraId="366CC126">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115.9170579°</w:t>
                  </w:r>
                </w:p>
              </w:tc>
              <w:tc>
                <w:tcPr>
                  <w:tcW w:w="1170" w:type="dxa"/>
                  <w:tcBorders>
                    <w:tl2br w:val="nil"/>
                    <w:tr2bl w:val="nil"/>
                  </w:tcBorders>
                  <w:noWrap w:val="0"/>
                  <w:vAlign w:val="center"/>
                </w:tcPr>
                <w:p w14:paraId="0B81C126">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31.4524229°</w:t>
                  </w:r>
                </w:p>
              </w:tc>
              <w:tc>
                <w:tcPr>
                  <w:tcW w:w="1065" w:type="dxa"/>
                  <w:tcBorders>
                    <w:tl2br w:val="nil"/>
                    <w:tr2bl w:val="nil"/>
                  </w:tcBorders>
                  <w:noWrap w:val="0"/>
                  <w:vAlign w:val="center"/>
                </w:tcPr>
                <w:p w14:paraId="207F07F3">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人</w:t>
                  </w:r>
                </w:p>
              </w:tc>
              <w:tc>
                <w:tcPr>
                  <w:tcW w:w="735" w:type="dxa"/>
                  <w:tcBorders>
                    <w:tl2br w:val="nil"/>
                    <w:tr2bl w:val="nil"/>
                  </w:tcBorders>
                  <w:noWrap w:val="0"/>
                  <w:vAlign w:val="center"/>
                </w:tcPr>
                <w:p w14:paraId="1BD22B74">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w:t>
                  </w:r>
                </w:p>
              </w:tc>
              <w:tc>
                <w:tcPr>
                  <w:tcW w:w="870" w:type="dxa"/>
                  <w:tcBorders>
                    <w:tl2br w:val="nil"/>
                    <w:tr2bl w:val="nil"/>
                  </w:tcBorders>
                  <w:noWrap w:val="0"/>
                  <w:vAlign w:val="center"/>
                </w:tcPr>
                <w:p w14:paraId="0AC39B1D">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NE</w:t>
                  </w:r>
                </w:p>
              </w:tc>
              <w:tc>
                <w:tcPr>
                  <w:tcW w:w="1260" w:type="dxa"/>
                  <w:vMerge w:val="continue"/>
                  <w:tcBorders>
                    <w:tl2br w:val="nil"/>
                    <w:tr2bl w:val="nil"/>
                  </w:tcBorders>
                  <w:noWrap w:val="0"/>
                  <w:vAlign w:val="center"/>
                </w:tcPr>
                <w:p w14:paraId="577D06A7">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p>
              </w:tc>
            </w:tr>
            <w:tr w14:paraId="15DB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6" w:type="dxa"/>
                  <w:vMerge w:val="continue"/>
                  <w:tcBorders>
                    <w:tl2br w:val="nil"/>
                    <w:tr2bl w:val="nil"/>
                  </w:tcBorders>
                  <w:noWrap w:val="0"/>
                  <w:vAlign w:val="center"/>
                </w:tcPr>
                <w:p w14:paraId="2A8CFD92">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p>
              </w:tc>
              <w:tc>
                <w:tcPr>
                  <w:tcW w:w="510" w:type="dxa"/>
                  <w:tcBorders>
                    <w:tl2br w:val="nil"/>
                    <w:tr2bl w:val="nil"/>
                  </w:tcBorders>
                  <w:noWrap w:val="0"/>
                  <w:vAlign w:val="center"/>
                </w:tcPr>
                <w:p w14:paraId="79833C7D">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964" w:type="dxa"/>
                  <w:tcBorders>
                    <w:tl2br w:val="nil"/>
                    <w:tr2bl w:val="nil"/>
                  </w:tcBorders>
                  <w:noWrap w:val="0"/>
                  <w:vAlign w:val="center"/>
                </w:tcPr>
                <w:p w14:paraId="2DBB8181">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付庄</w:t>
                  </w:r>
                  <w:r>
                    <w:rPr>
                      <w:rFonts w:hint="eastAsia" w:ascii="Times New Roman" w:hAnsi="Times New Roman" w:eastAsia="宋体" w:cs="Times New Roman"/>
                      <w:color w:val="auto"/>
                      <w:sz w:val="21"/>
                      <w:szCs w:val="21"/>
                      <w:lang w:val="en-US" w:eastAsia="zh-CN"/>
                    </w:rPr>
                    <w:t>散户</w:t>
                  </w:r>
                </w:p>
              </w:tc>
              <w:tc>
                <w:tcPr>
                  <w:tcW w:w="1253" w:type="dxa"/>
                  <w:tcBorders>
                    <w:tl2br w:val="nil"/>
                    <w:tr2bl w:val="nil"/>
                  </w:tcBorders>
                  <w:noWrap w:val="0"/>
                  <w:vAlign w:val="center"/>
                </w:tcPr>
                <w:p w14:paraId="5070FFCC">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115.9187107°</w:t>
                  </w:r>
                </w:p>
              </w:tc>
              <w:tc>
                <w:tcPr>
                  <w:tcW w:w="1170" w:type="dxa"/>
                  <w:tcBorders>
                    <w:tl2br w:val="nil"/>
                    <w:tr2bl w:val="nil"/>
                  </w:tcBorders>
                  <w:noWrap w:val="0"/>
                  <w:vAlign w:val="center"/>
                </w:tcPr>
                <w:p w14:paraId="309FF5A3">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31.4548872°</w:t>
                  </w:r>
                </w:p>
              </w:tc>
              <w:tc>
                <w:tcPr>
                  <w:tcW w:w="1065" w:type="dxa"/>
                  <w:tcBorders>
                    <w:tl2br w:val="nil"/>
                    <w:tr2bl w:val="nil"/>
                  </w:tcBorders>
                  <w:noWrap w:val="0"/>
                  <w:vAlign w:val="center"/>
                </w:tcPr>
                <w:p w14:paraId="5BFBB7AD">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lang w:val="en-US" w:eastAsia="zh-CN"/>
                    </w:rPr>
                    <w:t>人</w:t>
                  </w:r>
                </w:p>
              </w:tc>
              <w:tc>
                <w:tcPr>
                  <w:tcW w:w="735" w:type="dxa"/>
                  <w:tcBorders>
                    <w:tl2br w:val="nil"/>
                    <w:tr2bl w:val="nil"/>
                  </w:tcBorders>
                  <w:noWrap w:val="0"/>
                  <w:vAlign w:val="center"/>
                </w:tcPr>
                <w:p w14:paraId="3C142AB3">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412</w:t>
                  </w:r>
                </w:p>
              </w:tc>
              <w:tc>
                <w:tcPr>
                  <w:tcW w:w="870" w:type="dxa"/>
                  <w:tcBorders>
                    <w:tl2br w:val="nil"/>
                    <w:tr2bl w:val="nil"/>
                  </w:tcBorders>
                  <w:noWrap w:val="0"/>
                  <w:vAlign w:val="center"/>
                </w:tcPr>
                <w:p w14:paraId="55FD3F52">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w:t>
                  </w:r>
                </w:p>
              </w:tc>
              <w:tc>
                <w:tcPr>
                  <w:tcW w:w="1260" w:type="dxa"/>
                  <w:vMerge w:val="continue"/>
                  <w:tcBorders>
                    <w:tl2br w:val="nil"/>
                    <w:tr2bl w:val="nil"/>
                  </w:tcBorders>
                  <w:noWrap w:val="0"/>
                  <w:vAlign w:val="center"/>
                </w:tcPr>
                <w:p w14:paraId="06687000">
                  <w:pPr>
                    <w:keepNext w:val="0"/>
                    <w:keepLines w:val="0"/>
                    <w:pageBreakBefore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p>
              </w:tc>
            </w:tr>
          </w:tbl>
          <w:p w14:paraId="6DDCF17A">
            <w:pPr>
              <w:pageBreakBefore w:val="0"/>
              <w:kinsoku/>
              <w:wordWrap/>
              <w:overflowPunct/>
              <w:topLinePunct w:val="0"/>
              <w:autoSpaceDE/>
              <w:autoSpaceDN/>
              <w:bidi w:val="0"/>
              <w:adjustRightInd/>
              <w:snapToGrid/>
              <w:spacing w:line="360" w:lineRule="auto"/>
              <w:ind w:left="0" w:right="0" w:firstLine="482" w:firstLineChars="200"/>
              <w:rPr>
                <w:b/>
                <w:bCs/>
                <w:iCs/>
                <w:color w:val="auto"/>
                <w:sz w:val="24"/>
              </w:rPr>
            </w:pPr>
            <w:r>
              <w:rPr>
                <w:b/>
                <w:bCs/>
                <w:iCs/>
                <w:color w:val="auto"/>
                <w:sz w:val="24"/>
              </w:rPr>
              <w:t>2、水环境保护目标</w:t>
            </w:r>
          </w:p>
          <w:p w14:paraId="342FD921">
            <w:pPr>
              <w:pageBreakBefore w:val="0"/>
              <w:kinsoku/>
              <w:wordWrap/>
              <w:overflowPunct/>
              <w:topLinePunct w:val="0"/>
              <w:autoSpaceDE/>
              <w:autoSpaceDN/>
              <w:bidi w:val="0"/>
              <w:adjustRightInd/>
              <w:snapToGrid/>
              <w:spacing w:line="360" w:lineRule="auto"/>
              <w:ind w:left="0" w:right="0" w:firstLine="480" w:firstLineChars="200"/>
              <w:rPr>
                <w:b/>
                <w:color w:val="auto"/>
                <w:kern w:val="0"/>
                <w:sz w:val="24"/>
              </w:rPr>
            </w:pPr>
            <w:r>
              <w:rPr>
                <w:color w:val="auto"/>
                <w:sz w:val="24"/>
              </w:rPr>
              <w:t>项目地表水水体为</w:t>
            </w:r>
            <w:r>
              <w:rPr>
                <w:rFonts w:hint="eastAsia"/>
                <w:color w:val="auto"/>
                <w:sz w:val="24"/>
                <w:lang w:eastAsia="zh-CN"/>
              </w:rPr>
              <w:t>西淠河</w:t>
            </w:r>
            <w:r>
              <w:rPr>
                <w:color w:val="auto"/>
                <w:sz w:val="24"/>
              </w:rPr>
              <w:t>。</w:t>
            </w:r>
          </w:p>
          <w:p w14:paraId="72D12D84">
            <w:pPr>
              <w:pageBreakBefore w:val="0"/>
              <w:kinsoku/>
              <w:wordWrap/>
              <w:overflowPunct/>
              <w:topLinePunct w:val="0"/>
              <w:autoSpaceDE/>
              <w:autoSpaceDN/>
              <w:bidi w:val="0"/>
              <w:adjustRightInd/>
              <w:snapToGrid/>
              <w:spacing w:line="360" w:lineRule="auto"/>
              <w:ind w:left="0" w:right="0"/>
              <w:jc w:val="center"/>
              <w:rPr>
                <w:b/>
                <w:color w:val="auto"/>
                <w:kern w:val="0"/>
                <w:sz w:val="24"/>
              </w:rPr>
            </w:pPr>
            <w:r>
              <w:rPr>
                <w:b/>
                <w:color w:val="auto"/>
                <w:kern w:val="0"/>
                <w:sz w:val="24"/>
              </w:rPr>
              <w:t>3-</w:t>
            </w:r>
            <w:r>
              <w:rPr>
                <w:rFonts w:hint="eastAsia"/>
                <w:b/>
                <w:color w:val="auto"/>
                <w:kern w:val="0"/>
                <w:sz w:val="24"/>
                <w:lang w:val="en-US" w:eastAsia="zh-CN"/>
              </w:rPr>
              <w:t>5</w:t>
            </w:r>
            <w:r>
              <w:rPr>
                <w:b/>
                <w:color w:val="auto"/>
                <w:kern w:val="0"/>
                <w:sz w:val="24"/>
              </w:rPr>
              <w:t xml:space="preserve"> 项目环境敏感保护目标一览表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7"/>
              <w:gridCol w:w="617"/>
              <w:gridCol w:w="857"/>
              <w:gridCol w:w="912"/>
              <w:gridCol w:w="818"/>
              <w:gridCol w:w="1006"/>
              <w:gridCol w:w="896"/>
              <w:gridCol w:w="697"/>
              <w:gridCol w:w="2025"/>
            </w:tblGrid>
            <w:tr w14:paraId="3706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07" w:type="dxa"/>
                  <w:vMerge w:val="restart"/>
                  <w:tcBorders>
                    <w:tl2br w:val="nil"/>
                    <w:tr2bl w:val="nil"/>
                  </w:tcBorders>
                  <w:vAlign w:val="center"/>
                </w:tcPr>
                <w:p w14:paraId="1992B8D1">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类别</w:t>
                  </w:r>
                </w:p>
              </w:tc>
              <w:tc>
                <w:tcPr>
                  <w:tcW w:w="617" w:type="dxa"/>
                  <w:vMerge w:val="restart"/>
                  <w:tcBorders>
                    <w:tl2br w:val="nil"/>
                    <w:tr2bl w:val="nil"/>
                  </w:tcBorders>
                  <w:vAlign w:val="center"/>
                </w:tcPr>
                <w:p w14:paraId="0CE06495">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序号</w:t>
                  </w:r>
                </w:p>
              </w:tc>
              <w:tc>
                <w:tcPr>
                  <w:tcW w:w="857" w:type="dxa"/>
                  <w:vMerge w:val="restart"/>
                  <w:tcBorders>
                    <w:tl2br w:val="nil"/>
                    <w:tr2bl w:val="nil"/>
                  </w:tcBorders>
                  <w:vAlign w:val="center"/>
                </w:tcPr>
                <w:p w14:paraId="5B1449DA">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主要保护目标</w:t>
                  </w:r>
                </w:p>
              </w:tc>
              <w:tc>
                <w:tcPr>
                  <w:tcW w:w="1730" w:type="dxa"/>
                  <w:gridSpan w:val="2"/>
                  <w:tcBorders>
                    <w:tl2br w:val="nil"/>
                    <w:tr2bl w:val="nil"/>
                  </w:tcBorders>
                  <w:vAlign w:val="center"/>
                </w:tcPr>
                <w:p w14:paraId="4DDCDC29">
                  <w:pPr>
                    <w:pageBreakBefore w:val="0"/>
                    <w:widowControl/>
                    <w:kinsoku/>
                    <w:wordWrap/>
                    <w:overflowPunct/>
                    <w:topLinePunct w:val="0"/>
                    <w:autoSpaceDE/>
                    <w:autoSpaceDN/>
                    <w:bidi w:val="0"/>
                    <w:adjustRightInd/>
                    <w:snapToGrid/>
                    <w:ind w:left="0" w:right="0"/>
                    <w:jc w:val="center"/>
                    <w:rPr>
                      <w:b/>
                      <w:bCs/>
                      <w:color w:val="auto"/>
                      <w:sz w:val="21"/>
                      <w:szCs w:val="21"/>
                    </w:rPr>
                  </w:pPr>
                  <w:r>
                    <w:rPr>
                      <w:b/>
                      <w:bCs/>
                      <w:color w:val="auto"/>
                      <w:kern w:val="0"/>
                      <w:sz w:val="21"/>
                      <w:szCs w:val="21"/>
                    </w:rPr>
                    <w:t>坐标</w:t>
                  </w:r>
                </w:p>
              </w:tc>
              <w:tc>
                <w:tcPr>
                  <w:tcW w:w="1006" w:type="dxa"/>
                  <w:vMerge w:val="restart"/>
                  <w:tcBorders>
                    <w:tl2br w:val="nil"/>
                    <w:tr2bl w:val="nil"/>
                  </w:tcBorders>
                  <w:vAlign w:val="center"/>
                </w:tcPr>
                <w:p w14:paraId="7765254E">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性质、规模</w:t>
                  </w:r>
                </w:p>
              </w:tc>
              <w:tc>
                <w:tcPr>
                  <w:tcW w:w="896" w:type="dxa"/>
                  <w:vMerge w:val="restart"/>
                  <w:tcBorders>
                    <w:tl2br w:val="nil"/>
                    <w:tr2bl w:val="nil"/>
                  </w:tcBorders>
                  <w:vAlign w:val="center"/>
                </w:tcPr>
                <w:p w14:paraId="4717EC5A">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距离(m)</w:t>
                  </w:r>
                </w:p>
              </w:tc>
              <w:tc>
                <w:tcPr>
                  <w:tcW w:w="697" w:type="dxa"/>
                  <w:vMerge w:val="restart"/>
                  <w:tcBorders>
                    <w:tl2br w:val="nil"/>
                    <w:tr2bl w:val="nil"/>
                  </w:tcBorders>
                  <w:vAlign w:val="center"/>
                </w:tcPr>
                <w:p w14:paraId="7BE9A974">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方位</w:t>
                  </w:r>
                </w:p>
              </w:tc>
              <w:tc>
                <w:tcPr>
                  <w:tcW w:w="2025" w:type="dxa"/>
                  <w:vMerge w:val="restart"/>
                  <w:tcBorders>
                    <w:tl2br w:val="nil"/>
                    <w:tr2bl w:val="nil"/>
                  </w:tcBorders>
                  <w:vAlign w:val="center"/>
                </w:tcPr>
                <w:p w14:paraId="0A4935CD">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保护级别</w:t>
                  </w:r>
                </w:p>
              </w:tc>
            </w:tr>
            <w:tr w14:paraId="5FAB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07" w:type="dxa"/>
                  <w:vMerge w:val="continue"/>
                  <w:tcBorders>
                    <w:tl2br w:val="nil"/>
                    <w:tr2bl w:val="nil"/>
                  </w:tcBorders>
                  <w:vAlign w:val="center"/>
                </w:tcPr>
                <w:p w14:paraId="48F9F22A">
                  <w:pPr>
                    <w:pageBreakBefore w:val="0"/>
                    <w:kinsoku/>
                    <w:wordWrap/>
                    <w:overflowPunct/>
                    <w:topLinePunct w:val="0"/>
                    <w:autoSpaceDE/>
                    <w:autoSpaceDN/>
                    <w:bidi w:val="0"/>
                    <w:adjustRightInd/>
                    <w:snapToGrid/>
                    <w:ind w:left="0" w:right="0"/>
                    <w:jc w:val="center"/>
                    <w:rPr>
                      <w:color w:val="auto"/>
                      <w:sz w:val="21"/>
                      <w:szCs w:val="21"/>
                    </w:rPr>
                  </w:pPr>
                </w:p>
              </w:tc>
              <w:tc>
                <w:tcPr>
                  <w:tcW w:w="617" w:type="dxa"/>
                  <w:vMerge w:val="continue"/>
                  <w:tcBorders>
                    <w:tl2br w:val="nil"/>
                    <w:tr2bl w:val="nil"/>
                  </w:tcBorders>
                  <w:vAlign w:val="center"/>
                </w:tcPr>
                <w:p w14:paraId="7820CBF1">
                  <w:pPr>
                    <w:pageBreakBefore w:val="0"/>
                    <w:kinsoku/>
                    <w:wordWrap/>
                    <w:overflowPunct/>
                    <w:topLinePunct w:val="0"/>
                    <w:autoSpaceDE/>
                    <w:autoSpaceDN/>
                    <w:bidi w:val="0"/>
                    <w:adjustRightInd/>
                    <w:snapToGrid/>
                    <w:ind w:left="0" w:right="0"/>
                    <w:jc w:val="center"/>
                    <w:rPr>
                      <w:color w:val="auto"/>
                      <w:sz w:val="21"/>
                      <w:szCs w:val="21"/>
                    </w:rPr>
                  </w:pPr>
                </w:p>
              </w:tc>
              <w:tc>
                <w:tcPr>
                  <w:tcW w:w="857" w:type="dxa"/>
                  <w:vMerge w:val="continue"/>
                  <w:tcBorders>
                    <w:tl2br w:val="nil"/>
                    <w:tr2bl w:val="nil"/>
                  </w:tcBorders>
                  <w:vAlign w:val="center"/>
                </w:tcPr>
                <w:p w14:paraId="483DB980">
                  <w:pPr>
                    <w:pageBreakBefore w:val="0"/>
                    <w:kinsoku/>
                    <w:wordWrap/>
                    <w:overflowPunct/>
                    <w:topLinePunct w:val="0"/>
                    <w:autoSpaceDE/>
                    <w:autoSpaceDN/>
                    <w:bidi w:val="0"/>
                    <w:adjustRightInd/>
                    <w:snapToGrid/>
                    <w:ind w:left="0" w:right="0"/>
                    <w:jc w:val="center"/>
                    <w:rPr>
                      <w:color w:val="auto"/>
                      <w:sz w:val="21"/>
                      <w:szCs w:val="21"/>
                    </w:rPr>
                  </w:pPr>
                </w:p>
              </w:tc>
              <w:tc>
                <w:tcPr>
                  <w:tcW w:w="912" w:type="dxa"/>
                  <w:tcBorders>
                    <w:tl2br w:val="nil"/>
                    <w:tr2bl w:val="nil"/>
                  </w:tcBorders>
                  <w:vAlign w:val="center"/>
                </w:tcPr>
                <w:p w14:paraId="5D5A0DF4">
                  <w:pPr>
                    <w:pageBreakBefore w:val="0"/>
                    <w:widowControl/>
                    <w:kinsoku/>
                    <w:wordWrap/>
                    <w:overflowPunct/>
                    <w:topLinePunct w:val="0"/>
                    <w:autoSpaceDE/>
                    <w:autoSpaceDN/>
                    <w:bidi w:val="0"/>
                    <w:adjustRightInd/>
                    <w:snapToGrid/>
                    <w:ind w:left="0" w:right="0"/>
                    <w:jc w:val="center"/>
                    <w:rPr>
                      <w:color w:val="auto"/>
                      <w:sz w:val="21"/>
                      <w:szCs w:val="21"/>
                    </w:rPr>
                  </w:pPr>
                  <w:r>
                    <w:rPr>
                      <w:color w:val="auto"/>
                      <w:kern w:val="0"/>
                      <w:sz w:val="21"/>
                      <w:szCs w:val="21"/>
                    </w:rPr>
                    <w:t>X</w:t>
                  </w:r>
                </w:p>
              </w:tc>
              <w:tc>
                <w:tcPr>
                  <w:tcW w:w="818" w:type="dxa"/>
                  <w:tcBorders>
                    <w:tl2br w:val="nil"/>
                    <w:tr2bl w:val="nil"/>
                  </w:tcBorders>
                  <w:vAlign w:val="center"/>
                </w:tcPr>
                <w:p w14:paraId="2C123338">
                  <w:pPr>
                    <w:pageBreakBefore w:val="0"/>
                    <w:widowControl/>
                    <w:kinsoku/>
                    <w:wordWrap/>
                    <w:overflowPunct/>
                    <w:topLinePunct w:val="0"/>
                    <w:autoSpaceDE/>
                    <w:autoSpaceDN/>
                    <w:bidi w:val="0"/>
                    <w:adjustRightInd/>
                    <w:snapToGrid/>
                    <w:ind w:left="0" w:right="0"/>
                    <w:jc w:val="center"/>
                    <w:rPr>
                      <w:color w:val="auto"/>
                      <w:sz w:val="21"/>
                      <w:szCs w:val="21"/>
                    </w:rPr>
                  </w:pPr>
                  <w:r>
                    <w:rPr>
                      <w:color w:val="auto"/>
                      <w:kern w:val="0"/>
                      <w:sz w:val="21"/>
                      <w:szCs w:val="21"/>
                    </w:rPr>
                    <w:t>Y</w:t>
                  </w:r>
                </w:p>
              </w:tc>
              <w:tc>
                <w:tcPr>
                  <w:tcW w:w="1006" w:type="dxa"/>
                  <w:vMerge w:val="continue"/>
                  <w:tcBorders>
                    <w:tl2br w:val="nil"/>
                    <w:tr2bl w:val="nil"/>
                  </w:tcBorders>
                  <w:vAlign w:val="center"/>
                </w:tcPr>
                <w:p w14:paraId="08F039D6">
                  <w:pPr>
                    <w:pageBreakBefore w:val="0"/>
                    <w:kinsoku/>
                    <w:wordWrap/>
                    <w:overflowPunct/>
                    <w:topLinePunct w:val="0"/>
                    <w:autoSpaceDE/>
                    <w:autoSpaceDN/>
                    <w:bidi w:val="0"/>
                    <w:adjustRightInd/>
                    <w:snapToGrid/>
                    <w:ind w:left="0" w:right="0"/>
                    <w:jc w:val="center"/>
                    <w:rPr>
                      <w:color w:val="auto"/>
                      <w:sz w:val="21"/>
                      <w:szCs w:val="21"/>
                    </w:rPr>
                  </w:pPr>
                </w:p>
              </w:tc>
              <w:tc>
                <w:tcPr>
                  <w:tcW w:w="896" w:type="dxa"/>
                  <w:vMerge w:val="continue"/>
                  <w:tcBorders>
                    <w:tl2br w:val="nil"/>
                    <w:tr2bl w:val="nil"/>
                  </w:tcBorders>
                  <w:vAlign w:val="center"/>
                </w:tcPr>
                <w:p w14:paraId="7980F540">
                  <w:pPr>
                    <w:pageBreakBefore w:val="0"/>
                    <w:kinsoku/>
                    <w:wordWrap/>
                    <w:overflowPunct/>
                    <w:topLinePunct w:val="0"/>
                    <w:autoSpaceDE/>
                    <w:autoSpaceDN/>
                    <w:bidi w:val="0"/>
                    <w:adjustRightInd/>
                    <w:snapToGrid/>
                    <w:ind w:left="0" w:right="0"/>
                    <w:jc w:val="center"/>
                    <w:rPr>
                      <w:color w:val="auto"/>
                      <w:sz w:val="21"/>
                      <w:szCs w:val="21"/>
                    </w:rPr>
                  </w:pPr>
                </w:p>
              </w:tc>
              <w:tc>
                <w:tcPr>
                  <w:tcW w:w="697" w:type="dxa"/>
                  <w:vMerge w:val="continue"/>
                  <w:tcBorders>
                    <w:tl2br w:val="nil"/>
                    <w:tr2bl w:val="nil"/>
                  </w:tcBorders>
                  <w:vAlign w:val="center"/>
                </w:tcPr>
                <w:p w14:paraId="652F3208">
                  <w:pPr>
                    <w:pageBreakBefore w:val="0"/>
                    <w:kinsoku/>
                    <w:wordWrap/>
                    <w:overflowPunct/>
                    <w:topLinePunct w:val="0"/>
                    <w:autoSpaceDE/>
                    <w:autoSpaceDN/>
                    <w:bidi w:val="0"/>
                    <w:adjustRightInd/>
                    <w:snapToGrid/>
                    <w:ind w:left="0" w:right="0"/>
                    <w:jc w:val="center"/>
                    <w:rPr>
                      <w:color w:val="auto"/>
                      <w:sz w:val="21"/>
                      <w:szCs w:val="21"/>
                    </w:rPr>
                  </w:pPr>
                </w:p>
              </w:tc>
              <w:tc>
                <w:tcPr>
                  <w:tcW w:w="2025" w:type="dxa"/>
                  <w:vMerge w:val="continue"/>
                  <w:tcBorders>
                    <w:tl2br w:val="nil"/>
                    <w:tr2bl w:val="nil"/>
                  </w:tcBorders>
                  <w:vAlign w:val="center"/>
                </w:tcPr>
                <w:p w14:paraId="3284AB4F">
                  <w:pPr>
                    <w:pageBreakBefore w:val="0"/>
                    <w:kinsoku/>
                    <w:wordWrap/>
                    <w:overflowPunct/>
                    <w:topLinePunct w:val="0"/>
                    <w:autoSpaceDE/>
                    <w:autoSpaceDN/>
                    <w:bidi w:val="0"/>
                    <w:adjustRightInd/>
                    <w:snapToGrid/>
                    <w:ind w:left="0" w:right="0"/>
                    <w:jc w:val="center"/>
                    <w:rPr>
                      <w:color w:val="auto"/>
                      <w:sz w:val="21"/>
                      <w:szCs w:val="21"/>
                    </w:rPr>
                  </w:pPr>
                </w:p>
              </w:tc>
            </w:tr>
            <w:tr w14:paraId="4B94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07" w:type="dxa"/>
                  <w:tcBorders>
                    <w:tl2br w:val="nil"/>
                    <w:tr2bl w:val="nil"/>
                  </w:tcBorders>
                  <w:vAlign w:val="center"/>
                </w:tcPr>
                <w:p w14:paraId="2F9A4646">
                  <w:pPr>
                    <w:pageBreakBefore w:val="0"/>
                    <w:kinsoku/>
                    <w:wordWrap/>
                    <w:overflowPunct/>
                    <w:topLinePunct w:val="0"/>
                    <w:autoSpaceDE/>
                    <w:autoSpaceDN/>
                    <w:bidi w:val="0"/>
                    <w:adjustRightInd/>
                    <w:snapToGrid/>
                    <w:ind w:left="0" w:right="0"/>
                    <w:jc w:val="center"/>
                    <w:rPr>
                      <w:color w:val="auto"/>
                      <w:sz w:val="21"/>
                      <w:szCs w:val="21"/>
                    </w:rPr>
                  </w:pPr>
                  <w:r>
                    <w:rPr>
                      <w:color w:val="auto"/>
                      <w:sz w:val="21"/>
                      <w:szCs w:val="21"/>
                    </w:rPr>
                    <w:t>地表水环境</w:t>
                  </w:r>
                </w:p>
              </w:tc>
              <w:tc>
                <w:tcPr>
                  <w:tcW w:w="617" w:type="dxa"/>
                  <w:tcBorders>
                    <w:tl2br w:val="nil"/>
                    <w:tr2bl w:val="nil"/>
                  </w:tcBorders>
                  <w:vAlign w:val="center"/>
                </w:tcPr>
                <w:p w14:paraId="5473E750">
                  <w:pPr>
                    <w:pageBreakBefore w:val="0"/>
                    <w:kinsoku/>
                    <w:wordWrap/>
                    <w:overflowPunct/>
                    <w:topLinePunct w:val="0"/>
                    <w:autoSpaceDE/>
                    <w:autoSpaceDN/>
                    <w:bidi w:val="0"/>
                    <w:adjustRightInd/>
                    <w:snapToGrid/>
                    <w:ind w:left="0" w:right="0"/>
                    <w:jc w:val="center"/>
                    <w:rPr>
                      <w:color w:val="auto"/>
                      <w:sz w:val="21"/>
                      <w:szCs w:val="21"/>
                    </w:rPr>
                  </w:pPr>
                  <w:r>
                    <w:rPr>
                      <w:color w:val="auto"/>
                      <w:sz w:val="21"/>
                      <w:szCs w:val="21"/>
                    </w:rPr>
                    <w:t>1</w:t>
                  </w:r>
                </w:p>
              </w:tc>
              <w:tc>
                <w:tcPr>
                  <w:tcW w:w="857" w:type="dxa"/>
                  <w:tcBorders>
                    <w:tl2br w:val="nil"/>
                    <w:tr2bl w:val="nil"/>
                  </w:tcBorders>
                  <w:vAlign w:val="center"/>
                </w:tcPr>
                <w:p w14:paraId="39208CFD">
                  <w:pPr>
                    <w:pageBreakBefore w:val="0"/>
                    <w:kinsoku/>
                    <w:wordWrap/>
                    <w:overflowPunct/>
                    <w:topLinePunct w:val="0"/>
                    <w:autoSpaceDE/>
                    <w:autoSpaceDN/>
                    <w:bidi w:val="0"/>
                    <w:adjustRightInd/>
                    <w:snapToGrid/>
                    <w:ind w:left="0" w:right="0"/>
                    <w:jc w:val="center"/>
                    <w:rPr>
                      <w:rFonts w:hint="eastAsia" w:eastAsia="宋体"/>
                      <w:color w:val="auto"/>
                      <w:sz w:val="21"/>
                      <w:szCs w:val="21"/>
                      <w:lang w:eastAsia="zh-CN"/>
                    </w:rPr>
                  </w:pPr>
                  <w:r>
                    <w:rPr>
                      <w:rFonts w:hint="eastAsia"/>
                      <w:color w:val="auto"/>
                      <w:sz w:val="21"/>
                      <w:szCs w:val="21"/>
                      <w:lang w:eastAsia="zh-CN"/>
                    </w:rPr>
                    <w:t>西淠河</w:t>
                  </w:r>
                </w:p>
              </w:tc>
              <w:tc>
                <w:tcPr>
                  <w:tcW w:w="912" w:type="dxa"/>
                  <w:tcBorders>
                    <w:tl2br w:val="nil"/>
                    <w:tr2bl w:val="nil"/>
                  </w:tcBorders>
                  <w:vAlign w:val="center"/>
                </w:tcPr>
                <w:p w14:paraId="1B67E597">
                  <w:pPr>
                    <w:pageBreakBefore w:val="0"/>
                    <w:kinsoku/>
                    <w:wordWrap/>
                    <w:overflowPunct/>
                    <w:topLinePunct w:val="0"/>
                    <w:autoSpaceDE/>
                    <w:autoSpaceDN/>
                    <w:bidi w:val="0"/>
                    <w:adjustRightInd/>
                    <w:snapToGrid/>
                    <w:ind w:left="0" w:right="0"/>
                    <w:jc w:val="center"/>
                    <w:rPr>
                      <w:rFonts w:hint="eastAsia" w:eastAsia="宋体"/>
                      <w:color w:val="auto"/>
                      <w:sz w:val="21"/>
                      <w:szCs w:val="21"/>
                      <w:lang w:val="en-US" w:eastAsia="zh-CN"/>
                    </w:rPr>
                  </w:pPr>
                  <w:r>
                    <w:rPr>
                      <w:rFonts w:hint="eastAsia"/>
                      <w:color w:val="auto"/>
                      <w:sz w:val="21"/>
                      <w:szCs w:val="21"/>
                      <w:lang w:val="en-US" w:eastAsia="zh-CN"/>
                    </w:rPr>
                    <w:t>/</w:t>
                  </w:r>
                </w:p>
              </w:tc>
              <w:tc>
                <w:tcPr>
                  <w:tcW w:w="818" w:type="dxa"/>
                  <w:tcBorders>
                    <w:tl2br w:val="nil"/>
                    <w:tr2bl w:val="nil"/>
                  </w:tcBorders>
                  <w:vAlign w:val="center"/>
                </w:tcPr>
                <w:p w14:paraId="7BCB8159">
                  <w:pPr>
                    <w:pageBreakBefore w:val="0"/>
                    <w:kinsoku/>
                    <w:wordWrap/>
                    <w:overflowPunct/>
                    <w:topLinePunct w:val="0"/>
                    <w:autoSpaceDE/>
                    <w:autoSpaceDN/>
                    <w:bidi w:val="0"/>
                    <w:adjustRightInd/>
                    <w:snapToGrid/>
                    <w:ind w:left="0" w:right="0"/>
                    <w:jc w:val="center"/>
                    <w:rPr>
                      <w:rFonts w:hint="eastAsia" w:eastAsia="宋体"/>
                      <w:color w:val="auto"/>
                      <w:sz w:val="21"/>
                      <w:szCs w:val="21"/>
                      <w:lang w:val="en-US" w:eastAsia="zh-CN"/>
                    </w:rPr>
                  </w:pPr>
                  <w:r>
                    <w:rPr>
                      <w:rFonts w:hint="eastAsia"/>
                      <w:color w:val="auto"/>
                      <w:sz w:val="21"/>
                      <w:szCs w:val="21"/>
                      <w:lang w:val="en-US" w:eastAsia="zh-CN"/>
                    </w:rPr>
                    <w:t>/</w:t>
                  </w:r>
                </w:p>
              </w:tc>
              <w:tc>
                <w:tcPr>
                  <w:tcW w:w="1006" w:type="dxa"/>
                  <w:tcBorders>
                    <w:tl2br w:val="nil"/>
                    <w:tr2bl w:val="nil"/>
                  </w:tcBorders>
                  <w:vAlign w:val="center"/>
                </w:tcPr>
                <w:p w14:paraId="657B0084">
                  <w:pPr>
                    <w:pageBreakBefore w:val="0"/>
                    <w:kinsoku/>
                    <w:wordWrap/>
                    <w:overflowPunct/>
                    <w:topLinePunct w:val="0"/>
                    <w:autoSpaceDE/>
                    <w:autoSpaceDN/>
                    <w:bidi w:val="0"/>
                    <w:adjustRightInd/>
                    <w:snapToGrid/>
                    <w:ind w:left="0" w:right="0"/>
                    <w:jc w:val="center"/>
                    <w:rPr>
                      <w:rFonts w:hint="default" w:eastAsia="宋体"/>
                      <w:color w:val="auto"/>
                      <w:sz w:val="21"/>
                      <w:szCs w:val="21"/>
                      <w:lang w:val="en-US" w:eastAsia="zh-CN"/>
                    </w:rPr>
                  </w:pPr>
                  <w:r>
                    <w:rPr>
                      <w:rFonts w:hint="eastAsia"/>
                      <w:color w:val="auto"/>
                      <w:sz w:val="21"/>
                      <w:szCs w:val="21"/>
                      <w:lang w:val="en-US" w:eastAsia="zh-CN"/>
                    </w:rPr>
                    <w:t>小型河流</w:t>
                  </w:r>
                </w:p>
              </w:tc>
              <w:tc>
                <w:tcPr>
                  <w:tcW w:w="896" w:type="dxa"/>
                  <w:tcBorders>
                    <w:tl2br w:val="nil"/>
                    <w:tr2bl w:val="nil"/>
                  </w:tcBorders>
                  <w:vAlign w:val="center"/>
                </w:tcPr>
                <w:p w14:paraId="63ADC6BD">
                  <w:pPr>
                    <w:pageBreakBefore w:val="0"/>
                    <w:kinsoku/>
                    <w:wordWrap/>
                    <w:overflowPunct/>
                    <w:topLinePunct w:val="0"/>
                    <w:autoSpaceDE/>
                    <w:autoSpaceDN/>
                    <w:bidi w:val="0"/>
                    <w:adjustRightInd/>
                    <w:snapToGrid/>
                    <w:ind w:left="0" w:right="0"/>
                    <w:jc w:val="center"/>
                    <w:rPr>
                      <w:rFonts w:hint="default" w:eastAsia="宋体"/>
                      <w:color w:val="auto"/>
                      <w:sz w:val="21"/>
                      <w:szCs w:val="21"/>
                      <w:lang w:val="en-US" w:eastAsia="zh-CN"/>
                    </w:rPr>
                  </w:pPr>
                  <w:r>
                    <w:rPr>
                      <w:rFonts w:hint="eastAsia"/>
                      <w:color w:val="auto"/>
                      <w:sz w:val="21"/>
                      <w:szCs w:val="21"/>
                      <w:lang w:val="en-US" w:eastAsia="zh-CN"/>
                    </w:rPr>
                    <w:t>22</w:t>
                  </w:r>
                </w:p>
              </w:tc>
              <w:tc>
                <w:tcPr>
                  <w:tcW w:w="697" w:type="dxa"/>
                  <w:tcBorders>
                    <w:tl2br w:val="nil"/>
                    <w:tr2bl w:val="nil"/>
                  </w:tcBorders>
                  <w:vAlign w:val="center"/>
                </w:tcPr>
                <w:p w14:paraId="687E7D31">
                  <w:pPr>
                    <w:pageBreakBefore w:val="0"/>
                    <w:kinsoku/>
                    <w:wordWrap/>
                    <w:overflowPunct/>
                    <w:topLinePunct w:val="0"/>
                    <w:autoSpaceDE/>
                    <w:autoSpaceDN/>
                    <w:bidi w:val="0"/>
                    <w:adjustRightInd/>
                    <w:snapToGrid/>
                    <w:ind w:left="0" w:right="0"/>
                    <w:jc w:val="center"/>
                    <w:rPr>
                      <w:color w:val="auto"/>
                      <w:sz w:val="21"/>
                      <w:szCs w:val="21"/>
                    </w:rPr>
                  </w:pPr>
                  <w:r>
                    <w:rPr>
                      <w:color w:val="auto"/>
                      <w:sz w:val="21"/>
                      <w:szCs w:val="21"/>
                    </w:rPr>
                    <w:t>W</w:t>
                  </w:r>
                </w:p>
              </w:tc>
              <w:tc>
                <w:tcPr>
                  <w:tcW w:w="2025" w:type="dxa"/>
                  <w:tcBorders>
                    <w:tl2br w:val="nil"/>
                    <w:tr2bl w:val="nil"/>
                  </w:tcBorders>
                  <w:vAlign w:val="center"/>
                </w:tcPr>
                <w:p w14:paraId="2B9FB443">
                  <w:pPr>
                    <w:pageBreakBefore w:val="0"/>
                    <w:kinsoku/>
                    <w:wordWrap/>
                    <w:overflowPunct/>
                    <w:topLinePunct w:val="0"/>
                    <w:autoSpaceDE/>
                    <w:autoSpaceDN/>
                    <w:bidi w:val="0"/>
                    <w:adjustRightInd/>
                    <w:snapToGrid/>
                    <w:ind w:left="0" w:right="0"/>
                    <w:jc w:val="center"/>
                    <w:rPr>
                      <w:color w:val="auto"/>
                      <w:sz w:val="21"/>
                      <w:szCs w:val="21"/>
                    </w:rPr>
                  </w:pPr>
                  <w:r>
                    <w:rPr>
                      <w:color w:val="auto"/>
                      <w:sz w:val="21"/>
                      <w:szCs w:val="21"/>
                    </w:rPr>
                    <w:t>《地表水环境质量标准》（GB3838-2002）</w:t>
                  </w:r>
                </w:p>
                <w:p w14:paraId="0B0261F8">
                  <w:pPr>
                    <w:pageBreakBefore w:val="0"/>
                    <w:kinsoku/>
                    <w:wordWrap/>
                    <w:overflowPunct/>
                    <w:topLinePunct w:val="0"/>
                    <w:autoSpaceDE/>
                    <w:autoSpaceDN/>
                    <w:bidi w:val="0"/>
                    <w:adjustRightInd/>
                    <w:snapToGrid/>
                    <w:ind w:left="0" w:right="0"/>
                    <w:jc w:val="center"/>
                    <w:rPr>
                      <w:color w:val="auto"/>
                      <w:sz w:val="21"/>
                      <w:szCs w:val="21"/>
                    </w:rPr>
                  </w:pPr>
                  <w:r>
                    <w:rPr>
                      <w:color w:val="auto"/>
                      <w:sz w:val="21"/>
                      <w:szCs w:val="21"/>
                    </w:rPr>
                    <w:t>III类标准</w:t>
                  </w:r>
                </w:p>
              </w:tc>
            </w:tr>
          </w:tbl>
          <w:p w14:paraId="706EA77E">
            <w:pPr>
              <w:pageBreakBefore w:val="0"/>
              <w:kinsoku/>
              <w:wordWrap/>
              <w:overflowPunct/>
              <w:topLinePunct w:val="0"/>
              <w:autoSpaceDE/>
              <w:autoSpaceDN/>
              <w:bidi w:val="0"/>
              <w:adjustRightInd/>
              <w:snapToGrid/>
              <w:spacing w:line="360" w:lineRule="auto"/>
              <w:ind w:left="0" w:right="0" w:firstLine="482" w:firstLineChars="200"/>
              <w:rPr>
                <w:b/>
                <w:color w:val="auto"/>
                <w:kern w:val="0"/>
                <w:sz w:val="24"/>
              </w:rPr>
            </w:pPr>
            <w:r>
              <w:rPr>
                <w:b/>
                <w:bCs/>
                <w:iCs/>
                <w:color w:val="auto"/>
                <w:sz w:val="24"/>
              </w:rPr>
              <w:t>3、声环境保护目标</w:t>
            </w:r>
          </w:p>
          <w:p w14:paraId="59C7A0DD">
            <w:pPr>
              <w:pStyle w:val="107"/>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jc w:val="both"/>
              <w:rPr>
                <w:b/>
                <w:color w:val="auto"/>
                <w:kern w:val="0"/>
                <w:sz w:val="24"/>
                <w:szCs w:val="24"/>
              </w:rPr>
            </w:pPr>
            <w:r>
              <w:rPr>
                <w:color w:val="auto"/>
                <w:kern w:val="0"/>
                <w:sz w:val="24"/>
                <w:szCs w:val="24"/>
              </w:rPr>
              <w:t>根据现场踏勘与调查，</w:t>
            </w:r>
            <w:r>
              <w:rPr>
                <w:rFonts w:hint="default" w:ascii="Times New Roman" w:hAnsi="Times New Roman" w:eastAsia="宋体" w:cs="Times New Roman"/>
                <w:color w:val="auto"/>
                <w:spacing w:val="-2"/>
                <w:sz w:val="24"/>
                <w:szCs w:val="24"/>
              </w:rPr>
              <w:t>项目厂界外50米范围内</w:t>
            </w:r>
            <w:r>
              <w:rPr>
                <w:rFonts w:hint="eastAsia"/>
                <w:color w:val="auto"/>
                <w:kern w:val="0"/>
                <w:sz w:val="24"/>
                <w:szCs w:val="24"/>
                <w:lang w:val="en-US" w:eastAsia="zh-CN"/>
              </w:rPr>
              <w:t>有2处散户</w:t>
            </w:r>
            <w:r>
              <w:rPr>
                <w:rFonts w:hint="default" w:ascii="Times New Roman" w:hAnsi="Times New Roman" w:eastAsia="宋体" w:cs="Times New Roman"/>
                <w:color w:val="auto"/>
                <w:spacing w:val="-2"/>
                <w:sz w:val="24"/>
                <w:szCs w:val="24"/>
                <w:lang w:eastAsia="zh-CN"/>
              </w:rPr>
              <w:t>。</w:t>
            </w:r>
          </w:p>
          <w:p w14:paraId="75C21F16">
            <w:pPr>
              <w:pageBreakBefore w:val="0"/>
              <w:kinsoku/>
              <w:wordWrap/>
              <w:overflowPunct/>
              <w:topLinePunct w:val="0"/>
              <w:autoSpaceDE/>
              <w:autoSpaceDN/>
              <w:bidi w:val="0"/>
              <w:adjustRightInd/>
              <w:snapToGrid/>
              <w:spacing w:line="360" w:lineRule="auto"/>
              <w:ind w:left="0" w:right="0"/>
              <w:jc w:val="center"/>
              <w:rPr>
                <w:b/>
                <w:color w:val="auto"/>
                <w:kern w:val="0"/>
                <w:sz w:val="24"/>
              </w:rPr>
            </w:pPr>
            <w:r>
              <w:rPr>
                <w:b/>
                <w:color w:val="auto"/>
                <w:kern w:val="0"/>
                <w:sz w:val="24"/>
              </w:rPr>
              <w:t>3-</w:t>
            </w:r>
            <w:r>
              <w:rPr>
                <w:rFonts w:hint="eastAsia"/>
                <w:b/>
                <w:color w:val="auto"/>
                <w:kern w:val="0"/>
                <w:sz w:val="24"/>
                <w:lang w:val="en-US" w:eastAsia="zh-CN"/>
              </w:rPr>
              <w:t>6</w:t>
            </w:r>
            <w:r>
              <w:rPr>
                <w:b/>
                <w:color w:val="auto"/>
                <w:kern w:val="0"/>
                <w:sz w:val="24"/>
              </w:rPr>
              <w:t xml:space="preserve"> 项目环境敏感保护目标一览表</w:t>
            </w:r>
          </w:p>
          <w:tbl>
            <w:tblPr>
              <w:tblStyle w:val="31"/>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7"/>
              <w:gridCol w:w="617"/>
              <w:gridCol w:w="857"/>
              <w:gridCol w:w="912"/>
              <w:gridCol w:w="818"/>
              <w:gridCol w:w="1006"/>
              <w:gridCol w:w="896"/>
              <w:gridCol w:w="697"/>
              <w:gridCol w:w="2025"/>
            </w:tblGrid>
            <w:tr w14:paraId="25AD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07" w:type="dxa"/>
                  <w:vMerge w:val="restart"/>
                  <w:tcBorders>
                    <w:tl2br w:val="nil"/>
                    <w:tr2bl w:val="nil"/>
                  </w:tcBorders>
                  <w:vAlign w:val="center"/>
                </w:tcPr>
                <w:p w14:paraId="1FCAEEE1">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类别</w:t>
                  </w:r>
                </w:p>
              </w:tc>
              <w:tc>
                <w:tcPr>
                  <w:tcW w:w="617" w:type="dxa"/>
                  <w:vMerge w:val="restart"/>
                  <w:tcBorders>
                    <w:tl2br w:val="nil"/>
                    <w:tr2bl w:val="nil"/>
                  </w:tcBorders>
                  <w:vAlign w:val="center"/>
                </w:tcPr>
                <w:p w14:paraId="2DF85952">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序号</w:t>
                  </w:r>
                </w:p>
              </w:tc>
              <w:tc>
                <w:tcPr>
                  <w:tcW w:w="857" w:type="dxa"/>
                  <w:vMerge w:val="restart"/>
                  <w:tcBorders>
                    <w:tl2br w:val="nil"/>
                    <w:tr2bl w:val="nil"/>
                  </w:tcBorders>
                  <w:vAlign w:val="center"/>
                </w:tcPr>
                <w:p w14:paraId="26456767">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主要保护目标</w:t>
                  </w:r>
                </w:p>
              </w:tc>
              <w:tc>
                <w:tcPr>
                  <w:tcW w:w="1730" w:type="dxa"/>
                  <w:gridSpan w:val="2"/>
                  <w:tcBorders>
                    <w:tl2br w:val="nil"/>
                    <w:tr2bl w:val="nil"/>
                  </w:tcBorders>
                  <w:vAlign w:val="center"/>
                </w:tcPr>
                <w:p w14:paraId="71520563">
                  <w:pPr>
                    <w:pageBreakBefore w:val="0"/>
                    <w:widowControl/>
                    <w:kinsoku/>
                    <w:wordWrap/>
                    <w:overflowPunct/>
                    <w:topLinePunct w:val="0"/>
                    <w:autoSpaceDE/>
                    <w:autoSpaceDN/>
                    <w:bidi w:val="0"/>
                    <w:adjustRightInd/>
                    <w:snapToGrid/>
                    <w:ind w:left="0" w:right="0"/>
                    <w:jc w:val="center"/>
                    <w:rPr>
                      <w:b/>
                      <w:bCs/>
                      <w:color w:val="auto"/>
                      <w:sz w:val="21"/>
                      <w:szCs w:val="21"/>
                    </w:rPr>
                  </w:pPr>
                  <w:r>
                    <w:rPr>
                      <w:b/>
                      <w:bCs/>
                      <w:color w:val="auto"/>
                      <w:kern w:val="0"/>
                      <w:sz w:val="21"/>
                      <w:szCs w:val="21"/>
                    </w:rPr>
                    <w:t>坐标</w:t>
                  </w:r>
                </w:p>
              </w:tc>
              <w:tc>
                <w:tcPr>
                  <w:tcW w:w="1006" w:type="dxa"/>
                  <w:vMerge w:val="restart"/>
                  <w:tcBorders>
                    <w:tl2br w:val="nil"/>
                    <w:tr2bl w:val="nil"/>
                  </w:tcBorders>
                  <w:vAlign w:val="center"/>
                </w:tcPr>
                <w:p w14:paraId="748547DC">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性质、规模</w:t>
                  </w:r>
                </w:p>
              </w:tc>
              <w:tc>
                <w:tcPr>
                  <w:tcW w:w="896" w:type="dxa"/>
                  <w:vMerge w:val="restart"/>
                  <w:tcBorders>
                    <w:tl2br w:val="nil"/>
                    <w:tr2bl w:val="nil"/>
                  </w:tcBorders>
                  <w:vAlign w:val="center"/>
                </w:tcPr>
                <w:p w14:paraId="010457B1">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距离(m)</w:t>
                  </w:r>
                </w:p>
              </w:tc>
              <w:tc>
                <w:tcPr>
                  <w:tcW w:w="697" w:type="dxa"/>
                  <w:vMerge w:val="restart"/>
                  <w:tcBorders>
                    <w:tl2br w:val="nil"/>
                    <w:tr2bl w:val="nil"/>
                  </w:tcBorders>
                  <w:vAlign w:val="center"/>
                </w:tcPr>
                <w:p w14:paraId="7BB50F72">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方位</w:t>
                  </w:r>
                </w:p>
              </w:tc>
              <w:tc>
                <w:tcPr>
                  <w:tcW w:w="2025" w:type="dxa"/>
                  <w:vMerge w:val="restart"/>
                  <w:tcBorders>
                    <w:tl2br w:val="nil"/>
                    <w:tr2bl w:val="nil"/>
                  </w:tcBorders>
                  <w:vAlign w:val="center"/>
                </w:tcPr>
                <w:p w14:paraId="294B24CF">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保护级别</w:t>
                  </w:r>
                </w:p>
              </w:tc>
            </w:tr>
            <w:tr w14:paraId="0CA2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07" w:type="dxa"/>
                  <w:vMerge w:val="continue"/>
                  <w:tcBorders>
                    <w:tl2br w:val="nil"/>
                    <w:tr2bl w:val="nil"/>
                  </w:tcBorders>
                  <w:vAlign w:val="center"/>
                </w:tcPr>
                <w:p w14:paraId="583EF0DB">
                  <w:pPr>
                    <w:pageBreakBefore w:val="0"/>
                    <w:kinsoku/>
                    <w:wordWrap/>
                    <w:overflowPunct/>
                    <w:topLinePunct w:val="0"/>
                    <w:autoSpaceDE/>
                    <w:autoSpaceDN/>
                    <w:bidi w:val="0"/>
                    <w:adjustRightInd/>
                    <w:snapToGrid/>
                    <w:ind w:left="0" w:right="0"/>
                    <w:jc w:val="center"/>
                    <w:rPr>
                      <w:color w:val="auto"/>
                      <w:sz w:val="21"/>
                      <w:szCs w:val="21"/>
                    </w:rPr>
                  </w:pPr>
                </w:p>
              </w:tc>
              <w:tc>
                <w:tcPr>
                  <w:tcW w:w="617" w:type="dxa"/>
                  <w:vMerge w:val="continue"/>
                  <w:tcBorders>
                    <w:tl2br w:val="nil"/>
                    <w:tr2bl w:val="nil"/>
                  </w:tcBorders>
                  <w:vAlign w:val="center"/>
                </w:tcPr>
                <w:p w14:paraId="4398B039">
                  <w:pPr>
                    <w:pageBreakBefore w:val="0"/>
                    <w:kinsoku/>
                    <w:wordWrap/>
                    <w:overflowPunct/>
                    <w:topLinePunct w:val="0"/>
                    <w:autoSpaceDE/>
                    <w:autoSpaceDN/>
                    <w:bidi w:val="0"/>
                    <w:adjustRightInd/>
                    <w:snapToGrid/>
                    <w:ind w:left="0" w:right="0"/>
                    <w:jc w:val="center"/>
                    <w:rPr>
                      <w:color w:val="auto"/>
                      <w:sz w:val="21"/>
                      <w:szCs w:val="21"/>
                    </w:rPr>
                  </w:pPr>
                </w:p>
              </w:tc>
              <w:tc>
                <w:tcPr>
                  <w:tcW w:w="857" w:type="dxa"/>
                  <w:vMerge w:val="continue"/>
                  <w:tcBorders>
                    <w:tl2br w:val="nil"/>
                    <w:tr2bl w:val="nil"/>
                  </w:tcBorders>
                  <w:vAlign w:val="center"/>
                </w:tcPr>
                <w:p w14:paraId="5879AEDE">
                  <w:pPr>
                    <w:pageBreakBefore w:val="0"/>
                    <w:kinsoku/>
                    <w:wordWrap/>
                    <w:overflowPunct/>
                    <w:topLinePunct w:val="0"/>
                    <w:autoSpaceDE/>
                    <w:autoSpaceDN/>
                    <w:bidi w:val="0"/>
                    <w:adjustRightInd/>
                    <w:snapToGrid/>
                    <w:ind w:left="0" w:right="0"/>
                    <w:jc w:val="center"/>
                    <w:rPr>
                      <w:color w:val="auto"/>
                      <w:sz w:val="21"/>
                      <w:szCs w:val="21"/>
                    </w:rPr>
                  </w:pPr>
                </w:p>
              </w:tc>
              <w:tc>
                <w:tcPr>
                  <w:tcW w:w="912" w:type="dxa"/>
                  <w:tcBorders>
                    <w:tl2br w:val="nil"/>
                    <w:tr2bl w:val="nil"/>
                  </w:tcBorders>
                  <w:vAlign w:val="center"/>
                </w:tcPr>
                <w:p w14:paraId="672992CD">
                  <w:pPr>
                    <w:pageBreakBefore w:val="0"/>
                    <w:widowControl/>
                    <w:kinsoku/>
                    <w:wordWrap/>
                    <w:overflowPunct/>
                    <w:topLinePunct w:val="0"/>
                    <w:autoSpaceDE/>
                    <w:autoSpaceDN/>
                    <w:bidi w:val="0"/>
                    <w:adjustRightInd/>
                    <w:snapToGrid/>
                    <w:ind w:left="0" w:right="0"/>
                    <w:jc w:val="center"/>
                    <w:rPr>
                      <w:color w:val="auto"/>
                      <w:sz w:val="21"/>
                      <w:szCs w:val="21"/>
                    </w:rPr>
                  </w:pPr>
                  <w:r>
                    <w:rPr>
                      <w:color w:val="auto"/>
                      <w:kern w:val="0"/>
                      <w:sz w:val="21"/>
                      <w:szCs w:val="21"/>
                    </w:rPr>
                    <w:t>X</w:t>
                  </w:r>
                </w:p>
              </w:tc>
              <w:tc>
                <w:tcPr>
                  <w:tcW w:w="818" w:type="dxa"/>
                  <w:tcBorders>
                    <w:tl2br w:val="nil"/>
                    <w:tr2bl w:val="nil"/>
                  </w:tcBorders>
                  <w:vAlign w:val="center"/>
                </w:tcPr>
                <w:p w14:paraId="69EE6322">
                  <w:pPr>
                    <w:pageBreakBefore w:val="0"/>
                    <w:widowControl/>
                    <w:kinsoku/>
                    <w:wordWrap/>
                    <w:overflowPunct/>
                    <w:topLinePunct w:val="0"/>
                    <w:autoSpaceDE/>
                    <w:autoSpaceDN/>
                    <w:bidi w:val="0"/>
                    <w:adjustRightInd/>
                    <w:snapToGrid/>
                    <w:ind w:left="0" w:right="0"/>
                    <w:jc w:val="center"/>
                    <w:rPr>
                      <w:color w:val="auto"/>
                      <w:sz w:val="21"/>
                      <w:szCs w:val="21"/>
                    </w:rPr>
                  </w:pPr>
                  <w:r>
                    <w:rPr>
                      <w:color w:val="auto"/>
                      <w:kern w:val="0"/>
                      <w:sz w:val="21"/>
                      <w:szCs w:val="21"/>
                    </w:rPr>
                    <w:t>Y</w:t>
                  </w:r>
                </w:p>
              </w:tc>
              <w:tc>
                <w:tcPr>
                  <w:tcW w:w="1006" w:type="dxa"/>
                  <w:vMerge w:val="continue"/>
                  <w:tcBorders>
                    <w:tl2br w:val="nil"/>
                    <w:tr2bl w:val="nil"/>
                  </w:tcBorders>
                  <w:vAlign w:val="center"/>
                </w:tcPr>
                <w:p w14:paraId="126EA299">
                  <w:pPr>
                    <w:pageBreakBefore w:val="0"/>
                    <w:kinsoku/>
                    <w:wordWrap/>
                    <w:overflowPunct/>
                    <w:topLinePunct w:val="0"/>
                    <w:autoSpaceDE/>
                    <w:autoSpaceDN/>
                    <w:bidi w:val="0"/>
                    <w:adjustRightInd/>
                    <w:snapToGrid/>
                    <w:ind w:left="0" w:right="0"/>
                    <w:jc w:val="center"/>
                    <w:rPr>
                      <w:color w:val="auto"/>
                      <w:sz w:val="21"/>
                      <w:szCs w:val="21"/>
                    </w:rPr>
                  </w:pPr>
                </w:p>
              </w:tc>
              <w:tc>
                <w:tcPr>
                  <w:tcW w:w="896" w:type="dxa"/>
                  <w:vMerge w:val="continue"/>
                  <w:tcBorders>
                    <w:tl2br w:val="nil"/>
                    <w:tr2bl w:val="nil"/>
                  </w:tcBorders>
                  <w:vAlign w:val="center"/>
                </w:tcPr>
                <w:p w14:paraId="4F5FB810">
                  <w:pPr>
                    <w:pageBreakBefore w:val="0"/>
                    <w:kinsoku/>
                    <w:wordWrap/>
                    <w:overflowPunct/>
                    <w:topLinePunct w:val="0"/>
                    <w:autoSpaceDE/>
                    <w:autoSpaceDN/>
                    <w:bidi w:val="0"/>
                    <w:adjustRightInd/>
                    <w:snapToGrid/>
                    <w:ind w:left="0" w:right="0"/>
                    <w:jc w:val="center"/>
                    <w:rPr>
                      <w:color w:val="auto"/>
                      <w:sz w:val="21"/>
                      <w:szCs w:val="21"/>
                    </w:rPr>
                  </w:pPr>
                </w:p>
              </w:tc>
              <w:tc>
                <w:tcPr>
                  <w:tcW w:w="697" w:type="dxa"/>
                  <w:vMerge w:val="continue"/>
                  <w:tcBorders>
                    <w:tl2br w:val="nil"/>
                    <w:tr2bl w:val="nil"/>
                  </w:tcBorders>
                  <w:vAlign w:val="center"/>
                </w:tcPr>
                <w:p w14:paraId="3F8FA9E5">
                  <w:pPr>
                    <w:pageBreakBefore w:val="0"/>
                    <w:kinsoku/>
                    <w:wordWrap/>
                    <w:overflowPunct/>
                    <w:topLinePunct w:val="0"/>
                    <w:autoSpaceDE/>
                    <w:autoSpaceDN/>
                    <w:bidi w:val="0"/>
                    <w:adjustRightInd/>
                    <w:snapToGrid/>
                    <w:ind w:left="0" w:right="0"/>
                    <w:jc w:val="center"/>
                    <w:rPr>
                      <w:color w:val="auto"/>
                      <w:sz w:val="21"/>
                      <w:szCs w:val="21"/>
                    </w:rPr>
                  </w:pPr>
                </w:p>
              </w:tc>
              <w:tc>
                <w:tcPr>
                  <w:tcW w:w="2025" w:type="dxa"/>
                  <w:vMerge w:val="continue"/>
                  <w:tcBorders>
                    <w:tl2br w:val="nil"/>
                    <w:tr2bl w:val="nil"/>
                  </w:tcBorders>
                  <w:vAlign w:val="center"/>
                </w:tcPr>
                <w:p w14:paraId="4EF2A6E3">
                  <w:pPr>
                    <w:pageBreakBefore w:val="0"/>
                    <w:kinsoku/>
                    <w:wordWrap/>
                    <w:overflowPunct/>
                    <w:topLinePunct w:val="0"/>
                    <w:autoSpaceDE/>
                    <w:autoSpaceDN/>
                    <w:bidi w:val="0"/>
                    <w:adjustRightInd/>
                    <w:snapToGrid/>
                    <w:ind w:left="0" w:right="0"/>
                    <w:jc w:val="center"/>
                    <w:rPr>
                      <w:color w:val="auto"/>
                      <w:sz w:val="21"/>
                      <w:szCs w:val="21"/>
                    </w:rPr>
                  </w:pPr>
                </w:p>
              </w:tc>
            </w:tr>
            <w:tr w14:paraId="60BA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07" w:type="dxa"/>
                  <w:vMerge w:val="restart"/>
                  <w:tcBorders>
                    <w:tl2br w:val="nil"/>
                    <w:tr2bl w:val="nil"/>
                  </w:tcBorders>
                  <w:vAlign w:val="center"/>
                </w:tcPr>
                <w:p w14:paraId="33B8F26E">
                  <w:pPr>
                    <w:pageBreakBefore w:val="0"/>
                    <w:kinsoku/>
                    <w:wordWrap/>
                    <w:overflowPunct/>
                    <w:topLinePunct w:val="0"/>
                    <w:autoSpaceDE/>
                    <w:autoSpaceDN/>
                    <w:bidi w:val="0"/>
                    <w:adjustRightInd/>
                    <w:snapToGrid/>
                    <w:ind w:left="0" w:right="0"/>
                    <w:jc w:val="center"/>
                    <w:rPr>
                      <w:color w:val="auto"/>
                      <w:sz w:val="21"/>
                      <w:szCs w:val="21"/>
                    </w:rPr>
                  </w:pPr>
                  <w:r>
                    <w:rPr>
                      <w:rFonts w:hint="eastAsia"/>
                      <w:color w:val="auto"/>
                      <w:sz w:val="21"/>
                      <w:szCs w:val="21"/>
                      <w:lang w:val="en-US" w:eastAsia="zh-CN"/>
                    </w:rPr>
                    <w:t>声</w:t>
                  </w:r>
                  <w:r>
                    <w:rPr>
                      <w:color w:val="auto"/>
                      <w:sz w:val="21"/>
                      <w:szCs w:val="21"/>
                    </w:rPr>
                    <w:t>环境</w:t>
                  </w:r>
                </w:p>
              </w:tc>
              <w:tc>
                <w:tcPr>
                  <w:tcW w:w="617" w:type="dxa"/>
                  <w:tcBorders>
                    <w:tl2br w:val="nil"/>
                    <w:tr2bl w:val="nil"/>
                  </w:tcBorders>
                  <w:vAlign w:val="center"/>
                </w:tcPr>
                <w:p w14:paraId="6513A067">
                  <w:pPr>
                    <w:pageBreakBefore w:val="0"/>
                    <w:kinsoku/>
                    <w:wordWrap/>
                    <w:overflowPunct/>
                    <w:topLinePunct w:val="0"/>
                    <w:autoSpaceDE/>
                    <w:autoSpaceDN/>
                    <w:bidi w:val="0"/>
                    <w:adjustRightInd/>
                    <w:snapToGrid/>
                    <w:ind w:left="0" w:right="0"/>
                    <w:jc w:val="center"/>
                    <w:rPr>
                      <w:color w:val="auto"/>
                      <w:sz w:val="21"/>
                      <w:szCs w:val="21"/>
                    </w:rPr>
                  </w:pPr>
                  <w:r>
                    <w:rPr>
                      <w:color w:val="auto"/>
                      <w:sz w:val="21"/>
                      <w:szCs w:val="21"/>
                    </w:rPr>
                    <w:t>1</w:t>
                  </w:r>
                </w:p>
              </w:tc>
              <w:tc>
                <w:tcPr>
                  <w:tcW w:w="857" w:type="dxa"/>
                  <w:tcBorders>
                    <w:tl2br w:val="nil"/>
                    <w:tr2bl w:val="nil"/>
                  </w:tcBorders>
                  <w:vAlign w:val="center"/>
                </w:tcPr>
                <w:p w14:paraId="47E44254">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北侧</w:t>
                  </w:r>
                  <w:r>
                    <w:rPr>
                      <w:rFonts w:hint="eastAsia" w:ascii="Times New Roman" w:hAnsi="Times New Roman" w:eastAsia="宋体" w:cs="Times New Roman"/>
                      <w:color w:val="auto"/>
                      <w:sz w:val="21"/>
                      <w:szCs w:val="21"/>
                      <w:lang w:val="en-US" w:eastAsia="zh-CN"/>
                    </w:rPr>
                    <w:t>散户</w:t>
                  </w:r>
                </w:p>
              </w:tc>
              <w:tc>
                <w:tcPr>
                  <w:tcW w:w="912" w:type="dxa"/>
                  <w:tcBorders>
                    <w:tl2br w:val="nil"/>
                    <w:tr2bl w:val="nil"/>
                  </w:tcBorders>
                  <w:vAlign w:val="center"/>
                </w:tcPr>
                <w:p w14:paraId="60AC0EAD">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115.9152433°</w:t>
                  </w:r>
                </w:p>
              </w:tc>
              <w:tc>
                <w:tcPr>
                  <w:tcW w:w="818" w:type="dxa"/>
                  <w:tcBorders>
                    <w:tl2br w:val="nil"/>
                    <w:tr2bl w:val="nil"/>
                  </w:tcBorders>
                  <w:vAlign w:val="center"/>
                </w:tcPr>
                <w:p w14:paraId="75C8B1B4">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31.4527617°</w:t>
                  </w:r>
                </w:p>
              </w:tc>
              <w:tc>
                <w:tcPr>
                  <w:tcW w:w="1006" w:type="dxa"/>
                  <w:tcBorders>
                    <w:tl2br w:val="nil"/>
                    <w:tr2bl w:val="nil"/>
                  </w:tcBorders>
                  <w:vAlign w:val="center"/>
                </w:tcPr>
                <w:p w14:paraId="2E48A581">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人</w:t>
                  </w:r>
                </w:p>
              </w:tc>
              <w:tc>
                <w:tcPr>
                  <w:tcW w:w="896" w:type="dxa"/>
                  <w:tcBorders>
                    <w:tl2br w:val="nil"/>
                    <w:tr2bl w:val="nil"/>
                  </w:tcBorders>
                  <w:vAlign w:val="center"/>
                </w:tcPr>
                <w:p w14:paraId="204372CE">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697" w:type="dxa"/>
                  <w:tcBorders>
                    <w:tl2br w:val="nil"/>
                    <w:tr2bl w:val="nil"/>
                  </w:tcBorders>
                  <w:vAlign w:val="center"/>
                </w:tcPr>
                <w:p w14:paraId="1CE76DB0">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N</w:t>
                  </w:r>
                </w:p>
              </w:tc>
              <w:tc>
                <w:tcPr>
                  <w:tcW w:w="2025" w:type="dxa"/>
                  <w:vMerge w:val="restart"/>
                  <w:tcBorders>
                    <w:tl2br w:val="nil"/>
                    <w:tr2bl w:val="nil"/>
                  </w:tcBorders>
                  <w:vAlign w:val="center"/>
                </w:tcPr>
                <w:p w14:paraId="717B2B0C">
                  <w:pPr>
                    <w:pageBreakBefore w:val="0"/>
                    <w:kinsoku/>
                    <w:wordWrap/>
                    <w:overflowPunct/>
                    <w:topLinePunct w:val="0"/>
                    <w:autoSpaceDE/>
                    <w:autoSpaceDN/>
                    <w:bidi w:val="0"/>
                    <w:adjustRightInd/>
                    <w:snapToGrid/>
                    <w:ind w:left="0" w:right="0"/>
                    <w:jc w:val="center"/>
                    <w:rPr>
                      <w:rFonts w:hint="default"/>
                      <w:color w:val="auto"/>
                      <w:sz w:val="21"/>
                      <w:szCs w:val="21"/>
                      <w:lang w:val="en-US"/>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声</w:t>
                  </w:r>
                  <w:r>
                    <w:rPr>
                      <w:rFonts w:hint="default" w:ascii="Times New Roman" w:hAnsi="Times New Roman" w:eastAsia="宋体" w:cs="Times New Roman"/>
                      <w:color w:val="auto"/>
                      <w:sz w:val="21"/>
                      <w:szCs w:val="21"/>
                      <w:lang w:val="en-US" w:eastAsia="zh-CN"/>
                    </w:rPr>
                    <w:t>环境质量标准》（GB30</w:t>
                  </w:r>
                  <w:r>
                    <w:rPr>
                      <w:rFonts w:hint="eastAsia" w:ascii="Times New Roman" w:hAnsi="Times New Roman" w:eastAsia="宋体" w:cs="Times New Roman"/>
                      <w:color w:val="auto"/>
                      <w:sz w:val="21"/>
                      <w:szCs w:val="21"/>
                      <w:lang w:val="en-US" w:eastAsia="zh-CN"/>
                    </w:rPr>
                    <w:t>96</w:t>
                  </w:r>
                  <w:r>
                    <w:rPr>
                      <w:rFonts w:hint="default"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08</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2类标准</w:t>
                  </w:r>
                </w:p>
              </w:tc>
            </w:tr>
            <w:tr w14:paraId="1B25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707" w:type="dxa"/>
                  <w:vMerge w:val="continue"/>
                  <w:tcBorders>
                    <w:tl2br w:val="nil"/>
                    <w:tr2bl w:val="nil"/>
                  </w:tcBorders>
                  <w:vAlign w:val="center"/>
                </w:tcPr>
                <w:p w14:paraId="1338371E">
                  <w:pPr>
                    <w:pageBreakBefore w:val="0"/>
                    <w:kinsoku/>
                    <w:wordWrap/>
                    <w:overflowPunct/>
                    <w:topLinePunct w:val="0"/>
                    <w:autoSpaceDE/>
                    <w:autoSpaceDN/>
                    <w:bidi w:val="0"/>
                    <w:adjustRightInd/>
                    <w:snapToGrid/>
                    <w:ind w:left="0" w:right="0"/>
                    <w:jc w:val="center"/>
                    <w:rPr>
                      <w:rFonts w:hint="eastAsia"/>
                      <w:color w:val="auto"/>
                      <w:sz w:val="21"/>
                      <w:szCs w:val="21"/>
                      <w:lang w:val="en-US" w:eastAsia="zh-CN"/>
                    </w:rPr>
                  </w:pPr>
                </w:p>
              </w:tc>
              <w:tc>
                <w:tcPr>
                  <w:tcW w:w="617" w:type="dxa"/>
                  <w:tcBorders>
                    <w:tl2br w:val="nil"/>
                    <w:tr2bl w:val="nil"/>
                  </w:tcBorders>
                  <w:vAlign w:val="center"/>
                </w:tcPr>
                <w:p w14:paraId="0AA6018A">
                  <w:pPr>
                    <w:pageBreakBefore w:val="0"/>
                    <w:kinsoku/>
                    <w:wordWrap/>
                    <w:overflowPunct/>
                    <w:topLinePunct w:val="0"/>
                    <w:autoSpaceDE/>
                    <w:autoSpaceDN/>
                    <w:bidi w:val="0"/>
                    <w:adjustRightInd/>
                    <w:snapToGrid/>
                    <w:ind w:left="0" w:right="0"/>
                    <w:jc w:val="center"/>
                    <w:rPr>
                      <w:rFonts w:hint="eastAsia" w:eastAsia="宋体"/>
                      <w:color w:val="auto"/>
                      <w:sz w:val="21"/>
                      <w:szCs w:val="21"/>
                      <w:lang w:val="en-US" w:eastAsia="zh-CN"/>
                    </w:rPr>
                  </w:pPr>
                  <w:r>
                    <w:rPr>
                      <w:rFonts w:hint="eastAsia"/>
                      <w:color w:val="auto"/>
                      <w:sz w:val="21"/>
                      <w:szCs w:val="21"/>
                      <w:lang w:val="en-US" w:eastAsia="zh-CN"/>
                    </w:rPr>
                    <w:t>2</w:t>
                  </w:r>
                </w:p>
              </w:tc>
              <w:tc>
                <w:tcPr>
                  <w:tcW w:w="857" w:type="dxa"/>
                  <w:tcBorders>
                    <w:tl2br w:val="nil"/>
                    <w:tr2bl w:val="nil"/>
                  </w:tcBorders>
                  <w:vAlign w:val="center"/>
                </w:tcPr>
                <w:p w14:paraId="343C4CE9">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东侧</w:t>
                  </w:r>
                  <w:r>
                    <w:rPr>
                      <w:rFonts w:hint="eastAsia" w:ascii="Times New Roman" w:hAnsi="Times New Roman" w:eastAsia="宋体" w:cs="Times New Roman"/>
                      <w:color w:val="auto"/>
                      <w:sz w:val="21"/>
                      <w:szCs w:val="21"/>
                      <w:lang w:val="en-US" w:eastAsia="zh-CN"/>
                    </w:rPr>
                    <w:t>散户</w:t>
                  </w:r>
                </w:p>
              </w:tc>
              <w:tc>
                <w:tcPr>
                  <w:tcW w:w="912" w:type="dxa"/>
                  <w:tcBorders>
                    <w:tl2br w:val="nil"/>
                    <w:tr2bl w:val="nil"/>
                  </w:tcBorders>
                  <w:vAlign w:val="center"/>
                </w:tcPr>
                <w:p w14:paraId="3159DA1C">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115.9161057°</w:t>
                  </w:r>
                </w:p>
              </w:tc>
              <w:tc>
                <w:tcPr>
                  <w:tcW w:w="818" w:type="dxa"/>
                  <w:tcBorders>
                    <w:tl2br w:val="nil"/>
                    <w:tr2bl w:val="nil"/>
                  </w:tcBorders>
                  <w:vAlign w:val="center"/>
                </w:tcPr>
                <w:p w14:paraId="787A0268">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31.4526077°</w:t>
                  </w:r>
                </w:p>
              </w:tc>
              <w:tc>
                <w:tcPr>
                  <w:tcW w:w="1006" w:type="dxa"/>
                  <w:tcBorders>
                    <w:tl2br w:val="nil"/>
                    <w:tr2bl w:val="nil"/>
                  </w:tcBorders>
                  <w:vAlign w:val="center"/>
                </w:tcPr>
                <w:p w14:paraId="0B90AFE5">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人</w:t>
                  </w:r>
                </w:p>
              </w:tc>
              <w:tc>
                <w:tcPr>
                  <w:tcW w:w="896" w:type="dxa"/>
                  <w:tcBorders>
                    <w:tl2br w:val="nil"/>
                    <w:tr2bl w:val="nil"/>
                  </w:tcBorders>
                  <w:vAlign w:val="center"/>
                </w:tcPr>
                <w:p w14:paraId="11C5846D">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697" w:type="dxa"/>
                  <w:tcBorders>
                    <w:tl2br w:val="nil"/>
                    <w:tr2bl w:val="nil"/>
                  </w:tcBorders>
                  <w:vAlign w:val="center"/>
                </w:tcPr>
                <w:p w14:paraId="69152B34">
                  <w:pPr>
                    <w:keepNext w:val="0"/>
                    <w:keepLines w:val="0"/>
                    <w:pageBreakBefore w:val="0"/>
                    <w:kinsoku/>
                    <w:wordWrap/>
                    <w:overflowPunct/>
                    <w:topLinePunct w:val="0"/>
                    <w:autoSpaceDE/>
                    <w:autoSpaceDN/>
                    <w:bidi w:val="0"/>
                    <w:adjustRightInd/>
                    <w:snapToGrid/>
                    <w:spacing w:line="240" w:lineRule="auto"/>
                    <w:ind w:left="0" w:right="0" w:rightChars="0"/>
                    <w:jc w:val="center"/>
                    <w:textAlignment w:val="auto"/>
                    <w:outlineLvl w:val="9"/>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NE</w:t>
                  </w:r>
                </w:p>
              </w:tc>
              <w:tc>
                <w:tcPr>
                  <w:tcW w:w="2025" w:type="dxa"/>
                  <w:vMerge w:val="continue"/>
                  <w:tcBorders>
                    <w:tl2br w:val="nil"/>
                    <w:tr2bl w:val="nil"/>
                  </w:tcBorders>
                  <w:vAlign w:val="center"/>
                </w:tcPr>
                <w:p w14:paraId="0D5483D1">
                  <w:pPr>
                    <w:pageBreakBefore w:val="0"/>
                    <w:kinsoku/>
                    <w:wordWrap/>
                    <w:overflowPunct/>
                    <w:topLinePunct w:val="0"/>
                    <w:autoSpaceDE/>
                    <w:autoSpaceDN/>
                    <w:bidi w:val="0"/>
                    <w:adjustRightInd/>
                    <w:snapToGrid/>
                    <w:ind w:left="0" w:right="0"/>
                    <w:jc w:val="center"/>
                    <w:rPr>
                      <w:rFonts w:hint="default" w:ascii="Times New Roman" w:hAnsi="Times New Roman" w:eastAsia="宋体" w:cs="Times New Roman"/>
                      <w:color w:val="auto"/>
                      <w:sz w:val="21"/>
                      <w:szCs w:val="21"/>
                      <w:lang w:val="en-US" w:eastAsia="zh-CN"/>
                    </w:rPr>
                  </w:pPr>
                </w:p>
              </w:tc>
            </w:tr>
          </w:tbl>
          <w:p w14:paraId="36954AD5">
            <w:pPr>
              <w:pageBreakBefore w:val="0"/>
              <w:kinsoku/>
              <w:wordWrap/>
              <w:overflowPunct/>
              <w:topLinePunct w:val="0"/>
              <w:autoSpaceDE/>
              <w:autoSpaceDN/>
              <w:bidi w:val="0"/>
              <w:adjustRightInd/>
              <w:snapToGrid/>
              <w:spacing w:line="360" w:lineRule="auto"/>
              <w:ind w:left="0" w:right="0" w:firstLine="482" w:firstLineChars="200"/>
              <w:rPr>
                <w:b/>
                <w:bCs/>
                <w:iCs/>
                <w:color w:val="auto"/>
                <w:sz w:val="24"/>
              </w:rPr>
            </w:pPr>
            <w:r>
              <w:rPr>
                <w:b/>
                <w:bCs/>
                <w:iCs/>
                <w:color w:val="auto"/>
                <w:sz w:val="24"/>
              </w:rPr>
              <w:t>4、其它环境保护目标</w:t>
            </w:r>
          </w:p>
          <w:p w14:paraId="2A68A2C6">
            <w:pPr>
              <w:pageBreakBefore w:val="0"/>
              <w:kinsoku/>
              <w:wordWrap/>
              <w:overflowPunct/>
              <w:topLinePunct w:val="0"/>
              <w:autoSpaceDE/>
              <w:autoSpaceDN/>
              <w:bidi w:val="0"/>
              <w:adjustRightInd/>
              <w:snapToGrid/>
              <w:spacing w:line="360" w:lineRule="auto"/>
              <w:ind w:left="0" w:right="0" w:firstLine="480" w:firstLineChars="200"/>
              <w:rPr>
                <w:color w:val="auto"/>
                <w:kern w:val="0"/>
                <w:szCs w:val="21"/>
              </w:rPr>
            </w:pPr>
            <w:r>
              <w:rPr>
                <w:color w:val="auto"/>
                <w:sz w:val="24"/>
              </w:rPr>
              <w:t>厂界外500m范围内无地下水集中式使用水水源和热水、矿泉水、温泉等特殊地下水资源，无生态环境保护目标。</w:t>
            </w:r>
          </w:p>
        </w:tc>
      </w:tr>
      <w:tr w14:paraId="52291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tcMar>
              <w:left w:w="28" w:type="dxa"/>
              <w:right w:w="28" w:type="dxa"/>
            </w:tcMar>
            <w:vAlign w:val="center"/>
          </w:tcPr>
          <w:p w14:paraId="2AAC193D">
            <w:pPr>
              <w:pageBreakBefore w:val="0"/>
              <w:kinsoku/>
              <w:wordWrap/>
              <w:overflowPunct/>
              <w:topLinePunct w:val="0"/>
              <w:autoSpaceDE/>
              <w:autoSpaceDN/>
              <w:bidi w:val="0"/>
              <w:adjustRightInd/>
              <w:snapToGrid/>
              <w:spacing w:line="240" w:lineRule="auto"/>
              <w:ind w:left="0" w:right="0"/>
              <w:jc w:val="center"/>
              <w:rPr>
                <w:b/>
                <w:bCs/>
                <w:color w:val="auto"/>
                <w:kern w:val="0"/>
                <w:sz w:val="24"/>
              </w:rPr>
            </w:pPr>
            <w:r>
              <w:rPr>
                <w:b/>
                <w:bCs/>
                <w:color w:val="auto"/>
                <w:kern w:val="0"/>
                <w:sz w:val="24"/>
              </w:rPr>
              <w:t>污染</w:t>
            </w:r>
          </w:p>
          <w:p w14:paraId="5371E1AF">
            <w:pPr>
              <w:pageBreakBefore w:val="0"/>
              <w:kinsoku/>
              <w:wordWrap/>
              <w:overflowPunct/>
              <w:topLinePunct w:val="0"/>
              <w:autoSpaceDE/>
              <w:autoSpaceDN/>
              <w:bidi w:val="0"/>
              <w:adjustRightInd/>
              <w:snapToGrid/>
              <w:spacing w:line="240" w:lineRule="auto"/>
              <w:ind w:left="0" w:right="0"/>
              <w:jc w:val="center"/>
              <w:rPr>
                <w:b/>
                <w:bCs/>
                <w:color w:val="auto"/>
                <w:kern w:val="0"/>
                <w:sz w:val="24"/>
              </w:rPr>
            </w:pPr>
            <w:r>
              <w:rPr>
                <w:b/>
                <w:bCs/>
                <w:color w:val="auto"/>
                <w:kern w:val="0"/>
                <w:sz w:val="24"/>
              </w:rPr>
              <w:t>物排</w:t>
            </w:r>
          </w:p>
          <w:p w14:paraId="46F00AC1">
            <w:pPr>
              <w:pageBreakBefore w:val="0"/>
              <w:kinsoku/>
              <w:wordWrap/>
              <w:overflowPunct/>
              <w:topLinePunct w:val="0"/>
              <w:autoSpaceDE/>
              <w:autoSpaceDN/>
              <w:bidi w:val="0"/>
              <w:adjustRightInd/>
              <w:snapToGrid/>
              <w:spacing w:line="240" w:lineRule="auto"/>
              <w:ind w:left="0" w:right="0"/>
              <w:jc w:val="center"/>
              <w:rPr>
                <w:b/>
                <w:bCs/>
                <w:color w:val="auto"/>
                <w:kern w:val="0"/>
                <w:sz w:val="24"/>
              </w:rPr>
            </w:pPr>
            <w:r>
              <w:rPr>
                <w:b/>
                <w:bCs/>
                <w:color w:val="auto"/>
                <w:kern w:val="0"/>
                <w:sz w:val="24"/>
              </w:rPr>
              <w:t>放控</w:t>
            </w:r>
          </w:p>
          <w:p w14:paraId="70D58523">
            <w:pPr>
              <w:pageBreakBefore w:val="0"/>
              <w:kinsoku/>
              <w:wordWrap/>
              <w:overflowPunct/>
              <w:topLinePunct w:val="0"/>
              <w:autoSpaceDE/>
              <w:autoSpaceDN/>
              <w:bidi w:val="0"/>
              <w:adjustRightInd/>
              <w:snapToGrid/>
              <w:spacing w:line="240" w:lineRule="auto"/>
              <w:ind w:left="0" w:right="0"/>
              <w:jc w:val="center"/>
              <w:rPr>
                <w:b/>
                <w:bCs/>
                <w:color w:val="auto"/>
                <w:kern w:val="0"/>
                <w:sz w:val="24"/>
              </w:rPr>
            </w:pPr>
            <w:r>
              <w:rPr>
                <w:b/>
                <w:bCs/>
                <w:color w:val="auto"/>
                <w:kern w:val="0"/>
                <w:sz w:val="24"/>
              </w:rPr>
              <w:t>制标</w:t>
            </w:r>
          </w:p>
          <w:p w14:paraId="737CDE8A">
            <w:pPr>
              <w:pageBreakBefore w:val="0"/>
              <w:kinsoku/>
              <w:wordWrap/>
              <w:overflowPunct/>
              <w:topLinePunct w:val="0"/>
              <w:autoSpaceDE/>
              <w:autoSpaceDN/>
              <w:bidi w:val="0"/>
              <w:adjustRightInd/>
              <w:snapToGrid/>
              <w:spacing w:line="240" w:lineRule="auto"/>
              <w:ind w:left="0" w:right="0"/>
              <w:jc w:val="center"/>
              <w:rPr>
                <w:color w:val="auto"/>
                <w:kern w:val="0"/>
                <w:szCs w:val="21"/>
              </w:rPr>
            </w:pPr>
            <w:r>
              <w:rPr>
                <w:b/>
                <w:bCs/>
                <w:color w:val="auto"/>
                <w:kern w:val="0"/>
                <w:sz w:val="24"/>
              </w:rPr>
              <w:t>准</w:t>
            </w:r>
          </w:p>
        </w:tc>
        <w:tc>
          <w:tcPr>
            <w:tcW w:w="4715" w:type="pct"/>
            <w:vAlign w:val="center"/>
          </w:tcPr>
          <w:p w14:paraId="52DA81E6">
            <w:pPr>
              <w:pageBreakBefore w:val="0"/>
              <w:kinsoku/>
              <w:wordWrap/>
              <w:overflowPunct/>
              <w:topLinePunct w:val="0"/>
              <w:autoSpaceDE/>
              <w:autoSpaceDN/>
              <w:bidi w:val="0"/>
              <w:adjustRightInd/>
              <w:snapToGrid/>
              <w:spacing w:line="360" w:lineRule="auto"/>
              <w:ind w:left="0" w:right="0" w:firstLine="480" w:firstLineChars="200"/>
              <w:rPr>
                <w:b/>
                <w:color w:val="auto"/>
                <w:sz w:val="24"/>
              </w:rPr>
            </w:pPr>
            <w:r>
              <w:rPr>
                <w:rFonts w:eastAsia="Times New Roman"/>
                <w:b/>
                <w:color w:val="auto"/>
                <w:sz w:val="24"/>
              </w:rPr>
              <w:t>1</w:t>
            </w:r>
            <w:r>
              <w:rPr>
                <w:b/>
                <w:color w:val="auto"/>
                <w:sz w:val="24"/>
              </w:rPr>
              <w:t>、大气污染物排放标准</w:t>
            </w:r>
          </w:p>
          <w:p w14:paraId="5D93A3EA">
            <w:pPr>
              <w:pageBreakBefore w:val="0"/>
              <w:kinsoku/>
              <w:wordWrap/>
              <w:overflowPunct/>
              <w:autoSpaceDE/>
              <w:autoSpaceDN/>
              <w:bidi w:val="0"/>
              <w:adjustRightInd/>
              <w:snapToGrid/>
              <w:spacing w:line="360" w:lineRule="auto"/>
              <w:ind w:lef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1"/>
                <w:lang w:bidi="ar"/>
              </w:rPr>
              <w:t>项目</w:t>
            </w:r>
            <w:r>
              <w:rPr>
                <w:rFonts w:hint="eastAsia" w:cs="Times New Roman"/>
                <w:color w:val="auto"/>
                <w:sz w:val="24"/>
                <w:szCs w:val="21"/>
                <w:lang w:eastAsia="zh-CN" w:bidi="ar"/>
              </w:rPr>
              <w:t>设置</w:t>
            </w:r>
            <w:r>
              <w:rPr>
                <w:rFonts w:hint="eastAsia" w:cs="Times New Roman"/>
                <w:color w:val="auto"/>
                <w:sz w:val="24"/>
                <w:szCs w:val="21"/>
                <w:lang w:val="en-US" w:eastAsia="zh-CN" w:bidi="ar"/>
              </w:rPr>
              <w:t>1台4t/h</w:t>
            </w:r>
            <w:r>
              <w:rPr>
                <w:rFonts w:hint="default" w:ascii="Times New Roman" w:hAnsi="Times New Roman" w:eastAsia="宋体" w:cs="Times New Roman"/>
                <w:color w:val="auto"/>
                <w:sz w:val="24"/>
                <w:szCs w:val="21"/>
                <w:lang w:val="en-US" w:eastAsia="zh-CN" w:bidi="ar"/>
              </w:rPr>
              <w:t>生物质</w:t>
            </w:r>
            <w:r>
              <w:rPr>
                <w:rFonts w:hint="eastAsia" w:cs="Times New Roman"/>
                <w:color w:val="auto"/>
                <w:sz w:val="24"/>
                <w:szCs w:val="21"/>
                <w:lang w:val="en-US" w:eastAsia="zh-CN" w:bidi="ar"/>
              </w:rPr>
              <w:t>锅炉，</w:t>
            </w:r>
            <w:r>
              <w:rPr>
                <w:rFonts w:hint="default" w:ascii="Times New Roman" w:hAnsi="Times New Roman" w:eastAsia="宋体" w:cs="Times New Roman"/>
                <w:color w:val="auto"/>
                <w:sz w:val="24"/>
                <w:szCs w:val="21"/>
                <w:lang w:bidi="ar"/>
              </w:rPr>
              <w:t>燃烧产生的颗粒物、SO</w:t>
            </w:r>
            <w:r>
              <w:rPr>
                <w:rFonts w:hint="default" w:ascii="Times New Roman" w:hAnsi="Times New Roman" w:eastAsia="宋体" w:cs="Times New Roman"/>
                <w:color w:val="auto"/>
                <w:sz w:val="24"/>
                <w:szCs w:val="21"/>
                <w:vertAlign w:val="subscript"/>
                <w:lang w:bidi="ar"/>
              </w:rPr>
              <w:t>2</w:t>
            </w:r>
            <w:r>
              <w:rPr>
                <w:rFonts w:hint="default" w:ascii="Times New Roman" w:hAnsi="Times New Roman" w:eastAsia="宋体" w:cs="Times New Roman"/>
                <w:color w:val="auto"/>
                <w:sz w:val="24"/>
                <w:szCs w:val="21"/>
                <w:lang w:bidi="ar"/>
              </w:rPr>
              <w:t>、NO</w:t>
            </w:r>
            <w:r>
              <w:rPr>
                <w:rFonts w:hint="default" w:ascii="Times New Roman" w:hAnsi="Times New Roman" w:eastAsia="宋体" w:cs="Times New Roman"/>
                <w:color w:val="auto"/>
                <w:sz w:val="24"/>
                <w:szCs w:val="21"/>
                <w:vertAlign w:val="subscript"/>
                <w:lang w:bidi="ar"/>
              </w:rPr>
              <w:t>X</w:t>
            </w:r>
            <w:r>
              <w:rPr>
                <w:rFonts w:hint="eastAsia" w:ascii="Times New Roman" w:hAnsi="Times New Roman" w:eastAsia="宋体" w:cs="Times New Roman"/>
                <w:color w:val="auto"/>
                <w:sz w:val="24"/>
                <w:szCs w:val="21"/>
                <w:vertAlign w:val="baseline"/>
                <w:lang w:eastAsia="zh-CN" w:bidi="ar"/>
              </w:rPr>
              <w:t>、</w:t>
            </w:r>
            <w:r>
              <w:rPr>
                <w:rFonts w:hint="eastAsia" w:ascii="Times New Roman" w:hAnsi="Times New Roman" w:eastAsia="宋体" w:cs="Times New Roman"/>
                <w:color w:val="auto"/>
                <w:sz w:val="24"/>
                <w:szCs w:val="21"/>
                <w:vertAlign w:val="baseline"/>
                <w:lang w:val="en-US" w:eastAsia="zh-CN" w:bidi="ar"/>
              </w:rPr>
              <w:t>烟气黑度</w:t>
            </w:r>
            <w:r>
              <w:rPr>
                <w:rFonts w:hint="default" w:ascii="Times New Roman" w:hAnsi="Times New Roman" w:eastAsia="宋体" w:cs="Times New Roman"/>
                <w:color w:val="auto"/>
                <w:sz w:val="24"/>
                <w:szCs w:val="21"/>
                <w:lang w:bidi="ar"/>
              </w:rPr>
              <w:t>参照执行</w:t>
            </w:r>
            <w:r>
              <w:rPr>
                <w:rFonts w:hint="default" w:ascii="Times New Roman" w:hAnsi="Times New Roman" w:eastAsia="宋体" w:cs="Times New Roman"/>
                <w:color w:val="auto"/>
                <w:sz w:val="24"/>
                <w:szCs w:val="21"/>
                <w:lang w:eastAsia="zh-CN" w:bidi="ar"/>
              </w:rPr>
              <w:t>《锅炉大气污染排放标准》（GB13271-2014）</w:t>
            </w:r>
            <w:r>
              <w:rPr>
                <w:rFonts w:hint="default" w:ascii="Times New Roman" w:hAnsi="Times New Roman" w:eastAsia="宋体" w:cs="Times New Roman"/>
                <w:color w:val="auto"/>
                <w:sz w:val="24"/>
                <w:szCs w:val="21"/>
                <w:lang w:bidi="ar"/>
              </w:rPr>
              <w:t>中</w:t>
            </w:r>
            <w:r>
              <w:rPr>
                <w:rFonts w:hint="eastAsia" w:cs="Times New Roman"/>
                <w:color w:val="auto"/>
                <w:sz w:val="24"/>
                <w:szCs w:val="21"/>
                <w:lang w:eastAsia="zh-CN" w:bidi="ar"/>
              </w:rPr>
              <w:t>燃气锅炉</w:t>
            </w:r>
            <w:r>
              <w:rPr>
                <w:rFonts w:hint="default" w:ascii="Times New Roman" w:hAnsi="Times New Roman" w:eastAsia="宋体" w:cs="Times New Roman"/>
                <w:color w:val="auto"/>
                <w:sz w:val="24"/>
                <w:szCs w:val="21"/>
                <w:lang w:eastAsia="zh-CN" w:bidi="ar"/>
              </w:rPr>
              <w:t>大气污染物特别</w:t>
            </w:r>
            <w:r>
              <w:rPr>
                <w:rFonts w:hint="default" w:ascii="Times New Roman" w:hAnsi="Times New Roman" w:eastAsia="宋体" w:cs="Times New Roman"/>
                <w:color w:val="auto"/>
                <w:sz w:val="24"/>
                <w:szCs w:val="21"/>
                <w:lang w:bidi="ar"/>
              </w:rPr>
              <w:t>排放限值要求；</w:t>
            </w:r>
            <w:r>
              <w:rPr>
                <w:rFonts w:hint="default" w:ascii="Times New Roman" w:hAnsi="Times New Roman" w:eastAsia="宋体" w:cs="Times New Roman"/>
                <w:color w:val="auto"/>
                <w:sz w:val="24"/>
                <w:szCs w:val="24"/>
                <w:highlight w:val="none"/>
                <w:lang w:eastAsia="zh-CN"/>
              </w:rPr>
              <w:t>同时根据《安徽省空气质量持续改善行动方案》（皖政〔2024〕36号）中要求，生物质锅炉采用采用专用锅炉，且污染物排放执行超低排放标准限值</w:t>
            </w:r>
            <w:r>
              <w:rPr>
                <w:rFonts w:hint="eastAsia" w:cs="Times New Roman"/>
                <w:color w:val="auto"/>
                <w:sz w:val="24"/>
                <w:szCs w:val="24"/>
                <w:highlight w:val="none"/>
                <w:lang w:eastAsia="zh-CN"/>
              </w:rPr>
              <w:t>；根据</w:t>
            </w:r>
            <w:r>
              <w:rPr>
                <w:rFonts w:hint="eastAsia" w:cs="Times New Roman"/>
                <w:color w:val="auto"/>
                <w:sz w:val="24"/>
                <w:szCs w:val="24"/>
                <w:highlight w:val="none"/>
                <w:lang w:val="en-US" w:eastAsia="zh-CN"/>
              </w:rPr>
              <w:t>2025年2月安徽省生态环境厅回复新改扩建生物质锅炉污染物排放浓度限值为：</w:t>
            </w:r>
            <w:r>
              <w:rPr>
                <w:rFonts w:hint="default" w:ascii="Times New Roman" w:hAnsi="Times New Roman" w:eastAsia="宋体" w:cs="Times New Roman"/>
                <w:color w:val="auto"/>
                <w:sz w:val="24"/>
                <w:szCs w:val="24"/>
                <w:highlight w:val="none"/>
                <w:lang w:eastAsia="zh-CN"/>
              </w:rPr>
              <w:t>颗粒物≤</w:t>
            </w:r>
            <w:r>
              <w:rPr>
                <w:rFonts w:hint="default" w:ascii="Times New Roman" w:hAnsi="Times New Roman" w:eastAsia="宋体" w:cs="Times New Roman"/>
                <w:color w:val="auto"/>
                <w:sz w:val="24"/>
                <w:szCs w:val="24"/>
                <w:highlight w:val="none"/>
                <w:lang w:val="en-US" w:eastAsia="zh-CN"/>
              </w:rPr>
              <w:t>10mg/m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≤35mg/m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，NOx≤50mg/m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p>
          <w:p w14:paraId="610400CE">
            <w:pPr>
              <w:pageBreakBefore w:val="0"/>
              <w:kinsoku/>
              <w:wordWrap/>
              <w:overflowPunct/>
              <w:topLinePunct w:val="0"/>
              <w:autoSpaceDE/>
              <w:autoSpaceDN/>
              <w:bidi w:val="0"/>
              <w:adjustRightInd/>
              <w:snapToGrid/>
              <w:spacing w:line="360" w:lineRule="auto"/>
              <w:ind w:right="0"/>
              <w:rPr>
                <w:rFonts w:hint="eastAsia" w:eastAsia="宋体"/>
                <w:color w:val="auto"/>
                <w:sz w:val="24"/>
                <w:szCs w:val="21"/>
                <w:lang w:eastAsia="zh-CN" w:bidi="ar"/>
              </w:rPr>
            </w:pPr>
            <w:r>
              <w:rPr>
                <w:rFonts w:hint="eastAsia" w:eastAsia="宋体"/>
                <w:color w:val="auto"/>
                <w:sz w:val="24"/>
                <w:szCs w:val="21"/>
                <w:lang w:eastAsia="zh-CN" w:bidi="ar"/>
              </w:rPr>
              <w:drawing>
                <wp:inline distT="0" distB="0" distL="114300" distR="114300">
                  <wp:extent cx="5414645" cy="2818130"/>
                  <wp:effectExtent l="0" t="0" r="14605" b="1270"/>
                  <wp:docPr id="17" name="图片 17" descr="16c3f0f8-bfd2-490b-8a77-64cf0dd45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c3f0f8-bfd2-490b-8a77-64cf0dd459d4"/>
                          <pic:cNvPicPr>
                            <a:picLocks noChangeAspect="1"/>
                          </pic:cNvPicPr>
                        </pic:nvPicPr>
                        <pic:blipFill>
                          <a:blip r:embed="rId18"/>
                          <a:stretch>
                            <a:fillRect/>
                          </a:stretch>
                        </pic:blipFill>
                        <pic:spPr>
                          <a:xfrm>
                            <a:off x="0" y="0"/>
                            <a:ext cx="5414645" cy="2818130"/>
                          </a:xfrm>
                          <a:prstGeom prst="rect">
                            <a:avLst/>
                          </a:prstGeom>
                        </pic:spPr>
                      </pic:pic>
                    </a:graphicData>
                  </a:graphic>
                </wp:inline>
              </w:drawing>
            </w:r>
          </w:p>
          <w:p w14:paraId="549AE95F">
            <w:pPr>
              <w:pageBreakBefore w:val="0"/>
              <w:kinsoku/>
              <w:wordWrap/>
              <w:overflowPunct/>
              <w:topLinePunct w:val="0"/>
              <w:autoSpaceDE/>
              <w:autoSpaceDN/>
              <w:bidi w:val="0"/>
              <w:adjustRightInd/>
              <w:snapToGrid/>
              <w:spacing w:line="360" w:lineRule="auto"/>
              <w:ind w:left="0" w:right="0" w:firstLine="480" w:firstLineChars="200"/>
              <w:rPr>
                <w:color w:val="auto"/>
              </w:rPr>
            </w:pPr>
            <w:r>
              <w:rPr>
                <w:rFonts w:hint="eastAsia"/>
                <w:color w:val="auto"/>
                <w:sz w:val="24"/>
                <w:szCs w:val="21"/>
                <w:lang w:bidi="ar"/>
              </w:rPr>
              <w:t>厂界颗粒物无组织排放限值执行《大气污染物综合排放标准》（GB16297-1996)表2中的排放浓度限值</w:t>
            </w:r>
            <w:r>
              <w:rPr>
                <w:color w:val="auto"/>
                <w:sz w:val="24"/>
                <w:szCs w:val="21"/>
                <w:lang w:bidi="ar"/>
              </w:rPr>
              <w:t>。</w:t>
            </w:r>
          </w:p>
          <w:p w14:paraId="07CFF32F">
            <w:pPr>
              <w:pageBreakBefore w:val="0"/>
              <w:kinsoku/>
              <w:wordWrap/>
              <w:overflowPunct/>
              <w:topLinePunct w:val="0"/>
              <w:autoSpaceDE/>
              <w:autoSpaceDN/>
              <w:bidi w:val="0"/>
              <w:adjustRightInd/>
              <w:snapToGrid/>
              <w:spacing w:line="360" w:lineRule="auto"/>
              <w:ind w:left="0" w:right="0"/>
              <w:jc w:val="center"/>
              <w:rPr>
                <w:rFonts w:hint="default" w:eastAsia="宋体"/>
                <w:b/>
                <w:color w:val="auto"/>
                <w:kern w:val="0"/>
                <w:sz w:val="24"/>
                <w:lang w:val="en-US" w:eastAsia="zh-CN"/>
              </w:rPr>
            </w:pPr>
            <w:r>
              <w:rPr>
                <w:b/>
                <w:color w:val="auto"/>
                <w:kern w:val="0"/>
                <w:sz w:val="24"/>
              </w:rPr>
              <w:t>表3-</w:t>
            </w:r>
            <w:r>
              <w:rPr>
                <w:rFonts w:hint="eastAsia"/>
                <w:b/>
                <w:color w:val="auto"/>
                <w:kern w:val="0"/>
                <w:sz w:val="24"/>
                <w:lang w:val="en-US" w:eastAsia="zh-CN"/>
              </w:rPr>
              <w:t>7</w:t>
            </w:r>
            <w:r>
              <w:rPr>
                <w:b/>
                <w:color w:val="auto"/>
                <w:kern w:val="0"/>
                <w:sz w:val="24"/>
              </w:rPr>
              <w:t xml:space="preserve"> </w:t>
            </w:r>
            <w:r>
              <w:rPr>
                <w:rFonts w:hint="eastAsia"/>
                <w:b/>
                <w:color w:val="auto"/>
                <w:kern w:val="0"/>
                <w:sz w:val="24"/>
                <w:lang w:val="en-US" w:eastAsia="zh-CN"/>
              </w:rPr>
              <w:t>项目污染物排放标准</w:t>
            </w:r>
          </w:p>
          <w:tbl>
            <w:tblPr>
              <w:tblStyle w:val="31"/>
              <w:tblW w:w="494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1234"/>
              <w:gridCol w:w="1423"/>
              <w:gridCol w:w="1079"/>
              <w:gridCol w:w="765"/>
              <w:gridCol w:w="1050"/>
              <w:gridCol w:w="1050"/>
              <w:gridCol w:w="1848"/>
            </w:tblGrid>
            <w:tr w14:paraId="79D56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730" w:type="pct"/>
                  <w:vMerge w:val="restart"/>
                  <w:vAlign w:val="center"/>
                </w:tcPr>
                <w:p w14:paraId="6950A164">
                  <w:pPr>
                    <w:pageBreakBefore w:val="0"/>
                    <w:kinsoku/>
                    <w:wordWrap/>
                    <w:overflowPunct/>
                    <w:topLinePunct w:val="0"/>
                    <w:autoSpaceDE/>
                    <w:autoSpaceDN/>
                    <w:bidi w:val="0"/>
                    <w:adjustRightInd/>
                    <w:snapToGrid/>
                    <w:ind w:left="0" w:right="0"/>
                    <w:jc w:val="center"/>
                    <w:rPr>
                      <w:b/>
                      <w:bCs w:val="0"/>
                      <w:color w:val="auto"/>
                      <w:sz w:val="21"/>
                      <w:szCs w:val="21"/>
                      <w:lang w:val="zh-CN" w:bidi="ar"/>
                    </w:rPr>
                  </w:pPr>
                  <w:r>
                    <w:rPr>
                      <w:b/>
                      <w:bCs w:val="0"/>
                      <w:color w:val="auto"/>
                      <w:sz w:val="21"/>
                      <w:szCs w:val="21"/>
                      <w:lang w:val="zh-CN" w:bidi="ar"/>
                    </w:rPr>
                    <w:t>污染物</w:t>
                  </w:r>
                </w:p>
              </w:tc>
              <w:tc>
                <w:tcPr>
                  <w:tcW w:w="842" w:type="pct"/>
                  <w:vMerge w:val="restart"/>
                  <w:vAlign w:val="center"/>
                </w:tcPr>
                <w:p w14:paraId="17CC8BE3">
                  <w:pPr>
                    <w:pageBreakBefore w:val="0"/>
                    <w:kinsoku/>
                    <w:wordWrap/>
                    <w:overflowPunct/>
                    <w:topLinePunct w:val="0"/>
                    <w:autoSpaceDE/>
                    <w:autoSpaceDN/>
                    <w:bidi w:val="0"/>
                    <w:adjustRightInd/>
                    <w:snapToGrid/>
                    <w:ind w:left="0" w:right="0"/>
                    <w:jc w:val="center"/>
                    <w:rPr>
                      <w:b/>
                      <w:bCs w:val="0"/>
                      <w:color w:val="auto"/>
                      <w:sz w:val="21"/>
                      <w:szCs w:val="21"/>
                      <w:lang w:val="zh-CN" w:bidi="ar"/>
                    </w:rPr>
                  </w:pPr>
                  <w:r>
                    <w:rPr>
                      <w:b/>
                      <w:bCs w:val="0"/>
                      <w:color w:val="auto"/>
                      <w:sz w:val="21"/>
                      <w:szCs w:val="21"/>
                      <w:lang w:val="zh-CN" w:bidi="ar"/>
                    </w:rPr>
                    <w:t>最高允许排放浓度（mg/m</w:t>
                  </w:r>
                  <w:r>
                    <w:rPr>
                      <w:b/>
                      <w:bCs w:val="0"/>
                      <w:color w:val="auto"/>
                      <w:sz w:val="21"/>
                      <w:szCs w:val="21"/>
                      <w:vertAlign w:val="superscript"/>
                      <w:lang w:val="zh-CN" w:bidi="ar"/>
                    </w:rPr>
                    <w:t>3</w:t>
                  </w:r>
                  <w:r>
                    <w:rPr>
                      <w:b/>
                      <w:bCs w:val="0"/>
                      <w:color w:val="auto"/>
                      <w:sz w:val="21"/>
                      <w:szCs w:val="21"/>
                      <w:lang w:val="zh-CN" w:bidi="ar"/>
                    </w:rPr>
                    <w:t>）</w:t>
                  </w:r>
                </w:p>
              </w:tc>
              <w:tc>
                <w:tcPr>
                  <w:tcW w:w="1091" w:type="pct"/>
                  <w:gridSpan w:val="2"/>
                  <w:vAlign w:val="center"/>
                </w:tcPr>
                <w:p w14:paraId="596D5460">
                  <w:pPr>
                    <w:pageBreakBefore w:val="0"/>
                    <w:kinsoku/>
                    <w:wordWrap/>
                    <w:overflowPunct/>
                    <w:topLinePunct w:val="0"/>
                    <w:autoSpaceDE/>
                    <w:autoSpaceDN/>
                    <w:bidi w:val="0"/>
                    <w:adjustRightInd/>
                    <w:snapToGrid/>
                    <w:ind w:left="0" w:right="0"/>
                    <w:jc w:val="center"/>
                    <w:rPr>
                      <w:b/>
                      <w:bCs w:val="0"/>
                      <w:color w:val="auto"/>
                      <w:sz w:val="21"/>
                      <w:szCs w:val="21"/>
                      <w:lang w:val="zh-CN" w:bidi="ar"/>
                    </w:rPr>
                  </w:pPr>
                  <w:r>
                    <w:rPr>
                      <w:b/>
                      <w:bCs w:val="0"/>
                      <w:color w:val="auto"/>
                      <w:sz w:val="21"/>
                      <w:szCs w:val="21"/>
                      <w:lang w:val="zh-CN" w:bidi="ar"/>
                    </w:rPr>
                    <w:t>最高允许排放速率（kg/h）</w:t>
                  </w:r>
                </w:p>
              </w:tc>
              <w:tc>
                <w:tcPr>
                  <w:tcW w:w="1242" w:type="pct"/>
                  <w:gridSpan w:val="2"/>
                  <w:vAlign w:val="center"/>
                </w:tcPr>
                <w:p w14:paraId="1FF305C1">
                  <w:pPr>
                    <w:pageBreakBefore w:val="0"/>
                    <w:kinsoku/>
                    <w:wordWrap/>
                    <w:overflowPunct/>
                    <w:topLinePunct w:val="0"/>
                    <w:autoSpaceDE/>
                    <w:autoSpaceDN/>
                    <w:bidi w:val="0"/>
                    <w:adjustRightInd/>
                    <w:snapToGrid/>
                    <w:ind w:left="0" w:right="0"/>
                    <w:jc w:val="center"/>
                    <w:rPr>
                      <w:b/>
                      <w:bCs w:val="0"/>
                      <w:color w:val="auto"/>
                      <w:sz w:val="21"/>
                      <w:szCs w:val="21"/>
                      <w:lang w:val="zh-CN" w:bidi="ar"/>
                    </w:rPr>
                  </w:pPr>
                  <w:r>
                    <w:rPr>
                      <w:b/>
                      <w:bCs w:val="0"/>
                      <w:color w:val="auto"/>
                      <w:sz w:val="21"/>
                      <w:szCs w:val="21"/>
                      <w:lang w:val="zh-CN" w:bidi="ar"/>
                    </w:rPr>
                    <w:t>无组织排放监控浓度限值</w:t>
                  </w:r>
                </w:p>
              </w:tc>
              <w:tc>
                <w:tcPr>
                  <w:tcW w:w="1093" w:type="pct"/>
                  <w:vMerge w:val="restart"/>
                  <w:vAlign w:val="center"/>
                </w:tcPr>
                <w:p w14:paraId="1A4A41E7">
                  <w:pPr>
                    <w:pageBreakBefore w:val="0"/>
                    <w:kinsoku/>
                    <w:wordWrap/>
                    <w:overflowPunct/>
                    <w:topLinePunct w:val="0"/>
                    <w:autoSpaceDE/>
                    <w:autoSpaceDN/>
                    <w:bidi w:val="0"/>
                    <w:adjustRightInd/>
                    <w:snapToGrid/>
                    <w:ind w:left="0" w:right="0"/>
                    <w:jc w:val="center"/>
                    <w:rPr>
                      <w:b w:val="0"/>
                      <w:bCs/>
                      <w:color w:val="auto"/>
                      <w:sz w:val="21"/>
                      <w:szCs w:val="21"/>
                      <w:lang w:val="zh-CN" w:bidi="ar"/>
                    </w:rPr>
                  </w:pPr>
                  <w:r>
                    <w:rPr>
                      <w:b/>
                      <w:bCs w:val="0"/>
                      <w:color w:val="auto"/>
                      <w:sz w:val="21"/>
                      <w:szCs w:val="21"/>
                      <w:lang w:val="zh-CN" w:bidi="ar"/>
                    </w:rPr>
                    <w:t>标准来源</w:t>
                  </w:r>
                </w:p>
              </w:tc>
            </w:tr>
            <w:tr w14:paraId="544FB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730" w:type="pct"/>
                  <w:vMerge w:val="continue"/>
                  <w:vAlign w:val="center"/>
                </w:tcPr>
                <w:p w14:paraId="7DCE2B8C">
                  <w:pPr>
                    <w:pageBreakBefore w:val="0"/>
                    <w:kinsoku/>
                    <w:wordWrap/>
                    <w:overflowPunct/>
                    <w:topLinePunct w:val="0"/>
                    <w:autoSpaceDE/>
                    <w:autoSpaceDN/>
                    <w:bidi w:val="0"/>
                    <w:adjustRightInd/>
                    <w:snapToGrid/>
                    <w:ind w:left="0" w:right="0"/>
                    <w:jc w:val="center"/>
                    <w:rPr>
                      <w:b/>
                      <w:bCs w:val="0"/>
                      <w:color w:val="auto"/>
                      <w:sz w:val="21"/>
                      <w:szCs w:val="21"/>
                      <w:lang w:val="zh-CN" w:bidi="ar"/>
                    </w:rPr>
                  </w:pPr>
                </w:p>
              </w:tc>
              <w:tc>
                <w:tcPr>
                  <w:tcW w:w="842" w:type="pct"/>
                  <w:vMerge w:val="continue"/>
                  <w:vAlign w:val="center"/>
                </w:tcPr>
                <w:p w14:paraId="11C0CDF6">
                  <w:pPr>
                    <w:pageBreakBefore w:val="0"/>
                    <w:kinsoku/>
                    <w:wordWrap/>
                    <w:overflowPunct/>
                    <w:topLinePunct w:val="0"/>
                    <w:autoSpaceDE/>
                    <w:autoSpaceDN/>
                    <w:bidi w:val="0"/>
                    <w:adjustRightInd/>
                    <w:snapToGrid/>
                    <w:ind w:left="0" w:right="0"/>
                    <w:jc w:val="center"/>
                    <w:rPr>
                      <w:b/>
                      <w:bCs w:val="0"/>
                      <w:color w:val="auto"/>
                      <w:sz w:val="21"/>
                      <w:szCs w:val="21"/>
                      <w:lang w:val="zh-CN" w:bidi="ar"/>
                    </w:rPr>
                  </w:pPr>
                </w:p>
              </w:tc>
              <w:tc>
                <w:tcPr>
                  <w:tcW w:w="638" w:type="pct"/>
                  <w:vAlign w:val="center"/>
                </w:tcPr>
                <w:p w14:paraId="06E39A0E">
                  <w:pPr>
                    <w:pageBreakBefore w:val="0"/>
                    <w:kinsoku/>
                    <w:wordWrap/>
                    <w:overflowPunct/>
                    <w:topLinePunct w:val="0"/>
                    <w:autoSpaceDE/>
                    <w:autoSpaceDN/>
                    <w:bidi w:val="0"/>
                    <w:adjustRightInd/>
                    <w:snapToGrid/>
                    <w:ind w:left="0" w:right="0"/>
                    <w:jc w:val="center"/>
                    <w:rPr>
                      <w:b/>
                      <w:bCs w:val="0"/>
                      <w:color w:val="auto"/>
                      <w:sz w:val="21"/>
                      <w:szCs w:val="21"/>
                      <w:lang w:val="zh-CN" w:bidi="ar"/>
                    </w:rPr>
                  </w:pPr>
                  <w:r>
                    <w:rPr>
                      <w:b/>
                      <w:bCs w:val="0"/>
                      <w:color w:val="auto"/>
                      <w:sz w:val="21"/>
                      <w:szCs w:val="21"/>
                      <w:lang w:val="zh-CN" w:bidi="ar"/>
                    </w:rPr>
                    <w:t>排气筒高度（m）</w:t>
                  </w:r>
                </w:p>
              </w:tc>
              <w:tc>
                <w:tcPr>
                  <w:tcW w:w="452" w:type="pct"/>
                  <w:vAlign w:val="center"/>
                </w:tcPr>
                <w:p w14:paraId="37DEB215">
                  <w:pPr>
                    <w:pageBreakBefore w:val="0"/>
                    <w:kinsoku/>
                    <w:wordWrap/>
                    <w:overflowPunct/>
                    <w:topLinePunct w:val="0"/>
                    <w:autoSpaceDE/>
                    <w:autoSpaceDN/>
                    <w:bidi w:val="0"/>
                    <w:adjustRightInd/>
                    <w:snapToGrid/>
                    <w:ind w:left="0" w:right="0"/>
                    <w:jc w:val="center"/>
                    <w:rPr>
                      <w:b/>
                      <w:bCs w:val="0"/>
                      <w:color w:val="auto"/>
                      <w:sz w:val="21"/>
                      <w:szCs w:val="21"/>
                      <w:lang w:val="zh-CN" w:bidi="ar"/>
                    </w:rPr>
                  </w:pPr>
                  <w:r>
                    <w:rPr>
                      <w:b/>
                      <w:bCs w:val="0"/>
                      <w:color w:val="auto"/>
                      <w:sz w:val="21"/>
                      <w:szCs w:val="21"/>
                      <w:lang w:val="zh-CN" w:bidi="ar"/>
                    </w:rPr>
                    <w:t>二级</w:t>
                  </w:r>
                </w:p>
              </w:tc>
              <w:tc>
                <w:tcPr>
                  <w:tcW w:w="621" w:type="pct"/>
                  <w:vAlign w:val="center"/>
                </w:tcPr>
                <w:p w14:paraId="553B2302">
                  <w:pPr>
                    <w:pageBreakBefore w:val="0"/>
                    <w:kinsoku/>
                    <w:wordWrap/>
                    <w:overflowPunct/>
                    <w:topLinePunct w:val="0"/>
                    <w:autoSpaceDE/>
                    <w:autoSpaceDN/>
                    <w:bidi w:val="0"/>
                    <w:adjustRightInd/>
                    <w:snapToGrid/>
                    <w:ind w:left="0" w:right="0"/>
                    <w:jc w:val="center"/>
                    <w:rPr>
                      <w:b/>
                      <w:bCs w:val="0"/>
                      <w:color w:val="auto"/>
                      <w:sz w:val="21"/>
                      <w:szCs w:val="21"/>
                      <w:lang w:val="zh-CN" w:bidi="ar"/>
                    </w:rPr>
                  </w:pPr>
                  <w:r>
                    <w:rPr>
                      <w:b/>
                      <w:bCs w:val="0"/>
                      <w:color w:val="auto"/>
                      <w:sz w:val="21"/>
                      <w:szCs w:val="21"/>
                      <w:lang w:val="zh-CN" w:bidi="ar"/>
                    </w:rPr>
                    <w:t>监控点</w:t>
                  </w:r>
                </w:p>
              </w:tc>
              <w:tc>
                <w:tcPr>
                  <w:tcW w:w="621" w:type="pct"/>
                  <w:vAlign w:val="center"/>
                </w:tcPr>
                <w:p w14:paraId="4D35D42E">
                  <w:pPr>
                    <w:pageBreakBefore w:val="0"/>
                    <w:kinsoku/>
                    <w:wordWrap/>
                    <w:overflowPunct/>
                    <w:topLinePunct w:val="0"/>
                    <w:autoSpaceDE/>
                    <w:autoSpaceDN/>
                    <w:bidi w:val="0"/>
                    <w:adjustRightInd/>
                    <w:snapToGrid/>
                    <w:ind w:left="0" w:right="0"/>
                    <w:jc w:val="center"/>
                    <w:rPr>
                      <w:b/>
                      <w:bCs w:val="0"/>
                      <w:color w:val="auto"/>
                      <w:sz w:val="21"/>
                      <w:szCs w:val="21"/>
                      <w:lang w:val="zh-CN" w:bidi="ar"/>
                    </w:rPr>
                  </w:pPr>
                  <w:r>
                    <w:rPr>
                      <w:b/>
                      <w:bCs w:val="0"/>
                      <w:color w:val="auto"/>
                      <w:sz w:val="21"/>
                      <w:szCs w:val="21"/>
                      <w:lang w:val="zh-CN" w:bidi="ar"/>
                    </w:rPr>
                    <w:t>浓度</w:t>
                  </w:r>
                </w:p>
                <w:p w14:paraId="0928C531">
                  <w:pPr>
                    <w:pageBreakBefore w:val="0"/>
                    <w:kinsoku/>
                    <w:wordWrap/>
                    <w:overflowPunct/>
                    <w:topLinePunct w:val="0"/>
                    <w:autoSpaceDE/>
                    <w:autoSpaceDN/>
                    <w:bidi w:val="0"/>
                    <w:adjustRightInd/>
                    <w:snapToGrid/>
                    <w:ind w:left="0" w:right="0"/>
                    <w:jc w:val="center"/>
                    <w:rPr>
                      <w:b/>
                      <w:bCs w:val="0"/>
                      <w:color w:val="auto"/>
                      <w:sz w:val="21"/>
                      <w:szCs w:val="21"/>
                      <w:lang w:val="zh-CN" w:bidi="ar"/>
                    </w:rPr>
                  </w:pPr>
                  <w:r>
                    <w:rPr>
                      <w:b/>
                      <w:bCs w:val="0"/>
                      <w:color w:val="auto"/>
                      <w:sz w:val="21"/>
                      <w:szCs w:val="21"/>
                      <w:lang w:val="zh-CN" w:bidi="ar"/>
                    </w:rPr>
                    <w:t>（mg/m</w:t>
                  </w:r>
                  <w:r>
                    <w:rPr>
                      <w:b/>
                      <w:bCs w:val="0"/>
                      <w:color w:val="auto"/>
                      <w:sz w:val="21"/>
                      <w:szCs w:val="21"/>
                      <w:vertAlign w:val="superscript"/>
                      <w:lang w:val="zh-CN" w:bidi="ar"/>
                    </w:rPr>
                    <w:t>3</w:t>
                  </w:r>
                  <w:r>
                    <w:rPr>
                      <w:b/>
                      <w:bCs w:val="0"/>
                      <w:color w:val="auto"/>
                      <w:sz w:val="21"/>
                      <w:szCs w:val="21"/>
                      <w:lang w:val="zh-CN" w:bidi="ar"/>
                    </w:rPr>
                    <w:t>）</w:t>
                  </w:r>
                </w:p>
              </w:tc>
              <w:tc>
                <w:tcPr>
                  <w:tcW w:w="1093" w:type="pct"/>
                  <w:vMerge w:val="continue"/>
                  <w:vAlign w:val="center"/>
                </w:tcPr>
                <w:p w14:paraId="20D0BB06">
                  <w:pPr>
                    <w:pageBreakBefore w:val="0"/>
                    <w:kinsoku/>
                    <w:wordWrap/>
                    <w:overflowPunct/>
                    <w:topLinePunct w:val="0"/>
                    <w:autoSpaceDE/>
                    <w:autoSpaceDN/>
                    <w:bidi w:val="0"/>
                    <w:adjustRightInd/>
                    <w:snapToGrid/>
                    <w:ind w:left="0" w:right="0"/>
                    <w:jc w:val="center"/>
                    <w:rPr>
                      <w:b/>
                      <w:color w:val="auto"/>
                      <w:sz w:val="21"/>
                      <w:szCs w:val="21"/>
                      <w:lang w:val="zh-CN" w:bidi="ar"/>
                    </w:rPr>
                  </w:pPr>
                </w:p>
              </w:tc>
            </w:tr>
            <w:tr w14:paraId="6686F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730" w:type="pct"/>
                  <w:vAlign w:val="center"/>
                </w:tcPr>
                <w:p w14:paraId="5CE974CA">
                  <w:pPr>
                    <w:pageBreakBefore w:val="0"/>
                    <w:kinsoku/>
                    <w:wordWrap/>
                    <w:overflowPunct/>
                    <w:topLinePunct w:val="0"/>
                    <w:autoSpaceDE/>
                    <w:autoSpaceDN/>
                    <w:bidi w:val="0"/>
                    <w:adjustRightInd/>
                    <w:snapToGrid/>
                    <w:ind w:left="0" w:right="0"/>
                    <w:jc w:val="center"/>
                    <w:rPr>
                      <w:b w:val="0"/>
                      <w:bCs/>
                      <w:color w:val="auto"/>
                      <w:sz w:val="21"/>
                      <w:szCs w:val="21"/>
                      <w:lang w:val="zh-CN" w:bidi="ar"/>
                    </w:rPr>
                  </w:pPr>
                  <w:r>
                    <w:rPr>
                      <w:b w:val="0"/>
                      <w:bCs/>
                      <w:color w:val="auto"/>
                      <w:sz w:val="21"/>
                      <w:szCs w:val="21"/>
                      <w:lang w:val="zh-CN" w:bidi="ar"/>
                    </w:rPr>
                    <w:t>颗粒物</w:t>
                  </w:r>
                </w:p>
              </w:tc>
              <w:tc>
                <w:tcPr>
                  <w:tcW w:w="842" w:type="pct"/>
                  <w:vAlign w:val="center"/>
                </w:tcPr>
                <w:p w14:paraId="07B2F158">
                  <w:pPr>
                    <w:pageBreakBefore w:val="0"/>
                    <w:kinsoku/>
                    <w:wordWrap/>
                    <w:overflowPunct/>
                    <w:topLinePunct w:val="0"/>
                    <w:autoSpaceDE/>
                    <w:autoSpaceDN/>
                    <w:bidi w:val="0"/>
                    <w:adjustRightInd/>
                    <w:snapToGrid/>
                    <w:ind w:left="0" w:right="0"/>
                    <w:jc w:val="center"/>
                    <w:rPr>
                      <w:rFonts w:hint="default" w:eastAsia="宋体"/>
                      <w:b w:val="0"/>
                      <w:bCs/>
                      <w:color w:val="auto"/>
                      <w:sz w:val="21"/>
                      <w:szCs w:val="21"/>
                      <w:lang w:val="en-US" w:eastAsia="zh-CN" w:bidi="ar"/>
                    </w:rPr>
                  </w:pPr>
                  <w:r>
                    <w:rPr>
                      <w:rFonts w:hint="eastAsia"/>
                      <w:b w:val="0"/>
                      <w:bCs/>
                      <w:color w:val="auto"/>
                      <w:sz w:val="21"/>
                      <w:szCs w:val="21"/>
                      <w:lang w:val="en-US" w:eastAsia="zh-CN" w:bidi="ar"/>
                    </w:rPr>
                    <w:t>10</w:t>
                  </w:r>
                </w:p>
              </w:tc>
              <w:tc>
                <w:tcPr>
                  <w:tcW w:w="638" w:type="pct"/>
                  <w:vMerge w:val="restart"/>
                  <w:vAlign w:val="center"/>
                </w:tcPr>
                <w:p w14:paraId="26483529">
                  <w:pPr>
                    <w:pageBreakBefore w:val="0"/>
                    <w:kinsoku/>
                    <w:wordWrap/>
                    <w:overflowPunct/>
                    <w:topLinePunct w:val="0"/>
                    <w:autoSpaceDE/>
                    <w:autoSpaceDN/>
                    <w:bidi w:val="0"/>
                    <w:adjustRightInd/>
                    <w:snapToGrid/>
                    <w:ind w:left="0" w:right="0"/>
                    <w:jc w:val="center"/>
                    <w:rPr>
                      <w:rFonts w:hint="default" w:eastAsia="宋体"/>
                      <w:b w:val="0"/>
                      <w:bCs/>
                      <w:color w:val="auto"/>
                      <w:sz w:val="21"/>
                      <w:szCs w:val="21"/>
                      <w:lang w:val="en-US" w:eastAsia="zh-CN" w:bidi="ar"/>
                    </w:rPr>
                  </w:pPr>
                  <w:r>
                    <w:rPr>
                      <w:rFonts w:hint="eastAsia"/>
                      <w:b w:val="0"/>
                      <w:bCs/>
                      <w:color w:val="auto"/>
                      <w:sz w:val="21"/>
                      <w:szCs w:val="21"/>
                      <w:lang w:val="en-US" w:eastAsia="zh-CN" w:bidi="ar"/>
                    </w:rPr>
                    <w:t>15</w:t>
                  </w:r>
                </w:p>
              </w:tc>
              <w:tc>
                <w:tcPr>
                  <w:tcW w:w="452" w:type="pct"/>
                  <w:vAlign w:val="center"/>
                </w:tcPr>
                <w:p w14:paraId="6B4C3463">
                  <w:pPr>
                    <w:pageBreakBefore w:val="0"/>
                    <w:kinsoku/>
                    <w:wordWrap/>
                    <w:overflowPunct/>
                    <w:topLinePunct w:val="0"/>
                    <w:autoSpaceDE/>
                    <w:autoSpaceDN/>
                    <w:bidi w:val="0"/>
                    <w:adjustRightInd/>
                    <w:snapToGrid/>
                    <w:ind w:left="0" w:right="0"/>
                    <w:jc w:val="center"/>
                    <w:rPr>
                      <w:rFonts w:hint="eastAsia" w:eastAsia="宋体"/>
                      <w:b w:val="0"/>
                      <w:bCs/>
                      <w:color w:val="auto"/>
                      <w:sz w:val="21"/>
                      <w:szCs w:val="21"/>
                      <w:lang w:val="en-US" w:eastAsia="zh-CN" w:bidi="ar"/>
                    </w:rPr>
                  </w:pPr>
                  <w:r>
                    <w:rPr>
                      <w:rFonts w:hint="eastAsia"/>
                      <w:b w:val="0"/>
                      <w:bCs/>
                      <w:color w:val="auto"/>
                      <w:sz w:val="21"/>
                      <w:szCs w:val="21"/>
                      <w:lang w:val="en-US" w:eastAsia="zh-CN" w:bidi="ar"/>
                    </w:rPr>
                    <w:t>/</w:t>
                  </w:r>
                </w:p>
              </w:tc>
              <w:tc>
                <w:tcPr>
                  <w:tcW w:w="621" w:type="pct"/>
                  <w:vMerge w:val="restart"/>
                  <w:vAlign w:val="center"/>
                </w:tcPr>
                <w:p w14:paraId="73A3EEF5">
                  <w:pPr>
                    <w:pageBreakBefore w:val="0"/>
                    <w:kinsoku/>
                    <w:wordWrap/>
                    <w:overflowPunct/>
                    <w:topLinePunct w:val="0"/>
                    <w:autoSpaceDE/>
                    <w:autoSpaceDN/>
                    <w:bidi w:val="0"/>
                    <w:adjustRightInd/>
                    <w:snapToGrid/>
                    <w:ind w:left="0" w:leftChars="0" w:right="0" w:rightChars="0"/>
                    <w:jc w:val="center"/>
                    <w:rPr>
                      <w:b w:val="0"/>
                      <w:bCs/>
                      <w:color w:val="auto"/>
                      <w:sz w:val="21"/>
                      <w:szCs w:val="21"/>
                      <w:lang w:val="zh-CN" w:bidi="ar"/>
                    </w:rPr>
                  </w:pPr>
                  <w:r>
                    <w:rPr>
                      <w:b w:val="0"/>
                      <w:bCs/>
                      <w:color w:val="auto"/>
                      <w:sz w:val="21"/>
                      <w:szCs w:val="21"/>
                      <w:lang w:val="zh-CN" w:bidi="ar"/>
                    </w:rPr>
                    <w:t>周界外浓度最高点</w:t>
                  </w:r>
                </w:p>
              </w:tc>
              <w:tc>
                <w:tcPr>
                  <w:tcW w:w="621" w:type="pct"/>
                  <w:vAlign w:val="center"/>
                </w:tcPr>
                <w:p w14:paraId="6F72D1B8">
                  <w:pPr>
                    <w:pageBreakBefore w:val="0"/>
                    <w:kinsoku/>
                    <w:wordWrap/>
                    <w:overflowPunct/>
                    <w:topLinePunct w:val="0"/>
                    <w:autoSpaceDE/>
                    <w:autoSpaceDN/>
                    <w:bidi w:val="0"/>
                    <w:adjustRightInd/>
                    <w:snapToGrid/>
                    <w:ind w:left="0" w:leftChars="0" w:right="0" w:rightChars="0"/>
                    <w:jc w:val="center"/>
                    <w:rPr>
                      <w:b w:val="0"/>
                      <w:bCs/>
                      <w:color w:val="auto"/>
                      <w:sz w:val="21"/>
                      <w:szCs w:val="21"/>
                      <w:lang w:bidi="ar"/>
                    </w:rPr>
                  </w:pPr>
                  <w:r>
                    <w:rPr>
                      <w:b w:val="0"/>
                      <w:bCs/>
                      <w:color w:val="auto"/>
                      <w:sz w:val="21"/>
                      <w:szCs w:val="21"/>
                      <w:lang w:bidi="ar"/>
                    </w:rPr>
                    <w:t>1.0</w:t>
                  </w:r>
                </w:p>
              </w:tc>
              <w:tc>
                <w:tcPr>
                  <w:tcW w:w="1093" w:type="pct"/>
                  <w:vMerge w:val="restart"/>
                  <w:vAlign w:val="center"/>
                </w:tcPr>
                <w:p w14:paraId="73D12CEF">
                  <w:pPr>
                    <w:pageBreakBefore w:val="0"/>
                    <w:kinsoku/>
                    <w:wordWrap/>
                    <w:overflowPunct/>
                    <w:topLinePunct w:val="0"/>
                    <w:autoSpaceDE/>
                    <w:autoSpaceDN/>
                    <w:bidi w:val="0"/>
                    <w:adjustRightInd/>
                    <w:snapToGrid/>
                    <w:ind w:left="0" w:right="0"/>
                    <w:jc w:val="center"/>
                    <w:rPr>
                      <w:rFonts w:hint="eastAsia" w:eastAsia="宋体"/>
                      <w:b w:val="0"/>
                      <w:bCs/>
                      <w:color w:val="auto"/>
                      <w:sz w:val="21"/>
                      <w:szCs w:val="21"/>
                      <w:lang w:eastAsia="zh-CN" w:bidi="ar"/>
                    </w:rPr>
                  </w:pPr>
                  <w:r>
                    <w:rPr>
                      <w:rFonts w:hint="default"/>
                      <w:b w:val="0"/>
                      <w:bCs/>
                      <w:color w:val="auto"/>
                      <w:sz w:val="21"/>
                      <w:szCs w:val="21"/>
                      <w:lang w:eastAsia="zh-CN" w:bidi="ar"/>
                    </w:rPr>
                    <w:t>（GB13271-2014）</w:t>
                  </w:r>
                  <w:r>
                    <w:rPr>
                      <w:rFonts w:hint="eastAsia"/>
                      <w:b w:val="0"/>
                      <w:bCs/>
                      <w:color w:val="auto"/>
                      <w:sz w:val="21"/>
                      <w:szCs w:val="21"/>
                      <w:lang w:eastAsia="zh-CN" w:bidi="ar"/>
                    </w:rPr>
                    <w:t>、</w:t>
                  </w:r>
                  <w:r>
                    <w:rPr>
                      <w:rFonts w:hint="eastAsia" w:eastAsia="宋体"/>
                      <w:b w:val="0"/>
                      <w:bCs/>
                      <w:color w:val="auto"/>
                      <w:sz w:val="21"/>
                      <w:szCs w:val="21"/>
                      <w:lang w:eastAsia="zh-CN" w:bidi="ar"/>
                    </w:rPr>
                    <w:t>（皖环发〔2023]18号</w:t>
                  </w:r>
                  <w:r>
                    <w:rPr>
                      <w:rFonts w:hint="eastAsia"/>
                      <w:b w:val="0"/>
                      <w:bCs/>
                      <w:color w:val="auto"/>
                      <w:sz w:val="21"/>
                      <w:szCs w:val="21"/>
                      <w:lang w:eastAsia="zh-CN" w:bidi="ar"/>
                    </w:rPr>
                    <w:t>、</w:t>
                  </w:r>
                  <w:r>
                    <w:rPr>
                      <w:b w:val="0"/>
                      <w:bCs/>
                      <w:color w:val="auto"/>
                      <w:sz w:val="21"/>
                      <w:szCs w:val="21"/>
                      <w:lang w:bidi="ar"/>
                    </w:rPr>
                    <w:t>GB16297-1996</w:t>
                  </w:r>
                  <w:r>
                    <w:rPr>
                      <w:rFonts w:hint="eastAsia" w:eastAsia="宋体"/>
                      <w:b w:val="0"/>
                      <w:bCs/>
                      <w:color w:val="auto"/>
                      <w:sz w:val="21"/>
                      <w:szCs w:val="21"/>
                      <w:lang w:val="en-US" w:eastAsia="zh-CN" w:bidi="ar"/>
                    </w:rPr>
                    <w:t>综合取严</w:t>
                  </w:r>
                </w:p>
              </w:tc>
            </w:tr>
            <w:tr w14:paraId="7AB5C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730" w:type="pct"/>
                  <w:vAlign w:val="center"/>
                </w:tcPr>
                <w:p w14:paraId="502E7AB5">
                  <w:pPr>
                    <w:pageBreakBefore w:val="0"/>
                    <w:kinsoku/>
                    <w:wordWrap/>
                    <w:overflowPunct/>
                    <w:topLinePunct w:val="0"/>
                    <w:autoSpaceDE/>
                    <w:autoSpaceDN/>
                    <w:bidi w:val="0"/>
                    <w:adjustRightInd/>
                    <w:snapToGrid/>
                    <w:ind w:left="0" w:right="0"/>
                    <w:jc w:val="center"/>
                    <w:rPr>
                      <w:b w:val="0"/>
                      <w:bCs/>
                      <w:color w:val="auto"/>
                      <w:sz w:val="21"/>
                      <w:szCs w:val="21"/>
                      <w:lang w:val="zh-CN" w:bidi="ar"/>
                    </w:rPr>
                  </w:pPr>
                  <w:r>
                    <w:rPr>
                      <w:rFonts w:hint="eastAsia"/>
                      <w:color w:val="auto"/>
                      <w:sz w:val="21"/>
                      <w:szCs w:val="21"/>
                      <w:lang w:bidi="ar"/>
                    </w:rPr>
                    <w:t>SO</w:t>
                  </w:r>
                  <w:r>
                    <w:rPr>
                      <w:rFonts w:hint="eastAsia"/>
                      <w:color w:val="auto"/>
                      <w:sz w:val="21"/>
                      <w:szCs w:val="21"/>
                      <w:vertAlign w:val="subscript"/>
                      <w:lang w:bidi="ar"/>
                    </w:rPr>
                    <w:t>2</w:t>
                  </w:r>
                </w:p>
              </w:tc>
              <w:tc>
                <w:tcPr>
                  <w:tcW w:w="842" w:type="pct"/>
                  <w:vAlign w:val="center"/>
                </w:tcPr>
                <w:p w14:paraId="2BDA43D0">
                  <w:pPr>
                    <w:pageBreakBefore w:val="0"/>
                    <w:kinsoku/>
                    <w:wordWrap/>
                    <w:overflowPunct/>
                    <w:topLinePunct w:val="0"/>
                    <w:autoSpaceDE/>
                    <w:autoSpaceDN/>
                    <w:bidi w:val="0"/>
                    <w:adjustRightInd/>
                    <w:snapToGrid/>
                    <w:ind w:left="0" w:right="0"/>
                    <w:jc w:val="center"/>
                    <w:rPr>
                      <w:rFonts w:hint="default" w:eastAsia="宋体"/>
                      <w:b w:val="0"/>
                      <w:bCs/>
                      <w:color w:val="auto"/>
                      <w:sz w:val="21"/>
                      <w:szCs w:val="21"/>
                      <w:lang w:val="en-US" w:eastAsia="zh-CN" w:bidi="ar"/>
                    </w:rPr>
                  </w:pPr>
                  <w:r>
                    <w:rPr>
                      <w:rFonts w:hint="eastAsia"/>
                      <w:b w:val="0"/>
                      <w:bCs/>
                      <w:color w:val="auto"/>
                      <w:sz w:val="21"/>
                      <w:szCs w:val="21"/>
                      <w:lang w:val="en-US" w:eastAsia="zh-CN" w:bidi="ar"/>
                    </w:rPr>
                    <w:t>35</w:t>
                  </w:r>
                </w:p>
              </w:tc>
              <w:tc>
                <w:tcPr>
                  <w:tcW w:w="638" w:type="pct"/>
                  <w:vMerge w:val="continue"/>
                  <w:vAlign w:val="center"/>
                </w:tcPr>
                <w:p w14:paraId="651B8FB8">
                  <w:pPr>
                    <w:pageBreakBefore w:val="0"/>
                    <w:kinsoku/>
                    <w:wordWrap/>
                    <w:overflowPunct/>
                    <w:topLinePunct w:val="0"/>
                    <w:autoSpaceDE/>
                    <w:autoSpaceDN/>
                    <w:bidi w:val="0"/>
                    <w:adjustRightInd/>
                    <w:snapToGrid/>
                    <w:ind w:left="0" w:right="0"/>
                    <w:jc w:val="center"/>
                    <w:rPr>
                      <w:b w:val="0"/>
                      <w:bCs/>
                      <w:color w:val="auto"/>
                      <w:sz w:val="21"/>
                      <w:szCs w:val="21"/>
                      <w:lang w:val="zh-CN" w:bidi="ar"/>
                    </w:rPr>
                  </w:pPr>
                </w:p>
              </w:tc>
              <w:tc>
                <w:tcPr>
                  <w:tcW w:w="452" w:type="pct"/>
                  <w:vAlign w:val="center"/>
                </w:tcPr>
                <w:p w14:paraId="714EB76E">
                  <w:pPr>
                    <w:pageBreakBefore w:val="0"/>
                    <w:kinsoku/>
                    <w:wordWrap/>
                    <w:overflowPunct/>
                    <w:topLinePunct w:val="0"/>
                    <w:autoSpaceDE/>
                    <w:autoSpaceDN/>
                    <w:bidi w:val="0"/>
                    <w:adjustRightInd/>
                    <w:snapToGrid/>
                    <w:ind w:left="0" w:right="0"/>
                    <w:jc w:val="center"/>
                    <w:rPr>
                      <w:rFonts w:hint="eastAsia" w:eastAsia="宋体"/>
                      <w:b w:val="0"/>
                      <w:bCs/>
                      <w:color w:val="auto"/>
                      <w:sz w:val="21"/>
                      <w:szCs w:val="21"/>
                      <w:lang w:val="en-US" w:eastAsia="zh-CN" w:bidi="ar"/>
                    </w:rPr>
                  </w:pPr>
                  <w:r>
                    <w:rPr>
                      <w:rFonts w:hint="eastAsia"/>
                      <w:b w:val="0"/>
                      <w:bCs/>
                      <w:color w:val="auto"/>
                      <w:sz w:val="21"/>
                      <w:szCs w:val="21"/>
                      <w:lang w:val="en-US" w:eastAsia="zh-CN" w:bidi="ar"/>
                    </w:rPr>
                    <w:t>/</w:t>
                  </w:r>
                </w:p>
              </w:tc>
              <w:tc>
                <w:tcPr>
                  <w:tcW w:w="621" w:type="pct"/>
                  <w:vMerge w:val="continue"/>
                  <w:vAlign w:val="center"/>
                </w:tcPr>
                <w:p w14:paraId="6E82D7B0">
                  <w:pPr>
                    <w:pageBreakBefore w:val="0"/>
                    <w:kinsoku/>
                    <w:wordWrap/>
                    <w:overflowPunct/>
                    <w:topLinePunct w:val="0"/>
                    <w:autoSpaceDE/>
                    <w:autoSpaceDN/>
                    <w:bidi w:val="0"/>
                    <w:adjustRightInd/>
                    <w:snapToGrid/>
                    <w:ind w:left="0" w:right="0"/>
                    <w:jc w:val="center"/>
                    <w:rPr>
                      <w:b w:val="0"/>
                      <w:bCs/>
                      <w:color w:val="auto"/>
                      <w:sz w:val="21"/>
                      <w:szCs w:val="21"/>
                      <w:lang w:val="zh-CN" w:bidi="ar"/>
                    </w:rPr>
                  </w:pPr>
                </w:p>
              </w:tc>
              <w:tc>
                <w:tcPr>
                  <w:tcW w:w="621" w:type="pct"/>
                  <w:vAlign w:val="center"/>
                </w:tcPr>
                <w:p w14:paraId="3794D87F">
                  <w:pPr>
                    <w:pageBreakBefore w:val="0"/>
                    <w:kinsoku/>
                    <w:wordWrap/>
                    <w:overflowPunct/>
                    <w:topLinePunct w:val="0"/>
                    <w:autoSpaceDE/>
                    <w:autoSpaceDN/>
                    <w:bidi w:val="0"/>
                    <w:adjustRightInd/>
                    <w:snapToGrid/>
                    <w:ind w:left="0" w:right="0"/>
                    <w:jc w:val="center"/>
                    <w:rPr>
                      <w:rFonts w:hint="default"/>
                      <w:b w:val="0"/>
                      <w:bCs/>
                      <w:color w:val="auto"/>
                      <w:sz w:val="21"/>
                      <w:szCs w:val="21"/>
                      <w:lang w:val="en-US" w:bidi="ar"/>
                    </w:rPr>
                  </w:pPr>
                  <w:r>
                    <w:rPr>
                      <w:rFonts w:hint="eastAsia"/>
                      <w:b w:val="0"/>
                      <w:bCs/>
                      <w:color w:val="auto"/>
                      <w:sz w:val="21"/>
                      <w:szCs w:val="21"/>
                      <w:lang w:val="en-US" w:eastAsia="zh-CN" w:bidi="ar"/>
                    </w:rPr>
                    <w:t>0.4</w:t>
                  </w:r>
                </w:p>
              </w:tc>
              <w:tc>
                <w:tcPr>
                  <w:tcW w:w="1093" w:type="pct"/>
                  <w:vMerge w:val="continue"/>
                  <w:vAlign w:val="center"/>
                </w:tcPr>
                <w:p w14:paraId="392F8ED2">
                  <w:pPr>
                    <w:pageBreakBefore w:val="0"/>
                    <w:kinsoku/>
                    <w:wordWrap/>
                    <w:overflowPunct/>
                    <w:topLinePunct w:val="0"/>
                    <w:autoSpaceDE/>
                    <w:autoSpaceDN/>
                    <w:bidi w:val="0"/>
                    <w:adjustRightInd/>
                    <w:snapToGrid/>
                    <w:ind w:left="0" w:right="0"/>
                    <w:jc w:val="center"/>
                    <w:rPr>
                      <w:b w:val="0"/>
                      <w:bCs/>
                      <w:color w:val="auto"/>
                      <w:sz w:val="21"/>
                      <w:szCs w:val="21"/>
                      <w:lang w:bidi="ar"/>
                    </w:rPr>
                  </w:pPr>
                </w:p>
              </w:tc>
            </w:tr>
            <w:tr w14:paraId="1A4E4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730" w:type="pct"/>
                  <w:vAlign w:val="center"/>
                </w:tcPr>
                <w:p w14:paraId="3CE20E41">
                  <w:pPr>
                    <w:pageBreakBefore w:val="0"/>
                    <w:kinsoku/>
                    <w:wordWrap/>
                    <w:overflowPunct/>
                    <w:topLinePunct w:val="0"/>
                    <w:autoSpaceDE/>
                    <w:autoSpaceDN/>
                    <w:bidi w:val="0"/>
                    <w:adjustRightInd/>
                    <w:snapToGrid/>
                    <w:ind w:left="0" w:right="0"/>
                    <w:jc w:val="center"/>
                    <w:rPr>
                      <w:b w:val="0"/>
                      <w:bCs/>
                      <w:color w:val="auto"/>
                      <w:sz w:val="21"/>
                      <w:szCs w:val="21"/>
                      <w:lang w:val="zh-CN" w:bidi="ar"/>
                    </w:rPr>
                  </w:pPr>
                  <w:r>
                    <w:rPr>
                      <w:rFonts w:hint="eastAsia"/>
                      <w:color w:val="auto"/>
                      <w:sz w:val="21"/>
                      <w:szCs w:val="21"/>
                      <w:lang w:bidi="ar"/>
                    </w:rPr>
                    <w:t>NO</w:t>
                  </w:r>
                  <w:r>
                    <w:rPr>
                      <w:rFonts w:hint="eastAsia"/>
                      <w:color w:val="auto"/>
                      <w:sz w:val="21"/>
                      <w:szCs w:val="21"/>
                      <w:vertAlign w:val="subscript"/>
                      <w:lang w:bidi="ar"/>
                    </w:rPr>
                    <w:t>X</w:t>
                  </w:r>
                </w:p>
              </w:tc>
              <w:tc>
                <w:tcPr>
                  <w:tcW w:w="842" w:type="pct"/>
                  <w:vAlign w:val="center"/>
                </w:tcPr>
                <w:p w14:paraId="04B1FFBA">
                  <w:pPr>
                    <w:pageBreakBefore w:val="0"/>
                    <w:kinsoku/>
                    <w:wordWrap/>
                    <w:overflowPunct/>
                    <w:topLinePunct w:val="0"/>
                    <w:autoSpaceDE/>
                    <w:autoSpaceDN/>
                    <w:bidi w:val="0"/>
                    <w:adjustRightInd/>
                    <w:snapToGrid/>
                    <w:ind w:left="0" w:right="0"/>
                    <w:jc w:val="center"/>
                    <w:rPr>
                      <w:rFonts w:hint="default" w:eastAsia="宋体"/>
                      <w:b w:val="0"/>
                      <w:bCs/>
                      <w:color w:val="auto"/>
                      <w:sz w:val="21"/>
                      <w:szCs w:val="21"/>
                      <w:lang w:val="en-US" w:eastAsia="zh-CN" w:bidi="ar"/>
                    </w:rPr>
                  </w:pPr>
                  <w:r>
                    <w:rPr>
                      <w:rFonts w:hint="eastAsia"/>
                      <w:b w:val="0"/>
                      <w:bCs/>
                      <w:color w:val="auto"/>
                      <w:sz w:val="21"/>
                      <w:szCs w:val="21"/>
                      <w:lang w:val="en-US" w:eastAsia="zh-CN" w:bidi="ar"/>
                    </w:rPr>
                    <w:t>50</w:t>
                  </w:r>
                </w:p>
              </w:tc>
              <w:tc>
                <w:tcPr>
                  <w:tcW w:w="638" w:type="pct"/>
                  <w:vMerge w:val="continue"/>
                  <w:vAlign w:val="center"/>
                </w:tcPr>
                <w:p w14:paraId="312E5DFE">
                  <w:pPr>
                    <w:pageBreakBefore w:val="0"/>
                    <w:kinsoku/>
                    <w:wordWrap/>
                    <w:overflowPunct/>
                    <w:topLinePunct w:val="0"/>
                    <w:autoSpaceDE/>
                    <w:autoSpaceDN/>
                    <w:bidi w:val="0"/>
                    <w:adjustRightInd/>
                    <w:snapToGrid/>
                    <w:ind w:left="0" w:right="0"/>
                    <w:jc w:val="center"/>
                    <w:rPr>
                      <w:b w:val="0"/>
                      <w:bCs/>
                      <w:color w:val="auto"/>
                      <w:sz w:val="21"/>
                      <w:szCs w:val="21"/>
                      <w:lang w:val="zh-CN" w:bidi="ar"/>
                    </w:rPr>
                  </w:pPr>
                </w:p>
              </w:tc>
              <w:tc>
                <w:tcPr>
                  <w:tcW w:w="452" w:type="pct"/>
                  <w:vAlign w:val="center"/>
                </w:tcPr>
                <w:p w14:paraId="099F7E1A">
                  <w:pPr>
                    <w:pageBreakBefore w:val="0"/>
                    <w:kinsoku/>
                    <w:wordWrap/>
                    <w:overflowPunct/>
                    <w:topLinePunct w:val="0"/>
                    <w:autoSpaceDE/>
                    <w:autoSpaceDN/>
                    <w:bidi w:val="0"/>
                    <w:adjustRightInd/>
                    <w:snapToGrid/>
                    <w:ind w:left="0" w:right="0"/>
                    <w:jc w:val="center"/>
                    <w:rPr>
                      <w:rFonts w:hint="eastAsia" w:eastAsia="宋体"/>
                      <w:b w:val="0"/>
                      <w:bCs/>
                      <w:color w:val="auto"/>
                      <w:sz w:val="21"/>
                      <w:szCs w:val="21"/>
                      <w:lang w:val="en-US" w:eastAsia="zh-CN" w:bidi="ar"/>
                    </w:rPr>
                  </w:pPr>
                  <w:r>
                    <w:rPr>
                      <w:rFonts w:hint="eastAsia"/>
                      <w:b w:val="0"/>
                      <w:bCs/>
                      <w:color w:val="auto"/>
                      <w:sz w:val="21"/>
                      <w:szCs w:val="21"/>
                      <w:lang w:val="en-US" w:eastAsia="zh-CN" w:bidi="ar"/>
                    </w:rPr>
                    <w:t>/</w:t>
                  </w:r>
                </w:p>
              </w:tc>
              <w:tc>
                <w:tcPr>
                  <w:tcW w:w="621" w:type="pct"/>
                  <w:vMerge w:val="continue"/>
                  <w:vAlign w:val="center"/>
                </w:tcPr>
                <w:p w14:paraId="0DE3B387">
                  <w:pPr>
                    <w:pageBreakBefore w:val="0"/>
                    <w:kinsoku/>
                    <w:wordWrap/>
                    <w:overflowPunct/>
                    <w:topLinePunct w:val="0"/>
                    <w:autoSpaceDE/>
                    <w:autoSpaceDN/>
                    <w:bidi w:val="0"/>
                    <w:adjustRightInd/>
                    <w:snapToGrid/>
                    <w:ind w:left="0" w:right="0"/>
                    <w:jc w:val="center"/>
                    <w:rPr>
                      <w:b w:val="0"/>
                      <w:bCs/>
                      <w:color w:val="auto"/>
                      <w:sz w:val="21"/>
                      <w:szCs w:val="21"/>
                      <w:lang w:val="zh-CN" w:bidi="ar"/>
                    </w:rPr>
                  </w:pPr>
                </w:p>
              </w:tc>
              <w:tc>
                <w:tcPr>
                  <w:tcW w:w="621" w:type="pct"/>
                  <w:vAlign w:val="center"/>
                </w:tcPr>
                <w:p w14:paraId="60BB272D">
                  <w:pPr>
                    <w:pageBreakBefore w:val="0"/>
                    <w:kinsoku/>
                    <w:wordWrap/>
                    <w:overflowPunct/>
                    <w:topLinePunct w:val="0"/>
                    <w:autoSpaceDE/>
                    <w:autoSpaceDN/>
                    <w:bidi w:val="0"/>
                    <w:adjustRightInd/>
                    <w:snapToGrid/>
                    <w:ind w:left="0" w:right="0"/>
                    <w:jc w:val="center"/>
                    <w:rPr>
                      <w:rFonts w:hint="default"/>
                      <w:b w:val="0"/>
                      <w:bCs/>
                      <w:color w:val="auto"/>
                      <w:sz w:val="21"/>
                      <w:szCs w:val="21"/>
                      <w:lang w:val="en-US" w:bidi="ar"/>
                    </w:rPr>
                  </w:pPr>
                  <w:r>
                    <w:rPr>
                      <w:rFonts w:hint="eastAsia"/>
                      <w:b w:val="0"/>
                      <w:bCs/>
                      <w:color w:val="auto"/>
                      <w:sz w:val="21"/>
                      <w:szCs w:val="21"/>
                      <w:lang w:val="en-US" w:eastAsia="zh-CN" w:bidi="ar"/>
                    </w:rPr>
                    <w:t>0.12</w:t>
                  </w:r>
                </w:p>
              </w:tc>
              <w:tc>
                <w:tcPr>
                  <w:tcW w:w="1093" w:type="pct"/>
                  <w:vMerge w:val="continue"/>
                  <w:vAlign w:val="center"/>
                </w:tcPr>
                <w:p w14:paraId="3BCAA801">
                  <w:pPr>
                    <w:pageBreakBefore w:val="0"/>
                    <w:kinsoku/>
                    <w:wordWrap/>
                    <w:overflowPunct/>
                    <w:topLinePunct w:val="0"/>
                    <w:autoSpaceDE/>
                    <w:autoSpaceDN/>
                    <w:bidi w:val="0"/>
                    <w:adjustRightInd/>
                    <w:snapToGrid/>
                    <w:ind w:left="0" w:right="0"/>
                    <w:jc w:val="center"/>
                    <w:rPr>
                      <w:b w:val="0"/>
                      <w:bCs/>
                      <w:color w:val="auto"/>
                      <w:sz w:val="21"/>
                      <w:szCs w:val="21"/>
                      <w:lang w:bidi="ar"/>
                    </w:rPr>
                  </w:pPr>
                </w:p>
              </w:tc>
            </w:tr>
            <w:tr w14:paraId="46B50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730" w:type="pct"/>
                  <w:vAlign w:val="center"/>
                </w:tcPr>
                <w:p w14:paraId="1A015A67">
                  <w:pPr>
                    <w:pageBreakBefore w:val="0"/>
                    <w:kinsoku/>
                    <w:wordWrap/>
                    <w:overflowPunct/>
                    <w:autoSpaceDE/>
                    <w:autoSpaceDN/>
                    <w:bidi w:val="0"/>
                    <w:adjustRightInd/>
                    <w:snapToGrid/>
                    <w:spacing w:line="240" w:lineRule="auto"/>
                    <w:ind w:left="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烟气黑度</w:t>
                  </w:r>
                </w:p>
              </w:tc>
              <w:tc>
                <w:tcPr>
                  <w:tcW w:w="842" w:type="pct"/>
                  <w:vAlign w:val="center"/>
                </w:tcPr>
                <w:p w14:paraId="7F28E8D6">
                  <w:pPr>
                    <w:pageBreakBefore w:val="0"/>
                    <w:kinsoku/>
                    <w:wordWrap/>
                    <w:overflowPunct/>
                    <w:autoSpaceDE/>
                    <w:autoSpaceDN/>
                    <w:bidi w:val="0"/>
                    <w:adjustRightInd/>
                    <w:snapToGrid/>
                    <w:spacing w:line="240" w:lineRule="auto"/>
                    <w:ind w:left="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638" w:type="pct"/>
                  <w:vMerge w:val="continue"/>
                  <w:vAlign w:val="center"/>
                </w:tcPr>
                <w:p w14:paraId="1289AC81">
                  <w:pPr>
                    <w:pageBreakBefore w:val="0"/>
                    <w:kinsoku/>
                    <w:wordWrap/>
                    <w:overflowPunct/>
                    <w:topLinePunct w:val="0"/>
                    <w:autoSpaceDE/>
                    <w:autoSpaceDN/>
                    <w:bidi w:val="0"/>
                    <w:adjustRightInd/>
                    <w:snapToGrid/>
                    <w:ind w:left="0" w:right="0" w:rightChars="0"/>
                    <w:jc w:val="center"/>
                    <w:rPr>
                      <w:b w:val="0"/>
                      <w:bCs/>
                      <w:color w:val="auto"/>
                      <w:sz w:val="21"/>
                      <w:szCs w:val="21"/>
                      <w:lang w:val="zh-CN" w:bidi="ar"/>
                    </w:rPr>
                  </w:pPr>
                </w:p>
              </w:tc>
              <w:tc>
                <w:tcPr>
                  <w:tcW w:w="452" w:type="pct"/>
                  <w:vAlign w:val="center"/>
                </w:tcPr>
                <w:p w14:paraId="3D55065A">
                  <w:pPr>
                    <w:pageBreakBefore w:val="0"/>
                    <w:kinsoku/>
                    <w:wordWrap/>
                    <w:overflowPunct/>
                    <w:topLinePunct w:val="0"/>
                    <w:autoSpaceDE/>
                    <w:autoSpaceDN/>
                    <w:bidi w:val="0"/>
                    <w:adjustRightInd/>
                    <w:snapToGrid/>
                    <w:ind w:left="0" w:right="0" w:rightChars="0"/>
                    <w:jc w:val="center"/>
                    <w:rPr>
                      <w:rFonts w:hint="eastAsia"/>
                      <w:b w:val="0"/>
                      <w:bCs/>
                      <w:color w:val="auto"/>
                      <w:sz w:val="21"/>
                      <w:szCs w:val="21"/>
                      <w:lang w:val="en-US" w:eastAsia="zh-CN" w:bidi="ar"/>
                    </w:rPr>
                  </w:pPr>
                  <w:r>
                    <w:rPr>
                      <w:rFonts w:hint="eastAsia"/>
                      <w:b w:val="0"/>
                      <w:bCs/>
                      <w:color w:val="auto"/>
                      <w:sz w:val="21"/>
                      <w:szCs w:val="21"/>
                      <w:lang w:val="en-US" w:eastAsia="zh-CN" w:bidi="ar"/>
                    </w:rPr>
                    <w:t>/</w:t>
                  </w:r>
                </w:p>
              </w:tc>
              <w:tc>
                <w:tcPr>
                  <w:tcW w:w="621" w:type="pct"/>
                  <w:vAlign w:val="center"/>
                </w:tcPr>
                <w:p w14:paraId="2EE34A2F">
                  <w:pPr>
                    <w:pageBreakBefore w:val="0"/>
                    <w:kinsoku/>
                    <w:wordWrap/>
                    <w:overflowPunct/>
                    <w:topLinePunct w:val="0"/>
                    <w:autoSpaceDE/>
                    <w:autoSpaceDN/>
                    <w:bidi w:val="0"/>
                    <w:adjustRightInd/>
                    <w:snapToGrid/>
                    <w:ind w:left="0" w:right="0" w:rightChars="0"/>
                    <w:jc w:val="center"/>
                    <w:rPr>
                      <w:rFonts w:hint="eastAsia"/>
                      <w:b w:val="0"/>
                      <w:bCs/>
                      <w:color w:val="auto"/>
                      <w:sz w:val="21"/>
                      <w:szCs w:val="21"/>
                      <w:lang w:val="en-US" w:eastAsia="zh-CN" w:bidi="ar"/>
                    </w:rPr>
                  </w:pPr>
                  <w:r>
                    <w:rPr>
                      <w:rFonts w:hint="eastAsia"/>
                      <w:b w:val="0"/>
                      <w:bCs/>
                      <w:color w:val="auto"/>
                      <w:sz w:val="21"/>
                      <w:szCs w:val="21"/>
                      <w:lang w:val="en-US" w:eastAsia="zh-CN" w:bidi="ar"/>
                    </w:rPr>
                    <w:t>/</w:t>
                  </w:r>
                </w:p>
              </w:tc>
              <w:tc>
                <w:tcPr>
                  <w:tcW w:w="621" w:type="pct"/>
                  <w:vAlign w:val="center"/>
                </w:tcPr>
                <w:p w14:paraId="7B020B34">
                  <w:pPr>
                    <w:pageBreakBefore w:val="0"/>
                    <w:kinsoku/>
                    <w:wordWrap/>
                    <w:overflowPunct/>
                    <w:topLinePunct w:val="0"/>
                    <w:autoSpaceDE/>
                    <w:autoSpaceDN/>
                    <w:bidi w:val="0"/>
                    <w:adjustRightInd/>
                    <w:snapToGrid/>
                    <w:ind w:left="0" w:right="0" w:rightChars="0"/>
                    <w:jc w:val="center"/>
                    <w:rPr>
                      <w:rFonts w:hint="eastAsia"/>
                      <w:b w:val="0"/>
                      <w:bCs/>
                      <w:color w:val="auto"/>
                      <w:sz w:val="21"/>
                      <w:szCs w:val="21"/>
                      <w:lang w:val="en-US" w:eastAsia="zh-CN" w:bidi="ar"/>
                    </w:rPr>
                  </w:pPr>
                  <w:r>
                    <w:rPr>
                      <w:rFonts w:hint="eastAsia"/>
                      <w:b w:val="0"/>
                      <w:bCs/>
                      <w:color w:val="auto"/>
                      <w:sz w:val="21"/>
                      <w:szCs w:val="21"/>
                      <w:lang w:val="en-US" w:eastAsia="zh-CN" w:bidi="ar"/>
                    </w:rPr>
                    <w:t>/</w:t>
                  </w:r>
                </w:p>
              </w:tc>
              <w:tc>
                <w:tcPr>
                  <w:tcW w:w="1093" w:type="pct"/>
                  <w:vAlign w:val="center"/>
                </w:tcPr>
                <w:p w14:paraId="0E014BFD">
                  <w:pPr>
                    <w:pageBreakBefore w:val="0"/>
                    <w:kinsoku/>
                    <w:wordWrap/>
                    <w:overflowPunct/>
                    <w:topLinePunct w:val="0"/>
                    <w:autoSpaceDE/>
                    <w:autoSpaceDN/>
                    <w:bidi w:val="0"/>
                    <w:adjustRightInd/>
                    <w:snapToGrid/>
                    <w:ind w:left="0" w:right="0"/>
                    <w:jc w:val="center"/>
                    <w:rPr>
                      <w:b w:val="0"/>
                      <w:bCs/>
                      <w:color w:val="auto"/>
                      <w:sz w:val="21"/>
                      <w:szCs w:val="21"/>
                      <w:lang w:bidi="ar"/>
                    </w:rPr>
                  </w:pPr>
                  <w:r>
                    <w:rPr>
                      <w:rFonts w:hint="default"/>
                      <w:b w:val="0"/>
                      <w:bCs/>
                      <w:color w:val="auto"/>
                      <w:sz w:val="21"/>
                      <w:szCs w:val="21"/>
                      <w:lang w:eastAsia="zh-CN" w:bidi="ar"/>
                    </w:rPr>
                    <w:t>（GB13271-2014）</w:t>
                  </w:r>
                </w:p>
              </w:tc>
            </w:tr>
          </w:tbl>
          <w:p w14:paraId="220DF26F">
            <w:pPr>
              <w:pageBreakBefore w:val="0"/>
              <w:kinsoku/>
              <w:wordWrap/>
              <w:overflowPunct/>
              <w:topLinePunct w:val="0"/>
              <w:autoSpaceDE/>
              <w:autoSpaceDN/>
              <w:bidi w:val="0"/>
              <w:adjustRightInd/>
              <w:snapToGrid/>
              <w:spacing w:line="360" w:lineRule="auto"/>
              <w:ind w:left="0" w:right="0" w:firstLine="480" w:firstLineChars="200"/>
              <w:rPr>
                <w:rFonts w:eastAsia="Times New Roman"/>
                <w:b/>
                <w:color w:val="auto"/>
                <w:sz w:val="24"/>
              </w:rPr>
            </w:pPr>
            <w:r>
              <w:rPr>
                <w:rFonts w:eastAsia="Times New Roman"/>
                <w:b/>
                <w:color w:val="auto"/>
                <w:sz w:val="24"/>
              </w:rPr>
              <w:t>2、废水排放标准</w:t>
            </w:r>
          </w:p>
          <w:p w14:paraId="00A328FB">
            <w:pPr>
              <w:pageBreakBefore w:val="0"/>
              <w:kinsoku/>
              <w:wordWrap/>
              <w:overflowPunct/>
              <w:topLinePunct w:val="0"/>
              <w:autoSpaceDE/>
              <w:autoSpaceDN/>
              <w:bidi w:val="0"/>
              <w:adjustRightInd/>
              <w:snapToGrid/>
              <w:spacing w:line="360" w:lineRule="auto"/>
              <w:ind w:left="0" w:right="0" w:firstLine="464" w:firstLineChars="200"/>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4"/>
                <w:lang w:val="en-US" w:eastAsia="zh-CN" w:bidi="ar-SA"/>
              </w:rPr>
              <w:t>项目生活污水经化粪池处理后，定期清掏外运；喷淋塔废水沉淀后循环使用，不外排</w:t>
            </w:r>
            <w:r>
              <w:rPr>
                <w:rFonts w:hint="eastAsia" w:cs="Times New Roman"/>
                <w:color w:val="auto"/>
                <w:spacing w:val="-4"/>
                <w:kern w:val="0"/>
                <w:sz w:val="24"/>
                <w:szCs w:val="24"/>
                <w:lang w:val="en-US" w:eastAsia="zh-CN" w:bidi="ar-SA"/>
              </w:rPr>
              <w:t>；</w:t>
            </w:r>
            <w:r>
              <w:rPr>
                <w:rFonts w:hint="eastAsia" w:ascii="Times New Roman" w:hAnsi="Times New Roman" w:eastAsia="宋体" w:cs="Times New Roman"/>
                <w:color w:val="auto"/>
                <w:spacing w:val="-4"/>
                <w:kern w:val="0"/>
                <w:sz w:val="24"/>
                <w:szCs w:val="24"/>
                <w:lang w:val="en-US" w:eastAsia="zh-CN" w:bidi="ar-SA"/>
              </w:rPr>
              <w:t>锅炉水循环使用，不外排。</w:t>
            </w:r>
          </w:p>
          <w:p w14:paraId="09810545">
            <w:pPr>
              <w:pageBreakBefore w:val="0"/>
              <w:kinsoku/>
              <w:wordWrap/>
              <w:overflowPunct/>
              <w:topLinePunct w:val="0"/>
              <w:autoSpaceDE/>
              <w:autoSpaceDN/>
              <w:bidi w:val="0"/>
              <w:adjustRightInd/>
              <w:snapToGrid/>
              <w:spacing w:line="360" w:lineRule="auto"/>
              <w:ind w:left="0" w:right="0" w:firstLine="480" w:firstLineChars="200"/>
              <w:rPr>
                <w:rFonts w:eastAsia="Times New Roman"/>
                <w:b/>
                <w:color w:val="auto"/>
                <w:sz w:val="24"/>
              </w:rPr>
            </w:pPr>
            <w:r>
              <w:rPr>
                <w:rFonts w:eastAsia="Times New Roman"/>
                <w:b/>
                <w:color w:val="auto"/>
                <w:sz w:val="24"/>
              </w:rPr>
              <w:t>3、噪声排放标准</w:t>
            </w:r>
          </w:p>
          <w:p w14:paraId="2236FD4D">
            <w:pPr>
              <w:pStyle w:val="13"/>
              <w:pageBreakBefore w:val="0"/>
              <w:kinsoku/>
              <w:wordWrap/>
              <w:overflowPunct/>
              <w:topLinePunct w:val="0"/>
              <w:autoSpaceDE/>
              <w:autoSpaceDN/>
              <w:bidi w:val="0"/>
              <w:adjustRightInd/>
              <w:snapToGrid/>
              <w:spacing w:before="0" w:after="0" w:line="360" w:lineRule="auto"/>
              <w:ind w:left="0" w:right="0" w:firstLine="464" w:firstLineChars="200"/>
              <w:rPr>
                <w:rFonts w:hint="eastAsia" w:eastAsia="宋体"/>
                <w:bCs w:val="0"/>
                <w:color w:val="auto"/>
                <w:kern w:val="0"/>
                <w:sz w:val="24"/>
                <w:szCs w:val="24"/>
                <w:lang w:val="en-US" w:eastAsia="zh-CN"/>
              </w:rPr>
            </w:pPr>
            <w:r>
              <w:rPr>
                <w:color w:val="auto"/>
                <w:spacing w:val="-4"/>
                <w:sz w:val="24"/>
                <w:szCs w:val="24"/>
              </w:rPr>
              <w:t>本项目厂界噪声执行《工业企业厂界环境噪声排放标准》（GB12348-2008）</w:t>
            </w:r>
            <w:r>
              <w:rPr>
                <w:rFonts w:hint="eastAsia"/>
                <w:color w:val="auto"/>
                <w:spacing w:val="-4"/>
                <w:sz w:val="24"/>
                <w:szCs w:val="24"/>
                <w:lang w:val="en-US" w:eastAsia="zh-CN"/>
              </w:rPr>
              <w:t>2</w:t>
            </w:r>
            <w:r>
              <w:rPr>
                <w:color w:val="auto"/>
                <w:spacing w:val="-4"/>
                <w:sz w:val="24"/>
                <w:szCs w:val="24"/>
              </w:rPr>
              <w:t>类标准，详见下表</w:t>
            </w:r>
            <w:r>
              <w:rPr>
                <w:rFonts w:hint="eastAsia"/>
                <w:color w:val="auto"/>
                <w:spacing w:val="-4"/>
                <w:sz w:val="24"/>
                <w:szCs w:val="24"/>
                <w:lang w:eastAsia="zh-CN"/>
              </w:rPr>
              <w:t>：</w:t>
            </w:r>
          </w:p>
          <w:p w14:paraId="557798C2">
            <w:pPr>
              <w:pStyle w:val="5"/>
              <w:pageBreakBefore w:val="0"/>
              <w:tabs>
                <w:tab w:val="left" w:pos="1147"/>
                <w:tab w:val="left" w:pos="3554"/>
              </w:tabs>
              <w:kinsoku/>
              <w:wordWrap/>
              <w:overflowPunct/>
              <w:topLinePunct w:val="0"/>
              <w:autoSpaceDE/>
              <w:autoSpaceDN/>
              <w:bidi w:val="0"/>
              <w:adjustRightInd/>
              <w:snapToGrid/>
              <w:spacing w:before="0" w:beforeLines="0"/>
              <w:ind w:left="0" w:right="0"/>
              <w:jc w:val="center"/>
              <w:rPr>
                <w:rFonts w:eastAsia="宋体"/>
                <w:bCs w:val="0"/>
                <w:color w:val="auto"/>
                <w:kern w:val="0"/>
                <w:sz w:val="24"/>
                <w:szCs w:val="24"/>
                <w:lang w:val="en-US"/>
              </w:rPr>
            </w:pPr>
            <w:r>
              <w:rPr>
                <w:rFonts w:eastAsia="宋体"/>
                <w:bCs w:val="0"/>
                <w:color w:val="auto"/>
                <w:kern w:val="0"/>
                <w:sz w:val="24"/>
                <w:szCs w:val="24"/>
                <w:lang w:val="en-US"/>
              </w:rPr>
              <w:t>表3-</w:t>
            </w:r>
            <w:r>
              <w:rPr>
                <w:rFonts w:hint="eastAsia" w:eastAsia="宋体"/>
                <w:bCs w:val="0"/>
                <w:color w:val="auto"/>
                <w:kern w:val="0"/>
                <w:sz w:val="24"/>
                <w:szCs w:val="24"/>
                <w:lang w:val="en-US" w:eastAsia="zh-CN"/>
              </w:rPr>
              <w:t>8</w:t>
            </w:r>
            <w:r>
              <w:rPr>
                <w:rFonts w:eastAsia="宋体"/>
                <w:bCs w:val="0"/>
                <w:color w:val="auto"/>
                <w:kern w:val="0"/>
                <w:sz w:val="24"/>
                <w:szCs w:val="24"/>
                <w:lang w:val="en-US"/>
              </w:rPr>
              <w:t xml:space="preserve">  厂界噪声排放限值</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6"/>
              <w:gridCol w:w="2776"/>
              <w:gridCol w:w="2507"/>
            </w:tblGrid>
            <w:tr w14:paraId="25E8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2" w:type="pct"/>
                  <w:vAlign w:val="center"/>
                </w:tcPr>
                <w:p w14:paraId="6B6499E6">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标准</w:t>
                  </w:r>
                </w:p>
              </w:tc>
              <w:tc>
                <w:tcPr>
                  <w:tcW w:w="1627" w:type="pct"/>
                  <w:vAlign w:val="center"/>
                </w:tcPr>
                <w:p w14:paraId="521A819F">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昼间</w:t>
                  </w:r>
                </w:p>
              </w:tc>
              <w:tc>
                <w:tcPr>
                  <w:tcW w:w="1470" w:type="pct"/>
                  <w:vAlign w:val="center"/>
                </w:tcPr>
                <w:p w14:paraId="08858E3A">
                  <w:pPr>
                    <w:pageBreakBefore w:val="0"/>
                    <w:kinsoku/>
                    <w:wordWrap/>
                    <w:overflowPunct/>
                    <w:topLinePunct w:val="0"/>
                    <w:autoSpaceDE/>
                    <w:autoSpaceDN/>
                    <w:bidi w:val="0"/>
                    <w:adjustRightInd/>
                    <w:snapToGrid/>
                    <w:ind w:left="0" w:right="0"/>
                    <w:jc w:val="center"/>
                    <w:rPr>
                      <w:b/>
                      <w:bCs/>
                      <w:color w:val="auto"/>
                      <w:sz w:val="21"/>
                      <w:szCs w:val="21"/>
                    </w:rPr>
                  </w:pPr>
                  <w:r>
                    <w:rPr>
                      <w:b/>
                      <w:bCs/>
                      <w:color w:val="auto"/>
                      <w:sz w:val="21"/>
                      <w:szCs w:val="21"/>
                    </w:rPr>
                    <w:t>夜间</w:t>
                  </w:r>
                </w:p>
              </w:tc>
            </w:tr>
            <w:tr w14:paraId="7FE2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2" w:type="pct"/>
                  <w:vAlign w:val="center"/>
                </w:tcPr>
                <w:p w14:paraId="180E2BCA">
                  <w:pPr>
                    <w:pageBreakBefore w:val="0"/>
                    <w:kinsoku/>
                    <w:wordWrap/>
                    <w:overflowPunct/>
                    <w:topLinePunct w:val="0"/>
                    <w:autoSpaceDE/>
                    <w:autoSpaceDN/>
                    <w:bidi w:val="0"/>
                    <w:adjustRightInd/>
                    <w:snapToGrid/>
                    <w:ind w:left="0" w:right="0"/>
                    <w:jc w:val="center"/>
                    <w:rPr>
                      <w:color w:val="auto"/>
                      <w:sz w:val="21"/>
                      <w:szCs w:val="21"/>
                    </w:rPr>
                  </w:pPr>
                  <w:r>
                    <w:rPr>
                      <w:color w:val="auto"/>
                      <w:sz w:val="21"/>
                      <w:szCs w:val="21"/>
                    </w:rPr>
                    <w:t>GB12348-2008中</w:t>
                  </w:r>
                  <w:r>
                    <w:rPr>
                      <w:rFonts w:hint="eastAsia"/>
                      <w:color w:val="auto"/>
                      <w:sz w:val="21"/>
                      <w:szCs w:val="21"/>
                      <w:lang w:val="en-US" w:eastAsia="zh-CN"/>
                    </w:rPr>
                    <w:t>2</w:t>
                  </w:r>
                  <w:r>
                    <w:rPr>
                      <w:color w:val="auto"/>
                      <w:sz w:val="21"/>
                      <w:szCs w:val="21"/>
                    </w:rPr>
                    <w:t>类标准</w:t>
                  </w:r>
                </w:p>
              </w:tc>
              <w:tc>
                <w:tcPr>
                  <w:tcW w:w="1627" w:type="pct"/>
                  <w:vAlign w:val="center"/>
                </w:tcPr>
                <w:p w14:paraId="12896AFC">
                  <w:pPr>
                    <w:pStyle w:val="68"/>
                    <w:pageBreakBefore w:val="0"/>
                    <w:kinsoku/>
                    <w:wordWrap/>
                    <w:overflowPunct/>
                    <w:topLinePunct w:val="0"/>
                    <w:autoSpaceDE/>
                    <w:autoSpaceDN/>
                    <w:bidi w:val="0"/>
                    <w:adjustRightInd/>
                    <w:snapToGrid/>
                    <w:spacing w:line="240" w:lineRule="auto"/>
                    <w:ind w:left="0" w:right="0"/>
                    <w:rPr>
                      <w:color w:val="auto"/>
                      <w:sz w:val="21"/>
                      <w:szCs w:val="21"/>
                    </w:rPr>
                  </w:pPr>
                  <w:r>
                    <w:rPr>
                      <w:color w:val="auto"/>
                      <w:sz w:val="21"/>
                      <w:szCs w:val="21"/>
                    </w:rPr>
                    <w:t>6</w:t>
                  </w:r>
                  <w:r>
                    <w:rPr>
                      <w:rFonts w:hint="eastAsia"/>
                      <w:color w:val="auto"/>
                      <w:sz w:val="21"/>
                      <w:szCs w:val="21"/>
                      <w:lang w:val="en-US" w:eastAsia="zh-CN"/>
                    </w:rPr>
                    <w:t>0</w:t>
                  </w:r>
                  <w:r>
                    <w:rPr>
                      <w:bCs/>
                      <w:color w:val="auto"/>
                      <w:sz w:val="21"/>
                      <w:szCs w:val="21"/>
                    </w:rPr>
                    <w:t>dB(A)</w:t>
                  </w:r>
                </w:p>
              </w:tc>
              <w:tc>
                <w:tcPr>
                  <w:tcW w:w="1470" w:type="pct"/>
                  <w:vAlign w:val="center"/>
                </w:tcPr>
                <w:p w14:paraId="3CAF28F1">
                  <w:pPr>
                    <w:pStyle w:val="68"/>
                    <w:pageBreakBefore w:val="0"/>
                    <w:kinsoku/>
                    <w:wordWrap/>
                    <w:overflowPunct/>
                    <w:topLinePunct w:val="0"/>
                    <w:autoSpaceDE/>
                    <w:autoSpaceDN/>
                    <w:bidi w:val="0"/>
                    <w:adjustRightInd/>
                    <w:snapToGrid/>
                    <w:spacing w:line="240" w:lineRule="auto"/>
                    <w:ind w:left="0" w:right="0"/>
                    <w:rPr>
                      <w:color w:val="auto"/>
                      <w:sz w:val="21"/>
                      <w:szCs w:val="21"/>
                    </w:rPr>
                  </w:pPr>
                  <w:r>
                    <w:rPr>
                      <w:color w:val="auto"/>
                      <w:sz w:val="21"/>
                      <w:szCs w:val="21"/>
                    </w:rPr>
                    <w:t>5</w:t>
                  </w:r>
                  <w:r>
                    <w:rPr>
                      <w:rFonts w:hint="eastAsia"/>
                      <w:color w:val="auto"/>
                      <w:sz w:val="21"/>
                      <w:szCs w:val="21"/>
                      <w:lang w:val="en-US" w:eastAsia="zh-CN"/>
                    </w:rPr>
                    <w:t>0</w:t>
                  </w:r>
                  <w:r>
                    <w:rPr>
                      <w:color w:val="auto"/>
                      <w:sz w:val="21"/>
                      <w:szCs w:val="21"/>
                    </w:rPr>
                    <w:t>dB(A)</w:t>
                  </w:r>
                </w:p>
              </w:tc>
            </w:tr>
          </w:tbl>
          <w:p w14:paraId="5859CF56">
            <w:pPr>
              <w:pageBreakBefore w:val="0"/>
              <w:kinsoku/>
              <w:wordWrap/>
              <w:overflowPunct/>
              <w:topLinePunct w:val="0"/>
              <w:autoSpaceDE/>
              <w:autoSpaceDN/>
              <w:bidi w:val="0"/>
              <w:adjustRightInd/>
              <w:snapToGrid/>
              <w:spacing w:line="360" w:lineRule="auto"/>
              <w:ind w:left="0" w:right="0" w:firstLine="480" w:firstLineChars="200"/>
              <w:rPr>
                <w:rFonts w:eastAsia="Times New Roman"/>
                <w:b/>
                <w:color w:val="auto"/>
                <w:sz w:val="24"/>
              </w:rPr>
            </w:pPr>
            <w:r>
              <w:rPr>
                <w:rFonts w:eastAsia="Times New Roman"/>
                <w:b/>
                <w:color w:val="auto"/>
                <w:sz w:val="24"/>
              </w:rPr>
              <w:t>4、固体废物排放标准</w:t>
            </w:r>
          </w:p>
          <w:p w14:paraId="5A4A9ECF">
            <w:pPr>
              <w:pStyle w:val="13"/>
              <w:pageBreakBefore w:val="0"/>
              <w:kinsoku/>
              <w:wordWrap/>
              <w:overflowPunct/>
              <w:topLinePunct w:val="0"/>
              <w:autoSpaceDE/>
              <w:autoSpaceDN/>
              <w:bidi w:val="0"/>
              <w:adjustRightInd/>
              <w:snapToGrid/>
              <w:spacing w:before="0" w:after="0" w:line="360" w:lineRule="auto"/>
              <w:ind w:left="0" w:right="0" w:firstLine="464" w:firstLineChars="200"/>
              <w:rPr>
                <w:color w:val="auto"/>
                <w:szCs w:val="21"/>
              </w:rPr>
            </w:pPr>
            <w:r>
              <w:rPr>
                <w:color w:val="auto"/>
                <w:spacing w:val="-4"/>
                <w:sz w:val="24"/>
                <w:szCs w:val="24"/>
              </w:rPr>
              <w:t>项目生产过程中一般固废的暂存执行《中华人民共和国固体废物污染环境防治法》（2020年4月29日修订）并参照《一般工业固体废物贮存和填埋污染控制标准》（GB18599-2020）中有关要求。危险废物按《危险废物贮存污染控制标准》（GB 18597-2023）中的相关规定执行。</w:t>
            </w:r>
          </w:p>
        </w:tc>
      </w:tr>
      <w:tr w14:paraId="3DB3A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Align w:val="center"/>
          </w:tcPr>
          <w:p w14:paraId="111133B1">
            <w:pPr>
              <w:pageBreakBefore w:val="0"/>
              <w:kinsoku/>
              <w:wordWrap/>
              <w:overflowPunct/>
              <w:topLinePunct w:val="0"/>
              <w:autoSpaceDE/>
              <w:autoSpaceDN/>
              <w:bidi w:val="0"/>
              <w:adjustRightInd/>
              <w:snapToGrid/>
              <w:spacing w:line="360" w:lineRule="auto"/>
              <w:ind w:left="0" w:right="0"/>
              <w:jc w:val="center"/>
              <w:rPr>
                <w:b/>
                <w:bCs/>
                <w:color w:val="auto"/>
                <w:kern w:val="0"/>
                <w:sz w:val="24"/>
              </w:rPr>
            </w:pPr>
            <w:r>
              <w:rPr>
                <w:b/>
                <w:bCs/>
                <w:color w:val="auto"/>
                <w:kern w:val="0"/>
                <w:sz w:val="24"/>
              </w:rPr>
              <w:t>总量</w:t>
            </w:r>
          </w:p>
          <w:p w14:paraId="141F5345">
            <w:pPr>
              <w:pageBreakBefore w:val="0"/>
              <w:kinsoku/>
              <w:wordWrap/>
              <w:overflowPunct/>
              <w:topLinePunct w:val="0"/>
              <w:autoSpaceDE/>
              <w:autoSpaceDN/>
              <w:bidi w:val="0"/>
              <w:adjustRightInd/>
              <w:snapToGrid/>
              <w:spacing w:line="360" w:lineRule="auto"/>
              <w:ind w:left="0" w:right="0"/>
              <w:jc w:val="center"/>
              <w:rPr>
                <w:b/>
                <w:bCs/>
                <w:color w:val="auto"/>
                <w:kern w:val="0"/>
                <w:sz w:val="24"/>
              </w:rPr>
            </w:pPr>
            <w:r>
              <w:rPr>
                <w:b/>
                <w:bCs/>
                <w:color w:val="auto"/>
                <w:kern w:val="0"/>
                <w:sz w:val="24"/>
              </w:rPr>
              <w:t>控制</w:t>
            </w:r>
          </w:p>
          <w:p w14:paraId="205B463F">
            <w:pPr>
              <w:pageBreakBefore w:val="0"/>
              <w:kinsoku/>
              <w:wordWrap/>
              <w:overflowPunct/>
              <w:topLinePunct w:val="0"/>
              <w:autoSpaceDE/>
              <w:autoSpaceDN/>
              <w:bidi w:val="0"/>
              <w:adjustRightInd/>
              <w:snapToGrid/>
              <w:spacing w:line="360" w:lineRule="auto"/>
              <w:ind w:left="0" w:right="0"/>
              <w:jc w:val="center"/>
              <w:rPr>
                <w:color w:val="auto"/>
                <w:kern w:val="0"/>
                <w:szCs w:val="21"/>
              </w:rPr>
            </w:pPr>
            <w:r>
              <w:rPr>
                <w:b/>
                <w:bCs/>
                <w:color w:val="auto"/>
                <w:kern w:val="0"/>
                <w:sz w:val="24"/>
              </w:rPr>
              <w:t>指标</w:t>
            </w:r>
          </w:p>
        </w:tc>
        <w:tc>
          <w:tcPr>
            <w:tcW w:w="4715" w:type="pct"/>
            <w:vAlign w:val="center"/>
          </w:tcPr>
          <w:p w14:paraId="7F9E6546">
            <w:pPr>
              <w:pageBreakBefore w:val="0"/>
              <w:kinsoku/>
              <w:wordWrap/>
              <w:overflowPunct/>
              <w:autoSpaceDE/>
              <w:autoSpaceDN/>
              <w:bidi w:val="0"/>
              <w:adjustRightInd/>
              <w:snapToGrid/>
              <w:ind w:left="0"/>
              <w:rPr>
                <w:color w:val="auto"/>
              </w:rPr>
            </w:pPr>
          </w:p>
          <w:p w14:paraId="5192729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color w:val="auto"/>
              </w:rPr>
            </w:pPr>
            <w:r>
              <w:rPr>
                <w:rFonts w:hint="eastAsia" w:ascii="Times New Roman" w:hAnsi="Times New Roman" w:cs="Times New Roman"/>
                <w:color w:val="auto"/>
                <w:kern w:val="2"/>
                <w:sz w:val="24"/>
                <w:szCs w:val="24"/>
              </w:rPr>
              <w:t>根据国家对污染物排放总量控制指标和《安徽省环保厅关于进一步加强建设项目新增大气主要污染物总量指标管理工作的通知》（皖环发【2017】19 号）的要求，规定总量控制因子为COD、氨氮、二氧化硫、氮氧化物、烟（粉）尘和挥发性有机物（VOCs）。</w:t>
            </w:r>
          </w:p>
          <w:p w14:paraId="2A53E983">
            <w:pPr>
              <w:pageBreakBefore w:val="0"/>
              <w:widowControl/>
              <w:kinsoku/>
              <w:wordWrap/>
              <w:overflowPunct/>
              <w:topLinePunct w:val="0"/>
              <w:autoSpaceDE/>
              <w:autoSpaceDN/>
              <w:bidi w:val="0"/>
              <w:adjustRightInd/>
              <w:snapToGrid/>
              <w:spacing w:line="360" w:lineRule="auto"/>
              <w:ind w:left="0" w:right="0" w:firstLine="480" w:firstLineChars="200"/>
              <w:contextualSpacing/>
              <w:rPr>
                <w:bCs/>
                <w:color w:val="auto"/>
                <w:kern w:val="0"/>
                <w:sz w:val="24"/>
              </w:rPr>
            </w:pPr>
            <w:r>
              <w:rPr>
                <w:color w:val="auto"/>
                <w:kern w:val="0"/>
                <w:sz w:val="24"/>
              </w:rPr>
              <w:t>①水污染物排放总量控制指标</w:t>
            </w:r>
          </w:p>
          <w:p w14:paraId="26C04C0C">
            <w:pPr>
              <w:pageBreakBefore w:val="0"/>
              <w:widowControl/>
              <w:kinsoku/>
              <w:wordWrap/>
              <w:overflowPunct/>
              <w:topLinePunct w:val="0"/>
              <w:autoSpaceDE/>
              <w:autoSpaceDN/>
              <w:bidi w:val="0"/>
              <w:adjustRightInd/>
              <w:snapToGrid/>
              <w:spacing w:line="360" w:lineRule="auto"/>
              <w:ind w:left="0" w:right="0" w:firstLine="480" w:firstLineChars="200"/>
              <w:rPr>
                <w:bCs/>
                <w:color w:val="auto"/>
                <w:kern w:val="0"/>
                <w:sz w:val="24"/>
              </w:rPr>
            </w:pPr>
            <w:r>
              <w:rPr>
                <w:color w:val="auto"/>
                <w:kern w:val="0"/>
                <w:sz w:val="24"/>
              </w:rPr>
              <w:t>本项目</w:t>
            </w:r>
            <w:r>
              <w:rPr>
                <w:rFonts w:hint="eastAsia"/>
                <w:color w:val="auto"/>
                <w:kern w:val="0"/>
                <w:sz w:val="24"/>
                <w:lang w:val="en-US" w:eastAsia="zh-CN"/>
              </w:rPr>
              <w:t>废水不外排</w:t>
            </w:r>
            <w:r>
              <w:rPr>
                <w:color w:val="auto"/>
                <w:kern w:val="0"/>
                <w:sz w:val="24"/>
              </w:rPr>
              <w:t>；</w:t>
            </w:r>
          </w:p>
          <w:p w14:paraId="0BEC1C5B">
            <w:pPr>
              <w:pageBreakBefore w:val="0"/>
              <w:widowControl/>
              <w:kinsoku/>
              <w:wordWrap/>
              <w:overflowPunct/>
              <w:topLinePunct w:val="0"/>
              <w:autoSpaceDE/>
              <w:autoSpaceDN/>
              <w:bidi w:val="0"/>
              <w:adjustRightInd/>
              <w:snapToGrid/>
              <w:spacing w:line="360" w:lineRule="auto"/>
              <w:ind w:left="0" w:right="0" w:firstLine="480" w:firstLineChars="200"/>
              <w:contextualSpacing/>
              <w:rPr>
                <w:bCs/>
                <w:color w:val="auto"/>
                <w:kern w:val="0"/>
                <w:sz w:val="24"/>
              </w:rPr>
            </w:pPr>
            <w:r>
              <w:rPr>
                <w:color w:val="auto"/>
                <w:kern w:val="0"/>
                <w:sz w:val="24"/>
              </w:rPr>
              <w:t>②大气污染物排放总量控制指标</w:t>
            </w:r>
          </w:p>
          <w:p w14:paraId="448C4301">
            <w:pPr>
              <w:pageBreakBefore w:val="0"/>
              <w:kinsoku/>
              <w:wordWrap/>
              <w:overflowPunct/>
              <w:topLinePunct w:val="0"/>
              <w:autoSpaceDE/>
              <w:autoSpaceDN/>
              <w:bidi w:val="0"/>
              <w:adjustRightInd/>
              <w:snapToGrid/>
              <w:spacing w:line="360" w:lineRule="auto"/>
              <w:ind w:left="0" w:right="0" w:firstLine="480" w:firstLineChars="200"/>
              <w:rPr>
                <w:color w:val="auto"/>
                <w:kern w:val="0"/>
                <w:sz w:val="24"/>
              </w:rPr>
            </w:pPr>
            <w:r>
              <w:rPr>
                <w:color w:val="auto"/>
                <w:kern w:val="0"/>
                <w:sz w:val="24"/>
              </w:rPr>
              <w:t>生产工序产生的大气污染物主要为</w:t>
            </w:r>
            <w:r>
              <w:rPr>
                <w:rFonts w:hint="eastAsia"/>
                <w:color w:val="auto"/>
                <w:kern w:val="0"/>
                <w:sz w:val="24"/>
              </w:rPr>
              <w:t>颗粒物、</w:t>
            </w:r>
            <w:r>
              <w:rPr>
                <w:rFonts w:hint="eastAsia"/>
                <w:color w:val="auto"/>
                <w:kern w:val="0"/>
                <w:sz w:val="24"/>
                <w:lang w:val="en-US" w:eastAsia="zh-CN"/>
              </w:rPr>
              <w:t>SO</w:t>
            </w:r>
            <w:r>
              <w:rPr>
                <w:rFonts w:hint="eastAsia"/>
                <w:color w:val="auto"/>
                <w:kern w:val="0"/>
                <w:sz w:val="24"/>
                <w:vertAlign w:val="subscript"/>
                <w:lang w:val="en-US" w:eastAsia="zh-CN"/>
              </w:rPr>
              <w:t>2</w:t>
            </w:r>
            <w:r>
              <w:rPr>
                <w:rFonts w:hint="eastAsia"/>
                <w:color w:val="auto"/>
                <w:kern w:val="0"/>
                <w:sz w:val="24"/>
                <w:lang w:val="en-US" w:eastAsia="zh-CN"/>
              </w:rPr>
              <w:t>、NOx</w:t>
            </w:r>
            <w:r>
              <w:rPr>
                <w:color w:val="auto"/>
                <w:kern w:val="0"/>
                <w:sz w:val="24"/>
              </w:rPr>
              <w:t>，其大气污染物排放总量控制指标为：烟（粉）尘</w:t>
            </w:r>
            <w:r>
              <w:rPr>
                <w:rFonts w:hint="eastAsia"/>
                <w:color w:val="auto"/>
                <w:kern w:val="0"/>
                <w:sz w:val="24"/>
                <w:lang w:val="en-US" w:eastAsia="zh-CN"/>
              </w:rPr>
              <w:t>0.021</w:t>
            </w:r>
            <w:r>
              <w:rPr>
                <w:color w:val="auto"/>
                <w:kern w:val="0"/>
                <w:sz w:val="24"/>
              </w:rPr>
              <w:t>t/a、</w:t>
            </w:r>
            <w:r>
              <w:rPr>
                <w:rFonts w:hint="eastAsia"/>
                <w:color w:val="auto"/>
                <w:kern w:val="0"/>
                <w:sz w:val="24"/>
                <w:lang w:val="en-US" w:eastAsia="zh-CN"/>
              </w:rPr>
              <w:t>SO</w:t>
            </w:r>
            <w:r>
              <w:rPr>
                <w:rFonts w:hint="eastAsia"/>
                <w:color w:val="auto"/>
                <w:kern w:val="0"/>
                <w:sz w:val="24"/>
                <w:vertAlign w:val="subscript"/>
                <w:lang w:val="en-US" w:eastAsia="zh-CN"/>
              </w:rPr>
              <w:t>2</w:t>
            </w:r>
            <w:r>
              <w:rPr>
                <w:rFonts w:hint="eastAsia"/>
                <w:color w:val="auto"/>
                <w:kern w:val="0"/>
                <w:sz w:val="24"/>
              </w:rPr>
              <w:t xml:space="preserve"> </w:t>
            </w:r>
            <w:r>
              <w:rPr>
                <w:rFonts w:hint="eastAsia"/>
                <w:color w:val="auto"/>
                <w:kern w:val="0"/>
                <w:sz w:val="24"/>
                <w:lang w:val="en-US" w:eastAsia="zh-CN"/>
              </w:rPr>
              <w:t>0.22</w:t>
            </w:r>
            <w:r>
              <w:rPr>
                <w:color w:val="auto"/>
                <w:kern w:val="0"/>
                <w:sz w:val="24"/>
              </w:rPr>
              <w:t>t/a</w:t>
            </w:r>
            <w:r>
              <w:rPr>
                <w:rFonts w:hint="eastAsia"/>
                <w:color w:val="auto"/>
                <w:kern w:val="0"/>
                <w:sz w:val="24"/>
                <w:lang w:val="en-US" w:eastAsia="zh-CN"/>
              </w:rPr>
              <w:t>、NOx 0.31</w:t>
            </w:r>
            <w:r>
              <w:rPr>
                <w:color w:val="auto"/>
                <w:kern w:val="0"/>
                <w:sz w:val="24"/>
              </w:rPr>
              <w:t>t/a。</w:t>
            </w:r>
          </w:p>
          <w:p w14:paraId="1C5A072B">
            <w:pPr>
              <w:pageBreakBefore w:val="0"/>
              <w:kinsoku/>
              <w:wordWrap/>
              <w:overflowPunct/>
              <w:autoSpaceDE/>
              <w:autoSpaceDN/>
              <w:bidi w:val="0"/>
              <w:adjustRightInd/>
              <w:snapToGrid/>
              <w:ind w:left="0"/>
              <w:rPr>
                <w:color w:val="auto"/>
                <w:kern w:val="0"/>
                <w:sz w:val="24"/>
              </w:rPr>
            </w:pPr>
          </w:p>
          <w:p w14:paraId="53F700FE">
            <w:pPr>
              <w:pageBreakBefore w:val="0"/>
              <w:kinsoku/>
              <w:wordWrap/>
              <w:overflowPunct/>
              <w:topLinePunct w:val="0"/>
              <w:autoSpaceDE/>
              <w:autoSpaceDN/>
              <w:bidi w:val="0"/>
              <w:adjustRightInd/>
              <w:snapToGrid/>
              <w:spacing w:line="360" w:lineRule="auto"/>
              <w:ind w:right="0"/>
              <w:rPr>
                <w:color w:val="auto"/>
                <w:kern w:val="0"/>
                <w:sz w:val="24"/>
              </w:rPr>
            </w:pPr>
          </w:p>
        </w:tc>
      </w:tr>
    </w:tbl>
    <w:p w14:paraId="53FCCAF5">
      <w:pPr>
        <w:pStyle w:val="28"/>
        <w:jc w:val="center"/>
        <w:outlineLvl w:val="0"/>
        <w:rPr>
          <w:rFonts w:ascii="Times New Roman" w:hAnsi="Times New Roman" w:eastAsia="黑体"/>
          <w:snapToGrid w:val="0"/>
          <w:color w:val="auto"/>
          <w:sz w:val="36"/>
          <w:szCs w:val="36"/>
        </w:rPr>
        <w:sectPr>
          <w:pgSz w:w="11905" w:h="16838"/>
          <w:pgMar w:top="1417" w:right="1417" w:bottom="1417" w:left="1417" w:header="851" w:footer="1077" w:gutter="0"/>
          <w:cols w:space="0" w:num="1"/>
          <w:rtlGutter w:val="0"/>
          <w:docGrid w:type="lines" w:linePitch="333" w:charSpace="0"/>
        </w:sectPr>
      </w:pPr>
      <w:r>
        <w:rPr>
          <w:rFonts w:ascii="Times New Roman" w:hAnsi="Times New Roman" w:eastAsia="黑体"/>
          <w:snapToGrid w:val="0"/>
          <w:color w:val="auto"/>
          <w:sz w:val="36"/>
          <w:szCs w:val="36"/>
        </w:rPr>
        <w:br w:type="page"/>
      </w:r>
    </w:p>
    <w:p w14:paraId="0C3C6A27">
      <w:pPr>
        <w:pStyle w:val="28"/>
        <w:numPr>
          <w:ilvl w:val="0"/>
          <w:numId w:val="4"/>
        </w:numPr>
        <w:spacing w:before="0" w:beforeAutospacing="0" w:after="0" w:afterAutospacing="0" w:line="360" w:lineRule="auto"/>
        <w:jc w:val="center"/>
        <w:outlineLvl w:val="0"/>
        <w:rPr>
          <w:rFonts w:ascii="Times New Roman" w:hAnsi="Times New Roman"/>
          <w:b/>
          <w:bCs/>
          <w:snapToGrid w:val="0"/>
          <w:color w:val="auto"/>
          <w:sz w:val="32"/>
          <w:szCs w:val="32"/>
        </w:rPr>
      </w:pPr>
      <w:r>
        <w:rPr>
          <w:rFonts w:ascii="Times New Roman" w:hAnsi="Times New Roman"/>
          <w:b/>
          <w:bCs/>
          <w:snapToGrid w:val="0"/>
          <w:color w:val="auto"/>
          <w:sz w:val="32"/>
          <w:szCs w:val="32"/>
        </w:rPr>
        <w:t>主要环境影响和保护措施</w:t>
      </w:r>
    </w:p>
    <w:tbl>
      <w:tblPr>
        <w:tblStyle w:val="31"/>
        <w:tblW w:w="9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460"/>
      </w:tblGrid>
      <w:tr w14:paraId="1572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746" w:type="dxa"/>
            <w:noWrap w:val="0"/>
            <w:tcMar>
              <w:left w:w="28" w:type="dxa"/>
              <w:right w:w="28" w:type="dxa"/>
            </w:tcMar>
            <w:vAlign w:val="center"/>
          </w:tcPr>
          <w:p w14:paraId="69FC4B9E">
            <w:pPr>
              <w:pStyle w:val="28"/>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left="0" w:leftChars="0" w:right="0"/>
              <w:jc w:val="center"/>
              <w:textAlignment w:val="auto"/>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
                <w:bCs/>
                <w:color w:val="auto"/>
                <w:kern w:val="2"/>
                <w:sz w:val="24"/>
                <w:szCs w:val="32"/>
                <w:lang w:val="en-US" w:eastAsia="zh-CN" w:bidi="ar-SA"/>
              </w:rPr>
              <w:t>施工期环境保护措施</w:t>
            </w:r>
          </w:p>
        </w:tc>
        <w:tc>
          <w:tcPr>
            <w:tcW w:w="8460" w:type="dxa"/>
            <w:noWrap w:val="0"/>
            <w:vAlign w:val="center"/>
          </w:tcPr>
          <w:p w14:paraId="26BE1F70">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20" w:firstLineChars="200"/>
              <w:textAlignment w:val="auto"/>
              <w:rPr>
                <w:rFonts w:hint="default" w:ascii="Times New Roman" w:hAnsi="Times New Roman" w:eastAsia="宋体" w:cs="Times New Roman"/>
                <w:color w:val="auto"/>
                <w:sz w:val="21"/>
                <w:szCs w:val="21"/>
              </w:rPr>
            </w:pPr>
          </w:p>
          <w:p w14:paraId="7A134906">
            <w:pPr>
              <w:pStyle w:val="28"/>
              <w:keepNext w:val="0"/>
              <w:keepLines w:val="0"/>
              <w:pageBreakBefore w:val="0"/>
              <w:kinsoku/>
              <w:wordWrap/>
              <w:overflowPunct/>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Times New Roman"/>
                <w:bCs/>
                <w:color w:val="auto"/>
                <w:szCs w:val="24"/>
              </w:rPr>
            </w:pPr>
            <w:r>
              <w:rPr>
                <w:rFonts w:hint="eastAsia" w:ascii="Times New Roman" w:hAnsi="Times New Roman" w:eastAsia="宋体" w:cs="Times New Roman"/>
                <w:bCs/>
                <w:color w:val="auto"/>
                <w:szCs w:val="24"/>
              </w:rPr>
              <w:t>本项目施工期主要是在现有的厂房内进行设备的进场、安装、调试等</w:t>
            </w:r>
            <w:r>
              <w:rPr>
                <w:rFonts w:ascii="Times New Roman" w:hAnsi="Times New Roman" w:eastAsia="宋体" w:cs="Times New Roman"/>
                <w:bCs/>
                <w:color w:val="auto"/>
                <w:szCs w:val="24"/>
              </w:rPr>
              <w:t>。</w:t>
            </w:r>
            <w:r>
              <w:rPr>
                <w:rFonts w:hint="eastAsia" w:ascii="Times New Roman" w:hAnsi="Times New Roman" w:eastAsia="宋体" w:cs="Times New Roman"/>
                <w:bCs/>
                <w:color w:val="auto"/>
                <w:szCs w:val="24"/>
              </w:rPr>
              <w:t>项目施工期主要为是在原有建筑基础上进行设备安装，无需土建施工。故施工扬尘污染小，主要在装修过程中会产生一定的噪声，对周围声环境质量造成一定的影响，但影响是暂时的，施工结束后影响将消失。</w:t>
            </w:r>
          </w:p>
          <w:p w14:paraId="1F41536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20" w:firstLineChars="200"/>
              <w:textAlignment w:val="auto"/>
              <w:rPr>
                <w:rFonts w:hint="default" w:ascii="Times New Roman" w:hAnsi="Times New Roman" w:eastAsia="宋体" w:cs="Times New Roman"/>
                <w:color w:val="auto"/>
                <w:sz w:val="21"/>
                <w:szCs w:val="21"/>
              </w:rPr>
            </w:pPr>
          </w:p>
          <w:p w14:paraId="4F1E650C">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20" w:firstLineChars="200"/>
              <w:textAlignment w:val="auto"/>
              <w:rPr>
                <w:rFonts w:hint="default" w:ascii="Times New Roman" w:hAnsi="Times New Roman" w:eastAsia="宋体" w:cs="Times New Roman"/>
                <w:color w:val="auto"/>
                <w:sz w:val="21"/>
                <w:szCs w:val="21"/>
              </w:rPr>
            </w:pPr>
          </w:p>
          <w:p w14:paraId="0BAAE3E9">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16DE0815">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102DC59E">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28D13C92">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0D98F1D7">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02A8383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212067C0">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68EA944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523F7BE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273B3BC1">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66C627CE">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36032428">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2FA42561">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7B942A06">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439FB1A5">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4030335D">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textAlignment w:val="auto"/>
              <w:rPr>
                <w:rFonts w:hint="default" w:ascii="Times New Roman" w:hAnsi="Times New Roman" w:eastAsia="宋体" w:cs="Times New Roman"/>
                <w:color w:val="auto"/>
                <w:sz w:val="21"/>
                <w:szCs w:val="21"/>
              </w:rPr>
            </w:pPr>
          </w:p>
          <w:p w14:paraId="3016A0D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Cs/>
                <w:color w:val="auto"/>
                <w:spacing w:val="-10"/>
                <w:sz w:val="21"/>
                <w:szCs w:val="21"/>
              </w:rPr>
            </w:pPr>
          </w:p>
          <w:p w14:paraId="0C918A60">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Cs/>
                <w:color w:val="auto"/>
                <w:spacing w:val="-10"/>
                <w:sz w:val="21"/>
                <w:szCs w:val="21"/>
              </w:rPr>
            </w:pPr>
          </w:p>
        </w:tc>
      </w:tr>
    </w:tbl>
    <w:p w14:paraId="47B69FFD">
      <w:pPr>
        <w:pStyle w:val="28"/>
        <w:numPr>
          <w:ilvl w:val="0"/>
          <w:numId w:val="0"/>
        </w:numPr>
        <w:spacing w:before="0" w:beforeAutospacing="0" w:after="0" w:afterAutospacing="0" w:line="360" w:lineRule="auto"/>
        <w:jc w:val="both"/>
        <w:outlineLvl w:val="0"/>
        <w:rPr>
          <w:rFonts w:ascii="Times New Roman" w:hAnsi="Times New Roman"/>
          <w:b/>
          <w:bCs/>
          <w:snapToGrid w:val="0"/>
          <w:color w:val="auto"/>
          <w:sz w:val="32"/>
          <w:szCs w:val="32"/>
        </w:rPr>
        <w:sectPr>
          <w:pgSz w:w="11905" w:h="16838"/>
          <w:pgMar w:top="1417" w:right="1417" w:bottom="1417" w:left="1417" w:header="851" w:footer="1077" w:gutter="0"/>
          <w:cols w:space="0" w:num="1"/>
          <w:rtlGutter w:val="0"/>
          <w:docGrid w:type="lines" w:linePitch="333"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412"/>
      </w:tblGrid>
      <w:tr w14:paraId="6326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noWrap w:val="0"/>
            <w:vAlign w:val="center"/>
          </w:tcPr>
          <w:p w14:paraId="41E33C88">
            <w:pPr>
              <w:keepNext w:val="0"/>
              <w:keepLines w:val="0"/>
              <w:pageBreakBefore w:val="0"/>
              <w:widowControl w:val="0"/>
              <w:kinsoku/>
              <w:wordWrap/>
              <w:overflowPunct/>
              <w:topLinePunct/>
              <w:autoSpaceDE/>
              <w:autoSpaceDN/>
              <w:bidi w:val="0"/>
              <w:adjustRightInd/>
              <w:snapToGrid/>
              <w:spacing w:beforeAutospacing="0" w:afterAutospacing="0"/>
              <w:ind w:left="0" w:leftChars="0" w:right="0" w:rightChars="0"/>
              <w:jc w:val="center"/>
              <w:textAlignment w:val="auto"/>
              <w:rPr>
                <w:rFonts w:ascii="Times New Roman" w:hAnsi="Times New Roman" w:eastAsia="黑体"/>
                <w:snapToGrid w:val="0"/>
                <w:color w:val="auto"/>
                <w:sz w:val="21"/>
                <w:szCs w:val="21"/>
                <w:lang w:val="en-US" w:eastAsia="zh-CN"/>
              </w:rPr>
            </w:pPr>
            <w:r>
              <w:rPr>
                <w:bCs/>
                <w:color w:val="auto"/>
                <w:szCs w:val="21"/>
              </w:rPr>
              <w:t>运营期环境影响和保护</w:t>
            </w:r>
            <w:r>
              <w:rPr>
                <w:rFonts w:ascii="Times New Roman" w:hAnsi="Times New Roman"/>
                <w:bCs/>
                <w:color w:val="auto"/>
                <w:sz w:val="21"/>
                <w:szCs w:val="21"/>
                <w:lang w:val="en-US" w:eastAsia="zh-CN"/>
              </w:rPr>
              <w:t>措施</w:t>
            </w:r>
          </w:p>
        </w:tc>
        <w:tc>
          <w:tcPr>
            <w:tcW w:w="12412" w:type="dxa"/>
            <w:noWrap w:val="0"/>
            <w:vAlign w:val="top"/>
          </w:tcPr>
          <w:p w14:paraId="0A95EFF8">
            <w:pPr>
              <w:pStyle w:val="110"/>
              <w:keepNext w:val="0"/>
              <w:keepLines w:val="0"/>
              <w:pageBreakBefore w:val="0"/>
              <w:widowControl w:val="0"/>
              <w:numPr>
                <w:ilvl w:val="0"/>
                <w:numId w:val="0"/>
              </w:numPr>
              <w:tabs>
                <w:tab w:val="left" w:pos="431"/>
              </w:tabs>
              <w:kinsoku/>
              <w:wordWrap/>
              <w:overflowPunct/>
              <w:topLinePunct/>
              <w:autoSpaceDE/>
              <w:autoSpaceDN/>
              <w:bidi w:val="0"/>
              <w:adjustRightInd/>
              <w:snapToGrid/>
              <w:spacing w:beforeAutospacing="0" w:afterAutospacing="0" w:line="360" w:lineRule="auto"/>
              <w:ind w:left="0" w:leftChars="0" w:right="0" w:rightChars="0"/>
              <w:textAlignment w:val="auto"/>
              <w:rPr>
                <w:b/>
                <w:color w:val="auto"/>
                <w:sz w:val="24"/>
                <w:szCs w:val="24"/>
              </w:rPr>
            </w:pPr>
            <w:r>
              <w:rPr>
                <w:rFonts w:hint="eastAsia"/>
                <w:b/>
                <w:color w:val="auto"/>
                <w:sz w:val="24"/>
                <w:szCs w:val="24"/>
                <w:lang w:eastAsia="zh-CN"/>
              </w:rPr>
              <w:t>一、</w:t>
            </w:r>
            <w:r>
              <w:rPr>
                <w:b/>
                <w:color w:val="auto"/>
                <w:sz w:val="24"/>
                <w:szCs w:val="24"/>
              </w:rPr>
              <w:t>废气</w:t>
            </w:r>
          </w:p>
          <w:p w14:paraId="73EC11E8">
            <w:pPr>
              <w:pStyle w:val="110"/>
              <w:keepNext w:val="0"/>
              <w:keepLines w:val="0"/>
              <w:pageBreakBefore w:val="0"/>
              <w:widowControl w:val="0"/>
              <w:numPr>
                <w:ilvl w:val="0"/>
                <w:numId w:val="0"/>
              </w:numPr>
              <w:tabs>
                <w:tab w:val="left" w:pos="431"/>
              </w:tabs>
              <w:kinsoku/>
              <w:wordWrap/>
              <w:overflowPunct/>
              <w:topLinePunct/>
              <w:autoSpaceDE/>
              <w:autoSpaceDN/>
              <w:bidi w:val="0"/>
              <w:adjustRightInd/>
              <w:snapToGrid/>
              <w:spacing w:beforeAutospacing="0" w:afterAutospacing="0" w:line="360" w:lineRule="auto"/>
              <w:ind w:left="0" w:leftChars="0" w:right="0" w:rightChars="0" w:firstLine="470" w:firstLineChars="200"/>
              <w:textAlignment w:val="auto"/>
              <w:rPr>
                <w:rFonts w:hint="eastAsia" w:eastAsia="宋体"/>
                <w:color w:val="auto"/>
                <w:sz w:val="24"/>
                <w:szCs w:val="24"/>
                <w:lang w:eastAsia="zh-CN"/>
              </w:rPr>
            </w:pPr>
            <w:r>
              <w:rPr>
                <w:rFonts w:hint="eastAsia"/>
                <w:b/>
                <w:bCs/>
                <w:color w:val="auto"/>
                <w:spacing w:val="-3"/>
                <w:position w:val="2"/>
                <w:sz w:val="24"/>
                <w:szCs w:val="24"/>
                <w:lang w:val="en-US" w:eastAsia="zh-CN"/>
              </w:rPr>
              <w:t>1</w:t>
            </w:r>
            <w:r>
              <w:rPr>
                <w:b/>
                <w:bCs/>
                <w:color w:val="auto"/>
                <w:spacing w:val="-3"/>
                <w:position w:val="2"/>
                <w:sz w:val="24"/>
                <w:szCs w:val="24"/>
              </w:rPr>
              <w:t>废气污染源情况</w:t>
            </w:r>
          </w:p>
          <w:p w14:paraId="44CCAB75">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rightChars="0" w:firstLine="480" w:firstLineChars="200"/>
              <w:textAlignment w:val="auto"/>
              <w:rPr>
                <w:color w:val="auto"/>
                <w:szCs w:val="21"/>
              </w:rPr>
            </w:pPr>
            <w:r>
              <w:rPr>
                <w:color w:val="auto"/>
                <w:szCs w:val="21"/>
              </w:rPr>
              <w:t>本项目</w:t>
            </w:r>
            <w:r>
              <w:rPr>
                <w:color w:val="auto"/>
                <w:sz w:val="24"/>
              </w:rPr>
              <w:t>废气主要为</w:t>
            </w:r>
            <w:r>
              <w:rPr>
                <w:rFonts w:hint="eastAsia"/>
                <w:color w:val="auto"/>
                <w:sz w:val="24"/>
                <w:lang w:val="en-US" w:eastAsia="zh-CN"/>
              </w:rPr>
              <w:t>竹制品机加工粉尘和锅炉燃烧废气</w:t>
            </w:r>
            <w:r>
              <w:rPr>
                <w:rFonts w:hint="default" w:ascii="Times New Roman" w:hAnsi="Times New Roman" w:eastAsia="宋体" w:cs="Times New Roman"/>
                <w:color w:val="auto"/>
                <w:sz w:val="21"/>
                <w:szCs w:val="21"/>
                <w:lang w:val="en-US" w:eastAsia="zh-CN"/>
              </w:rPr>
              <w:t>。</w:t>
            </w:r>
            <w:r>
              <w:rPr>
                <w:color w:val="auto"/>
                <w:szCs w:val="21"/>
              </w:rPr>
              <w:t>废气污染源源强核算结果汇总于下表所示。</w:t>
            </w:r>
          </w:p>
          <w:p w14:paraId="3B735B2B">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rightChars="0" w:firstLine="482" w:firstLineChars="200"/>
              <w:jc w:val="center"/>
              <w:textAlignment w:val="auto"/>
              <w:rPr>
                <w:b/>
                <w:color w:val="auto"/>
                <w:sz w:val="24"/>
                <w:szCs w:val="24"/>
              </w:rPr>
            </w:pPr>
            <w:r>
              <w:rPr>
                <w:b/>
                <w:color w:val="auto"/>
                <w:sz w:val="24"/>
                <w:szCs w:val="24"/>
              </w:rPr>
              <w:t>表4-1</w:t>
            </w:r>
            <w:r>
              <w:rPr>
                <w:rFonts w:hint="eastAsia"/>
                <w:b/>
                <w:color w:val="auto"/>
                <w:sz w:val="24"/>
                <w:szCs w:val="24"/>
                <w:lang w:val="en-US" w:eastAsia="zh-CN"/>
              </w:rPr>
              <w:t xml:space="preserve">  </w:t>
            </w:r>
            <w:r>
              <w:rPr>
                <w:b/>
                <w:color w:val="auto"/>
                <w:sz w:val="24"/>
                <w:szCs w:val="24"/>
              </w:rPr>
              <w:t>本项目废气污染源源强核算结果汇总表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644"/>
              <w:gridCol w:w="661"/>
              <w:gridCol w:w="761"/>
              <w:gridCol w:w="595"/>
              <w:gridCol w:w="595"/>
              <w:gridCol w:w="2111"/>
              <w:gridCol w:w="553"/>
              <w:gridCol w:w="644"/>
              <w:gridCol w:w="690"/>
              <w:gridCol w:w="697"/>
              <w:gridCol w:w="671"/>
              <w:gridCol w:w="763"/>
              <w:gridCol w:w="634"/>
              <w:gridCol w:w="851"/>
              <w:gridCol w:w="605"/>
            </w:tblGrid>
            <w:tr w14:paraId="4F58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91" w:type="pct"/>
                  <w:vMerge w:val="restart"/>
                  <w:noWrap w:val="0"/>
                  <w:vAlign w:val="center"/>
                </w:tcPr>
                <w:p w14:paraId="5E53DC06">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污染源</w:t>
                  </w:r>
                </w:p>
              </w:tc>
              <w:tc>
                <w:tcPr>
                  <w:tcW w:w="264" w:type="pct"/>
                  <w:vMerge w:val="restart"/>
                  <w:noWrap w:val="0"/>
                  <w:vAlign w:val="center"/>
                </w:tcPr>
                <w:p w14:paraId="6D3A5BAC">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污染物</w:t>
                  </w:r>
                </w:p>
              </w:tc>
              <w:tc>
                <w:tcPr>
                  <w:tcW w:w="827" w:type="pct"/>
                  <w:gridSpan w:val="3"/>
                  <w:vMerge w:val="restart"/>
                  <w:noWrap w:val="0"/>
                  <w:vAlign w:val="center"/>
                </w:tcPr>
                <w:p w14:paraId="3335770F">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污染物产生情况</w:t>
                  </w:r>
                </w:p>
              </w:tc>
              <w:tc>
                <w:tcPr>
                  <w:tcW w:w="1601" w:type="pct"/>
                  <w:gridSpan w:val="4"/>
                  <w:vMerge w:val="restart"/>
                  <w:noWrap w:val="0"/>
                  <w:vAlign w:val="center"/>
                </w:tcPr>
                <w:p w14:paraId="25CFD795">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治理设施</w:t>
                  </w:r>
                </w:p>
              </w:tc>
              <w:tc>
                <w:tcPr>
                  <w:tcW w:w="2015" w:type="pct"/>
                  <w:gridSpan w:val="7"/>
                  <w:noWrap w:val="0"/>
                  <w:vAlign w:val="center"/>
                </w:tcPr>
                <w:p w14:paraId="497EFADF">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污染物排放</w:t>
                  </w:r>
                </w:p>
              </w:tc>
            </w:tr>
            <w:tr w14:paraId="2A72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Merge w:val="continue"/>
                  <w:noWrap w:val="0"/>
                  <w:vAlign w:val="center"/>
                </w:tcPr>
                <w:p w14:paraId="1F409D17">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p>
              </w:tc>
              <w:tc>
                <w:tcPr>
                  <w:tcW w:w="264" w:type="pct"/>
                  <w:vMerge w:val="continue"/>
                  <w:noWrap w:val="0"/>
                  <w:vAlign w:val="center"/>
                </w:tcPr>
                <w:p w14:paraId="74D567FD">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p>
              </w:tc>
              <w:tc>
                <w:tcPr>
                  <w:tcW w:w="827" w:type="pct"/>
                  <w:gridSpan w:val="3"/>
                  <w:vMerge w:val="continue"/>
                  <w:noWrap w:val="0"/>
                  <w:vAlign w:val="center"/>
                </w:tcPr>
                <w:p w14:paraId="20F0A03E">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p>
              </w:tc>
              <w:tc>
                <w:tcPr>
                  <w:tcW w:w="1601" w:type="pct"/>
                  <w:gridSpan w:val="4"/>
                  <w:vMerge w:val="continue"/>
                  <w:noWrap w:val="0"/>
                  <w:vAlign w:val="center"/>
                </w:tcPr>
                <w:p w14:paraId="47302AA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p>
              </w:tc>
              <w:tc>
                <w:tcPr>
                  <w:tcW w:w="1157" w:type="pct"/>
                  <w:gridSpan w:val="4"/>
                  <w:noWrap w:val="0"/>
                  <w:vAlign w:val="center"/>
                </w:tcPr>
                <w:p w14:paraId="50C3952C">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有组织</w:t>
                  </w:r>
                </w:p>
              </w:tc>
              <w:tc>
                <w:tcPr>
                  <w:tcW w:w="609" w:type="pct"/>
                  <w:gridSpan w:val="2"/>
                  <w:noWrap w:val="0"/>
                  <w:vAlign w:val="center"/>
                </w:tcPr>
                <w:p w14:paraId="34C747C4">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无组织</w:t>
                  </w:r>
                </w:p>
              </w:tc>
              <w:tc>
                <w:tcPr>
                  <w:tcW w:w="248" w:type="pct"/>
                  <w:vMerge w:val="restart"/>
                  <w:noWrap w:val="0"/>
                  <w:vAlign w:val="center"/>
                </w:tcPr>
                <w:p w14:paraId="23BD905C">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排放时间h</w:t>
                  </w:r>
                </w:p>
              </w:tc>
            </w:tr>
            <w:tr w14:paraId="150F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Merge w:val="continue"/>
                  <w:noWrap w:val="0"/>
                  <w:vAlign w:val="center"/>
                </w:tcPr>
                <w:p w14:paraId="413562BA">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p>
              </w:tc>
              <w:tc>
                <w:tcPr>
                  <w:tcW w:w="264" w:type="pct"/>
                  <w:vMerge w:val="continue"/>
                  <w:noWrap w:val="0"/>
                  <w:vAlign w:val="center"/>
                </w:tcPr>
                <w:p w14:paraId="0E8DA0E4">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p>
              </w:tc>
              <w:tc>
                <w:tcPr>
                  <w:tcW w:w="271" w:type="pct"/>
                  <w:noWrap w:val="0"/>
                  <w:vAlign w:val="center"/>
                </w:tcPr>
                <w:p w14:paraId="2D5FD8B8">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废气产生量m</w:t>
                  </w:r>
                  <w:r>
                    <w:rPr>
                      <w:rFonts w:hint="eastAsia"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Times New Roman" w:cs="Times New Roman"/>
                      <w:b/>
                      <w:bCs/>
                      <w:color w:val="auto"/>
                      <w:sz w:val="21"/>
                      <w:szCs w:val="21"/>
                    </w:rPr>
                    <w:t>/h</w:t>
                  </w:r>
                </w:p>
              </w:tc>
              <w:tc>
                <w:tcPr>
                  <w:tcW w:w="312" w:type="pct"/>
                  <w:noWrap w:val="0"/>
                  <w:vAlign w:val="center"/>
                </w:tcPr>
                <w:p w14:paraId="2AD3DBB6">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Times New Roman" w:cs="Times New Roman"/>
                      <w:b/>
                      <w:bCs/>
                      <w:color w:val="auto"/>
                      <w:sz w:val="21"/>
                      <w:szCs w:val="21"/>
                    </w:rPr>
                    <w:t>产生浓度</w:t>
                  </w:r>
                </w:p>
                <w:p w14:paraId="02ED3A15">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mg/m</w:t>
                  </w:r>
                  <w:r>
                    <w:rPr>
                      <w:rFonts w:hint="default" w:ascii="Times New Roman" w:hAnsi="Times New Roman" w:eastAsia="Times New Roman" w:cs="Times New Roman"/>
                      <w:b/>
                      <w:bCs/>
                      <w:color w:val="auto"/>
                      <w:sz w:val="21"/>
                      <w:szCs w:val="21"/>
                      <w:vertAlign w:val="superscript"/>
                    </w:rPr>
                    <w:t>3</w:t>
                  </w:r>
                </w:p>
              </w:tc>
              <w:tc>
                <w:tcPr>
                  <w:tcW w:w="244" w:type="pct"/>
                  <w:noWrap w:val="0"/>
                  <w:vAlign w:val="center"/>
                </w:tcPr>
                <w:p w14:paraId="40EA23C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产生量</w:t>
                  </w:r>
                </w:p>
                <w:p w14:paraId="396A883E">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t/a</w:t>
                  </w:r>
                </w:p>
              </w:tc>
              <w:tc>
                <w:tcPr>
                  <w:tcW w:w="244" w:type="pct"/>
                  <w:noWrap w:val="0"/>
                  <w:vAlign w:val="center"/>
                </w:tcPr>
                <w:p w14:paraId="7615C69C">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收集</w:t>
                  </w:r>
                </w:p>
                <w:p w14:paraId="4F3C2A42">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效率%</w:t>
                  </w:r>
                </w:p>
              </w:tc>
              <w:tc>
                <w:tcPr>
                  <w:tcW w:w="866" w:type="pct"/>
                  <w:noWrap w:val="0"/>
                  <w:vAlign w:val="center"/>
                </w:tcPr>
                <w:p w14:paraId="70FF1631">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治理工艺</w:t>
                  </w:r>
                </w:p>
              </w:tc>
              <w:tc>
                <w:tcPr>
                  <w:tcW w:w="226" w:type="pct"/>
                  <w:noWrap w:val="0"/>
                  <w:vAlign w:val="center"/>
                </w:tcPr>
                <w:p w14:paraId="042BF7A3">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去除效率%</w:t>
                  </w:r>
                </w:p>
              </w:tc>
              <w:tc>
                <w:tcPr>
                  <w:tcW w:w="264" w:type="pct"/>
                  <w:noWrap w:val="0"/>
                  <w:vAlign w:val="center"/>
                </w:tcPr>
                <w:p w14:paraId="00EAB3C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是否为可行技术</w:t>
                  </w:r>
                </w:p>
              </w:tc>
              <w:tc>
                <w:tcPr>
                  <w:tcW w:w="283" w:type="pct"/>
                  <w:noWrap w:val="0"/>
                  <w:vAlign w:val="center"/>
                </w:tcPr>
                <w:p w14:paraId="5DB41F9D">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废气</w:t>
                  </w:r>
                </w:p>
                <w:p w14:paraId="05B32D0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排放量m</w:t>
                  </w:r>
                  <w:r>
                    <w:rPr>
                      <w:rFonts w:hint="default" w:ascii="Times New Roman" w:hAnsi="Times New Roman" w:eastAsia="Times New Roman" w:cs="Times New Roman"/>
                      <w:b/>
                      <w:bCs/>
                      <w:color w:val="auto"/>
                      <w:sz w:val="21"/>
                      <w:szCs w:val="21"/>
                      <w:vertAlign w:val="superscript"/>
                    </w:rPr>
                    <w:t>3</w:t>
                  </w:r>
                  <w:r>
                    <w:rPr>
                      <w:rFonts w:hint="default" w:ascii="Times New Roman" w:hAnsi="Times New Roman" w:eastAsia="Times New Roman" w:cs="Times New Roman"/>
                      <w:b/>
                      <w:bCs/>
                      <w:color w:val="auto"/>
                      <w:sz w:val="21"/>
                      <w:szCs w:val="21"/>
                    </w:rPr>
                    <w:t>/h</w:t>
                  </w:r>
                </w:p>
              </w:tc>
              <w:tc>
                <w:tcPr>
                  <w:tcW w:w="285" w:type="pct"/>
                  <w:noWrap w:val="0"/>
                  <w:vAlign w:val="center"/>
                </w:tcPr>
                <w:p w14:paraId="7BE3CEF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排放</w:t>
                  </w:r>
                </w:p>
                <w:p w14:paraId="2BFA21A6">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浓度</w:t>
                  </w:r>
                </w:p>
                <w:p w14:paraId="24F8EBE6">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mg/m</w:t>
                  </w:r>
                  <w:r>
                    <w:rPr>
                      <w:rFonts w:hint="default" w:ascii="Times New Roman" w:hAnsi="Times New Roman" w:eastAsia="Times New Roman" w:cs="Times New Roman"/>
                      <w:b/>
                      <w:bCs/>
                      <w:color w:val="auto"/>
                      <w:sz w:val="21"/>
                      <w:szCs w:val="21"/>
                      <w:vertAlign w:val="superscript"/>
                    </w:rPr>
                    <w:t>3</w:t>
                  </w:r>
                </w:p>
              </w:tc>
              <w:tc>
                <w:tcPr>
                  <w:tcW w:w="275" w:type="pct"/>
                  <w:noWrap w:val="0"/>
                  <w:vAlign w:val="center"/>
                </w:tcPr>
                <w:p w14:paraId="1F1E2212">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排放速率kg/h</w:t>
                  </w:r>
                </w:p>
              </w:tc>
              <w:tc>
                <w:tcPr>
                  <w:tcW w:w="313" w:type="pct"/>
                  <w:noWrap w:val="0"/>
                  <w:vAlign w:val="center"/>
                </w:tcPr>
                <w:p w14:paraId="096B9162">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排放量t/a</w:t>
                  </w:r>
                </w:p>
              </w:tc>
              <w:tc>
                <w:tcPr>
                  <w:tcW w:w="260" w:type="pct"/>
                  <w:noWrap w:val="0"/>
                  <w:vAlign w:val="center"/>
                </w:tcPr>
                <w:p w14:paraId="67DB50FF">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排放速率kg/h</w:t>
                  </w:r>
                </w:p>
              </w:tc>
              <w:tc>
                <w:tcPr>
                  <w:tcW w:w="349" w:type="pct"/>
                  <w:noWrap w:val="0"/>
                  <w:vAlign w:val="center"/>
                </w:tcPr>
                <w:p w14:paraId="5FB7AAD6">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排放量t/a</w:t>
                  </w:r>
                </w:p>
              </w:tc>
              <w:tc>
                <w:tcPr>
                  <w:tcW w:w="248" w:type="pct"/>
                  <w:vMerge w:val="continue"/>
                  <w:noWrap w:val="0"/>
                  <w:vAlign w:val="center"/>
                </w:tcPr>
                <w:p w14:paraId="2CFE27E3">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color w:val="auto"/>
                      <w:sz w:val="21"/>
                      <w:szCs w:val="21"/>
                    </w:rPr>
                  </w:pPr>
                </w:p>
              </w:tc>
            </w:tr>
            <w:tr w14:paraId="1BA3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noWrap w:val="0"/>
                  <w:vAlign w:val="center"/>
                </w:tcPr>
                <w:p w14:paraId="126657CD">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裁断、破条</w:t>
                  </w:r>
                </w:p>
              </w:tc>
              <w:tc>
                <w:tcPr>
                  <w:tcW w:w="264" w:type="pct"/>
                  <w:noWrap w:val="0"/>
                  <w:vAlign w:val="center"/>
                </w:tcPr>
                <w:p w14:paraId="69404DE3">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宋体" w:cs="Times New Roman"/>
                      <w:color w:val="auto"/>
                      <w:sz w:val="21"/>
                      <w:szCs w:val="21"/>
                      <w:lang w:eastAsia="zh-CN"/>
                    </w:rPr>
                    <w:t>颗粒物</w:t>
                  </w:r>
                </w:p>
              </w:tc>
              <w:tc>
                <w:tcPr>
                  <w:tcW w:w="271" w:type="pct"/>
                  <w:noWrap w:val="0"/>
                  <w:vAlign w:val="center"/>
                </w:tcPr>
                <w:p w14:paraId="268C0A87">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w:t>
                  </w:r>
                </w:p>
              </w:tc>
              <w:tc>
                <w:tcPr>
                  <w:tcW w:w="312" w:type="pct"/>
                  <w:noWrap w:val="0"/>
                  <w:vAlign w:val="center"/>
                </w:tcPr>
                <w:p w14:paraId="36FFB767">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w:t>
                  </w:r>
                </w:p>
              </w:tc>
              <w:tc>
                <w:tcPr>
                  <w:tcW w:w="244" w:type="pct"/>
                  <w:noWrap w:val="0"/>
                  <w:vAlign w:val="center"/>
                </w:tcPr>
                <w:p w14:paraId="59A29444">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0.734</w:t>
                  </w:r>
                </w:p>
              </w:tc>
              <w:tc>
                <w:tcPr>
                  <w:tcW w:w="244" w:type="pct"/>
                  <w:noWrap w:val="0"/>
                  <w:vAlign w:val="center"/>
                </w:tcPr>
                <w:p w14:paraId="2A62FEB9">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eastAsia="zh-CN"/>
                    </w:rPr>
                    <w:t>/</w:t>
                  </w:r>
                </w:p>
              </w:tc>
              <w:tc>
                <w:tcPr>
                  <w:tcW w:w="866" w:type="pct"/>
                  <w:noWrap w:val="0"/>
                  <w:vAlign w:val="center"/>
                </w:tcPr>
                <w:p w14:paraId="750066D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rPr>
                    <w:t>车间</w:t>
                  </w:r>
                  <w:r>
                    <w:rPr>
                      <w:rFonts w:hint="eastAsia"/>
                      <w:color w:val="auto"/>
                      <w:sz w:val="21"/>
                      <w:szCs w:val="21"/>
                      <w:lang w:val="en-US" w:eastAsia="zh-CN"/>
                    </w:rPr>
                    <w:t>封闭防护、自然沉降</w:t>
                  </w:r>
                </w:p>
              </w:tc>
              <w:tc>
                <w:tcPr>
                  <w:tcW w:w="226" w:type="pct"/>
                  <w:noWrap w:val="0"/>
                  <w:vAlign w:val="center"/>
                </w:tcPr>
                <w:p w14:paraId="086A5517">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64" w:type="pct"/>
                  <w:noWrap w:val="0"/>
                  <w:vAlign w:val="center"/>
                </w:tcPr>
                <w:p w14:paraId="13A9A0C7">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3" w:type="pct"/>
                  <w:noWrap w:val="0"/>
                  <w:vAlign w:val="center"/>
                </w:tcPr>
                <w:p w14:paraId="1DDDE249">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5" w:type="pct"/>
                  <w:noWrap w:val="0"/>
                  <w:vAlign w:val="center"/>
                </w:tcPr>
                <w:p w14:paraId="58B9151E">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75" w:type="pct"/>
                  <w:noWrap w:val="0"/>
                  <w:vAlign w:val="center"/>
                </w:tcPr>
                <w:p w14:paraId="4224133E">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13" w:type="pct"/>
                  <w:noWrap w:val="0"/>
                  <w:vAlign w:val="center"/>
                </w:tcPr>
                <w:p w14:paraId="0BC2953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60" w:type="pct"/>
                  <w:noWrap w:val="0"/>
                  <w:vAlign w:val="center"/>
                </w:tcPr>
                <w:p w14:paraId="709EA936">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49" w:type="pct"/>
                  <w:noWrap w:val="0"/>
                  <w:vAlign w:val="center"/>
                </w:tcPr>
                <w:p w14:paraId="50FB53E5">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0.734</w:t>
                  </w:r>
                </w:p>
              </w:tc>
              <w:tc>
                <w:tcPr>
                  <w:tcW w:w="248" w:type="pct"/>
                  <w:noWrap w:val="0"/>
                  <w:vAlign w:val="center"/>
                </w:tcPr>
                <w:p w14:paraId="4C57C212">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2400</w:t>
                  </w:r>
                </w:p>
              </w:tc>
            </w:tr>
            <w:tr w14:paraId="1870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91" w:type="pct"/>
                  <w:vMerge w:val="restart"/>
                  <w:noWrap w:val="0"/>
                  <w:vAlign w:val="center"/>
                </w:tcPr>
                <w:p w14:paraId="6E7C8733">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生物质锅炉燃烧废气</w:t>
                  </w:r>
                </w:p>
              </w:tc>
              <w:tc>
                <w:tcPr>
                  <w:tcW w:w="264" w:type="pct"/>
                  <w:noWrap w:val="0"/>
                  <w:vAlign w:val="center"/>
                </w:tcPr>
                <w:p w14:paraId="0CEA578A">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271" w:type="pct"/>
                  <w:vMerge w:val="restart"/>
                  <w:noWrap w:val="0"/>
                  <w:vAlign w:val="center"/>
                </w:tcPr>
                <w:p w14:paraId="1197C2A5">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5000</w:t>
                  </w:r>
                </w:p>
              </w:tc>
              <w:tc>
                <w:tcPr>
                  <w:tcW w:w="312" w:type="pct"/>
                  <w:noWrap w:val="0"/>
                  <w:vAlign w:val="center"/>
                </w:tcPr>
                <w:p w14:paraId="4AAD7BF1">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eastAsia="Times New Roman" w:cs="Times New Roman"/>
                      <w:color w:val="auto"/>
                      <w:kern w:val="2"/>
                      <w:sz w:val="21"/>
                      <w:szCs w:val="21"/>
                      <w:lang w:val="en-US" w:eastAsia="zh-CN" w:bidi="ar-SA"/>
                    </w:rPr>
                    <w:t>71</w:t>
                  </w:r>
                </w:p>
              </w:tc>
              <w:tc>
                <w:tcPr>
                  <w:tcW w:w="244" w:type="pct"/>
                  <w:noWrap w:val="0"/>
                  <w:vAlign w:val="center"/>
                </w:tcPr>
                <w:p w14:paraId="6BD04492">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1.065</w:t>
                  </w:r>
                </w:p>
              </w:tc>
              <w:tc>
                <w:tcPr>
                  <w:tcW w:w="244" w:type="pct"/>
                  <w:vMerge w:val="restart"/>
                  <w:noWrap w:val="0"/>
                  <w:vAlign w:val="center"/>
                </w:tcPr>
                <w:p w14:paraId="6C9ADE36">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100</w:t>
                  </w:r>
                </w:p>
              </w:tc>
              <w:tc>
                <w:tcPr>
                  <w:tcW w:w="866" w:type="pct"/>
                  <w:vMerge w:val="restart"/>
                  <w:noWrap w:val="0"/>
                  <w:vAlign w:val="center"/>
                </w:tcPr>
                <w:p w14:paraId="37010437">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Times New Roman" w:cs="Times New Roman"/>
                      <w:color w:val="auto"/>
                      <w:sz w:val="21"/>
                      <w:szCs w:val="21"/>
                      <w:lang w:val="en-US" w:eastAsia="zh-CN"/>
                    </w:rPr>
                    <w:t>低氮燃烧+</w:t>
                  </w:r>
                  <w:r>
                    <w:rPr>
                      <w:rFonts w:hint="eastAsia" w:ascii="Times New Roman" w:hAnsi="Times New Roman" w:eastAsia="Times New Roman" w:cs="Times New Roman"/>
                      <w:color w:val="auto"/>
                      <w:sz w:val="21"/>
                      <w:szCs w:val="21"/>
                      <w:lang w:val="en-US" w:eastAsia="zh-CN"/>
                    </w:rPr>
                    <w:t>SCR脱硝+多管旋风除尘+高效布袋除尘器+碱液喷淋塔脱硫+15m高排气筒（DA001）排放；</w:t>
                  </w:r>
                </w:p>
              </w:tc>
              <w:tc>
                <w:tcPr>
                  <w:tcW w:w="226" w:type="pct"/>
                  <w:noWrap w:val="0"/>
                  <w:vAlign w:val="center"/>
                </w:tcPr>
                <w:p w14:paraId="2C07739E">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99</w:t>
                  </w:r>
                </w:p>
              </w:tc>
              <w:tc>
                <w:tcPr>
                  <w:tcW w:w="264" w:type="pct"/>
                  <w:noWrap w:val="0"/>
                  <w:vAlign w:val="center"/>
                </w:tcPr>
                <w:p w14:paraId="701332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是</w:t>
                  </w:r>
                </w:p>
              </w:tc>
              <w:tc>
                <w:tcPr>
                  <w:tcW w:w="283" w:type="pct"/>
                  <w:vMerge w:val="restart"/>
                  <w:noWrap w:val="0"/>
                  <w:vAlign w:val="center"/>
                </w:tcPr>
                <w:p w14:paraId="22994CC6">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5000</w:t>
                  </w:r>
                </w:p>
              </w:tc>
              <w:tc>
                <w:tcPr>
                  <w:tcW w:w="285" w:type="pct"/>
                  <w:noWrap w:val="0"/>
                  <w:vAlign w:val="center"/>
                </w:tcPr>
                <w:p w14:paraId="172BB7EE">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0.71 </w:t>
                  </w:r>
                </w:p>
              </w:tc>
              <w:tc>
                <w:tcPr>
                  <w:tcW w:w="275" w:type="pct"/>
                  <w:noWrap w:val="0"/>
                  <w:vAlign w:val="center"/>
                </w:tcPr>
                <w:p w14:paraId="62AA5B15">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0.0035 </w:t>
                  </w:r>
                </w:p>
              </w:tc>
              <w:tc>
                <w:tcPr>
                  <w:tcW w:w="763" w:type="dxa"/>
                  <w:noWrap w:val="0"/>
                  <w:vAlign w:val="center"/>
                </w:tcPr>
                <w:p w14:paraId="64356D78">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r>
                    <w:rPr>
                      <w:rFonts w:hint="eastAsia" w:cs="Times New Roman"/>
                      <w:color w:val="auto"/>
                      <w:sz w:val="21"/>
                      <w:szCs w:val="21"/>
                      <w:lang w:val="en-US" w:eastAsia="zh-CN"/>
                    </w:rPr>
                    <w:t>1</w:t>
                  </w:r>
                </w:p>
              </w:tc>
              <w:tc>
                <w:tcPr>
                  <w:tcW w:w="260" w:type="pct"/>
                  <w:noWrap w:val="0"/>
                  <w:vAlign w:val="center"/>
                </w:tcPr>
                <w:p w14:paraId="5BE8EDD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w:t>
                  </w:r>
                </w:p>
              </w:tc>
              <w:tc>
                <w:tcPr>
                  <w:tcW w:w="349" w:type="pct"/>
                  <w:noWrap w:val="0"/>
                  <w:vAlign w:val="center"/>
                </w:tcPr>
                <w:p w14:paraId="1C4CCEAC">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w:t>
                  </w:r>
                </w:p>
              </w:tc>
              <w:tc>
                <w:tcPr>
                  <w:tcW w:w="248" w:type="pct"/>
                  <w:vMerge w:val="restart"/>
                  <w:noWrap w:val="0"/>
                  <w:vAlign w:val="center"/>
                </w:tcPr>
                <w:p w14:paraId="2FDFDE08">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3000</w:t>
                  </w:r>
                </w:p>
              </w:tc>
            </w:tr>
            <w:tr w14:paraId="00A6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Merge w:val="continue"/>
                  <w:noWrap w:val="0"/>
                  <w:vAlign w:val="center"/>
                </w:tcPr>
                <w:p w14:paraId="61EB5293">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p>
              </w:tc>
              <w:tc>
                <w:tcPr>
                  <w:tcW w:w="264" w:type="pct"/>
                  <w:noWrap w:val="0"/>
                  <w:vAlign w:val="center"/>
                </w:tcPr>
                <w:p w14:paraId="69597F28">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271" w:type="pct"/>
                  <w:vMerge w:val="continue"/>
                  <w:noWrap w:val="0"/>
                  <w:vAlign w:val="center"/>
                </w:tcPr>
                <w:p w14:paraId="5F9030C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p>
              </w:tc>
              <w:tc>
                <w:tcPr>
                  <w:tcW w:w="312" w:type="pct"/>
                  <w:noWrap w:val="0"/>
                  <w:vAlign w:val="center"/>
                </w:tcPr>
                <w:p w14:paraId="0370825D">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eastAsia="Times New Roman" w:cs="Times New Roman"/>
                      <w:color w:val="auto"/>
                      <w:kern w:val="2"/>
                      <w:sz w:val="21"/>
                      <w:szCs w:val="21"/>
                      <w:lang w:val="en-US" w:eastAsia="zh-CN" w:bidi="ar-SA"/>
                    </w:rPr>
                    <w:t>144.87</w:t>
                  </w:r>
                </w:p>
              </w:tc>
              <w:tc>
                <w:tcPr>
                  <w:tcW w:w="244" w:type="pct"/>
                  <w:noWrap w:val="0"/>
                  <w:vAlign w:val="center"/>
                </w:tcPr>
                <w:p w14:paraId="1D18425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2.173</w:t>
                  </w:r>
                </w:p>
              </w:tc>
              <w:tc>
                <w:tcPr>
                  <w:tcW w:w="244" w:type="pct"/>
                  <w:vMerge w:val="continue"/>
                  <w:noWrap w:val="0"/>
                  <w:vAlign w:val="center"/>
                </w:tcPr>
                <w:p w14:paraId="6E043CB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p>
              </w:tc>
              <w:tc>
                <w:tcPr>
                  <w:tcW w:w="866" w:type="pct"/>
                  <w:vMerge w:val="continue"/>
                  <w:noWrap w:val="0"/>
                  <w:vAlign w:val="center"/>
                </w:tcPr>
                <w:p w14:paraId="2D5F1D54">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p>
              </w:tc>
              <w:tc>
                <w:tcPr>
                  <w:tcW w:w="226" w:type="pct"/>
                  <w:noWrap w:val="0"/>
                  <w:vAlign w:val="center"/>
                </w:tcPr>
                <w:p w14:paraId="488CBF5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90</w:t>
                  </w:r>
                </w:p>
              </w:tc>
              <w:tc>
                <w:tcPr>
                  <w:tcW w:w="264" w:type="pct"/>
                  <w:noWrap w:val="0"/>
                  <w:vAlign w:val="center"/>
                </w:tcPr>
                <w:p w14:paraId="09E015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是</w:t>
                  </w:r>
                </w:p>
              </w:tc>
              <w:tc>
                <w:tcPr>
                  <w:tcW w:w="283" w:type="pct"/>
                  <w:vMerge w:val="continue"/>
                  <w:noWrap w:val="0"/>
                  <w:vAlign w:val="center"/>
                </w:tcPr>
                <w:p w14:paraId="281DBC7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p>
              </w:tc>
              <w:tc>
                <w:tcPr>
                  <w:tcW w:w="285" w:type="pct"/>
                  <w:noWrap w:val="0"/>
                  <w:vAlign w:val="center"/>
                </w:tcPr>
                <w:p w14:paraId="198F8BBC">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14.49 </w:t>
                  </w:r>
                </w:p>
              </w:tc>
              <w:tc>
                <w:tcPr>
                  <w:tcW w:w="275" w:type="pct"/>
                  <w:noWrap w:val="0"/>
                  <w:vAlign w:val="center"/>
                </w:tcPr>
                <w:p w14:paraId="6C980369">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0.072 </w:t>
                  </w:r>
                </w:p>
              </w:tc>
              <w:tc>
                <w:tcPr>
                  <w:tcW w:w="763" w:type="dxa"/>
                  <w:noWrap w:val="0"/>
                  <w:vAlign w:val="center"/>
                </w:tcPr>
                <w:p w14:paraId="5AB25A6F">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r>
                    <w:rPr>
                      <w:rFonts w:hint="eastAsia" w:cs="Times New Roman"/>
                      <w:color w:val="auto"/>
                      <w:sz w:val="21"/>
                      <w:szCs w:val="21"/>
                      <w:lang w:val="en-US" w:eastAsia="zh-CN"/>
                    </w:rPr>
                    <w:t>2</w:t>
                  </w:r>
                </w:p>
              </w:tc>
              <w:tc>
                <w:tcPr>
                  <w:tcW w:w="260" w:type="pct"/>
                  <w:noWrap w:val="0"/>
                  <w:vAlign w:val="center"/>
                </w:tcPr>
                <w:p w14:paraId="734E123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w:t>
                  </w:r>
                </w:p>
              </w:tc>
              <w:tc>
                <w:tcPr>
                  <w:tcW w:w="349" w:type="pct"/>
                  <w:noWrap w:val="0"/>
                  <w:vAlign w:val="center"/>
                </w:tcPr>
                <w:p w14:paraId="58402E9E">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w:t>
                  </w:r>
                </w:p>
              </w:tc>
              <w:tc>
                <w:tcPr>
                  <w:tcW w:w="248" w:type="pct"/>
                  <w:vMerge w:val="continue"/>
                  <w:noWrap w:val="0"/>
                  <w:vAlign w:val="center"/>
                </w:tcPr>
                <w:p w14:paraId="2F774D2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p>
              </w:tc>
            </w:tr>
            <w:tr w14:paraId="672E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Merge w:val="continue"/>
                  <w:noWrap w:val="0"/>
                  <w:vAlign w:val="center"/>
                </w:tcPr>
                <w:p w14:paraId="09109EE8">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p>
              </w:tc>
              <w:tc>
                <w:tcPr>
                  <w:tcW w:w="264" w:type="pct"/>
                  <w:noWrap w:val="0"/>
                  <w:vAlign w:val="center"/>
                </w:tcPr>
                <w:p w14:paraId="67C45F0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NOx</w:t>
                  </w:r>
                </w:p>
              </w:tc>
              <w:tc>
                <w:tcPr>
                  <w:tcW w:w="271" w:type="pct"/>
                  <w:vMerge w:val="continue"/>
                  <w:noWrap w:val="0"/>
                  <w:vAlign w:val="center"/>
                </w:tcPr>
                <w:p w14:paraId="1B8E3A5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p>
              </w:tc>
              <w:tc>
                <w:tcPr>
                  <w:tcW w:w="312" w:type="pct"/>
                  <w:noWrap w:val="0"/>
                  <w:vAlign w:val="center"/>
                </w:tcPr>
                <w:p w14:paraId="64552872">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eastAsia="Times New Roman" w:cs="Times New Roman"/>
                      <w:color w:val="auto"/>
                      <w:kern w:val="2"/>
                      <w:sz w:val="21"/>
                      <w:szCs w:val="21"/>
                      <w:lang w:val="en-US" w:eastAsia="zh-CN" w:bidi="ar-SA"/>
                    </w:rPr>
                    <w:t>144.87</w:t>
                  </w:r>
                </w:p>
              </w:tc>
              <w:tc>
                <w:tcPr>
                  <w:tcW w:w="244" w:type="pct"/>
                  <w:noWrap w:val="0"/>
                  <w:vAlign w:val="center"/>
                </w:tcPr>
                <w:p w14:paraId="19A4CF3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2.173</w:t>
                  </w:r>
                </w:p>
              </w:tc>
              <w:tc>
                <w:tcPr>
                  <w:tcW w:w="244" w:type="pct"/>
                  <w:vMerge w:val="continue"/>
                  <w:noWrap w:val="0"/>
                  <w:vAlign w:val="center"/>
                </w:tcPr>
                <w:p w14:paraId="58E4A421">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p>
              </w:tc>
              <w:tc>
                <w:tcPr>
                  <w:tcW w:w="866" w:type="pct"/>
                  <w:vMerge w:val="continue"/>
                  <w:noWrap w:val="0"/>
                  <w:vAlign w:val="center"/>
                </w:tcPr>
                <w:p w14:paraId="7E316C7A">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p>
              </w:tc>
              <w:tc>
                <w:tcPr>
                  <w:tcW w:w="226" w:type="pct"/>
                  <w:noWrap w:val="0"/>
                  <w:vAlign w:val="center"/>
                </w:tcPr>
                <w:p w14:paraId="2A07F8A4">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86</w:t>
                  </w:r>
                </w:p>
              </w:tc>
              <w:tc>
                <w:tcPr>
                  <w:tcW w:w="264" w:type="pct"/>
                  <w:noWrap w:val="0"/>
                  <w:vAlign w:val="center"/>
                </w:tcPr>
                <w:p w14:paraId="1EFFB0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eastAsia="zh-CN"/>
                    </w:rPr>
                  </w:pPr>
                  <w:r>
                    <w:rPr>
                      <w:rFonts w:hint="eastAsia" w:ascii="Times New Roman" w:hAnsi="Times New Roman" w:eastAsia="Times New Roman" w:cs="Times New Roman"/>
                      <w:color w:val="auto"/>
                      <w:sz w:val="21"/>
                      <w:szCs w:val="21"/>
                      <w:lang w:eastAsia="zh-CN"/>
                    </w:rPr>
                    <w:t>是</w:t>
                  </w:r>
                </w:p>
              </w:tc>
              <w:tc>
                <w:tcPr>
                  <w:tcW w:w="283" w:type="pct"/>
                  <w:vMerge w:val="continue"/>
                  <w:noWrap w:val="0"/>
                  <w:vAlign w:val="center"/>
                </w:tcPr>
                <w:p w14:paraId="31D0D74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lang w:val="en-US" w:eastAsia="zh-CN"/>
                    </w:rPr>
                  </w:pPr>
                </w:p>
              </w:tc>
              <w:tc>
                <w:tcPr>
                  <w:tcW w:w="285" w:type="pct"/>
                  <w:noWrap w:val="0"/>
                  <w:vAlign w:val="center"/>
                </w:tcPr>
                <w:p w14:paraId="4EE0AE2A">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20.28 </w:t>
                  </w:r>
                </w:p>
              </w:tc>
              <w:tc>
                <w:tcPr>
                  <w:tcW w:w="275" w:type="pct"/>
                  <w:noWrap w:val="0"/>
                  <w:vAlign w:val="center"/>
                </w:tcPr>
                <w:p w14:paraId="33CB80CD">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0.101 </w:t>
                  </w:r>
                </w:p>
              </w:tc>
              <w:tc>
                <w:tcPr>
                  <w:tcW w:w="763" w:type="dxa"/>
                  <w:noWrap w:val="0"/>
                  <w:vAlign w:val="center"/>
                </w:tcPr>
                <w:p w14:paraId="220705B1">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r>
                    <w:rPr>
                      <w:rFonts w:hint="eastAsia" w:cs="Times New Roman"/>
                      <w:color w:val="auto"/>
                      <w:sz w:val="21"/>
                      <w:szCs w:val="21"/>
                      <w:lang w:val="en-US" w:eastAsia="zh-CN"/>
                    </w:rPr>
                    <w:t>1</w:t>
                  </w:r>
                </w:p>
              </w:tc>
              <w:tc>
                <w:tcPr>
                  <w:tcW w:w="260" w:type="pct"/>
                  <w:noWrap w:val="0"/>
                  <w:vAlign w:val="center"/>
                </w:tcPr>
                <w:p w14:paraId="14AB5E43">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w:t>
                  </w:r>
                </w:p>
              </w:tc>
              <w:tc>
                <w:tcPr>
                  <w:tcW w:w="349" w:type="pct"/>
                  <w:noWrap w:val="0"/>
                  <w:vAlign w:val="center"/>
                </w:tcPr>
                <w:p w14:paraId="333F9794">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w:t>
                  </w:r>
                </w:p>
              </w:tc>
              <w:tc>
                <w:tcPr>
                  <w:tcW w:w="248" w:type="pct"/>
                  <w:vMerge w:val="continue"/>
                  <w:noWrap w:val="0"/>
                  <w:vAlign w:val="center"/>
                </w:tcPr>
                <w:p w14:paraId="26ECC3A7">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kern w:val="2"/>
                      <w:sz w:val="21"/>
                      <w:szCs w:val="21"/>
                      <w:lang w:val="en-US" w:eastAsia="zh-CN" w:bidi="ar-SA"/>
                    </w:rPr>
                  </w:pPr>
                </w:p>
              </w:tc>
            </w:tr>
          </w:tbl>
          <w:p w14:paraId="64AC6FC4">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rightChars="0" w:firstLine="480" w:firstLineChars="200"/>
              <w:textAlignment w:val="auto"/>
              <w:rPr>
                <w:color w:val="auto"/>
                <w:sz w:val="24"/>
                <w:szCs w:val="24"/>
              </w:rPr>
            </w:pPr>
          </w:p>
          <w:p w14:paraId="750305A0">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rightChars="0" w:firstLine="480" w:firstLineChars="200"/>
              <w:textAlignment w:val="auto"/>
              <w:rPr>
                <w:color w:val="auto"/>
                <w:sz w:val="24"/>
                <w:szCs w:val="24"/>
              </w:rPr>
            </w:pPr>
          </w:p>
          <w:p w14:paraId="7C723595">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rightChars="0" w:firstLine="0" w:firstLineChars="0"/>
              <w:textAlignment w:val="auto"/>
              <w:rPr>
                <w:color w:val="auto"/>
                <w:sz w:val="24"/>
                <w:szCs w:val="24"/>
              </w:rPr>
            </w:pPr>
          </w:p>
          <w:p w14:paraId="797D109C">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rightChars="0" w:firstLine="480" w:firstLineChars="200"/>
              <w:textAlignment w:val="auto"/>
              <w:rPr>
                <w:b/>
                <w:color w:val="auto"/>
                <w:sz w:val="24"/>
                <w:szCs w:val="24"/>
              </w:rPr>
            </w:pPr>
            <w:r>
              <w:rPr>
                <w:color w:val="auto"/>
                <w:sz w:val="24"/>
                <w:szCs w:val="24"/>
              </w:rPr>
              <w:t>对照下表中污染物执行标准，项目排放的污染物均达标</w:t>
            </w:r>
            <w:r>
              <w:rPr>
                <w:rFonts w:hint="eastAsia"/>
                <w:color w:val="auto"/>
                <w:sz w:val="24"/>
                <w:szCs w:val="24"/>
                <w:lang w:eastAsia="zh-CN"/>
              </w:rPr>
              <w:t>，</w:t>
            </w:r>
            <w:r>
              <w:rPr>
                <w:color w:val="auto"/>
                <w:sz w:val="24"/>
                <w:szCs w:val="24"/>
              </w:rPr>
              <w:t>本项目各污染物排气筒信息及排放标准汇总于下表所示。</w:t>
            </w:r>
          </w:p>
          <w:p w14:paraId="46E60DA0">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rightChars="0" w:firstLine="482" w:firstLineChars="200"/>
              <w:jc w:val="center"/>
              <w:textAlignment w:val="auto"/>
              <w:rPr>
                <w:b/>
                <w:color w:val="auto"/>
                <w:sz w:val="24"/>
                <w:szCs w:val="24"/>
              </w:rPr>
            </w:pPr>
            <w:r>
              <w:rPr>
                <w:b/>
                <w:color w:val="auto"/>
                <w:sz w:val="24"/>
                <w:szCs w:val="24"/>
              </w:rPr>
              <w:t>表4-2</w:t>
            </w:r>
            <w:r>
              <w:rPr>
                <w:rFonts w:hint="eastAsia"/>
                <w:b/>
                <w:color w:val="auto"/>
                <w:sz w:val="24"/>
                <w:szCs w:val="24"/>
                <w:lang w:val="en-US" w:eastAsia="zh-CN"/>
              </w:rPr>
              <w:t xml:space="preserve">  </w:t>
            </w:r>
            <w:r>
              <w:rPr>
                <w:b/>
                <w:color w:val="auto"/>
                <w:sz w:val="24"/>
                <w:szCs w:val="24"/>
              </w:rPr>
              <w:t>本项目各污染物排气筒信息及排放标准汇总表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890"/>
              <w:gridCol w:w="496"/>
              <w:gridCol w:w="576"/>
              <w:gridCol w:w="585"/>
              <w:gridCol w:w="892"/>
              <w:gridCol w:w="1167"/>
              <w:gridCol w:w="1740"/>
              <w:gridCol w:w="930"/>
              <w:gridCol w:w="848"/>
              <w:gridCol w:w="720"/>
              <w:gridCol w:w="2048"/>
            </w:tblGrid>
            <w:tr w14:paraId="6F58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9" w:type="pct"/>
                  <w:vMerge w:val="restart"/>
                  <w:noWrap w:val="0"/>
                  <w:vAlign w:val="center"/>
                </w:tcPr>
                <w:p w14:paraId="24DBDD85">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污染源</w:t>
                  </w:r>
                </w:p>
              </w:tc>
              <w:tc>
                <w:tcPr>
                  <w:tcW w:w="365" w:type="pct"/>
                  <w:vMerge w:val="restart"/>
                  <w:noWrap w:val="0"/>
                  <w:vAlign w:val="center"/>
                </w:tcPr>
                <w:p w14:paraId="05821AD3">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污染物</w:t>
                  </w:r>
                </w:p>
              </w:tc>
              <w:tc>
                <w:tcPr>
                  <w:tcW w:w="2621" w:type="pct"/>
                  <w:gridSpan w:val="7"/>
                  <w:noWrap w:val="0"/>
                  <w:vAlign w:val="center"/>
                </w:tcPr>
                <w:p w14:paraId="22A59AF2">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排气筒</w:t>
                  </w:r>
                </w:p>
              </w:tc>
              <w:tc>
                <w:tcPr>
                  <w:tcW w:w="1484" w:type="pct"/>
                  <w:gridSpan w:val="3"/>
                  <w:noWrap w:val="0"/>
                  <w:vAlign w:val="center"/>
                </w:tcPr>
                <w:p w14:paraId="0E04B061">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排放标准及限值</w:t>
                  </w:r>
                </w:p>
              </w:tc>
            </w:tr>
            <w:tr w14:paraId="427F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9" w:type="pct"/>
                  <w:vMerge w:val="continue"/>
                  <w:noWrap w:val="0"/>
                  <w:vAlign w:val="center"/>
                </w:tcPr>
                <w:p w14:paraId="29820AB4">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p>
              </w:tc>
              <w:tc>
                <w:tcPr>
                  <w:tcW w:w="365" w:type="pct"/>
                  <w:vMerge w:val="continue"/>
                  <w:noWrap w:val="0"/>
                  <w:vAlign w:val="center"/>
                </w:tcPr>
                <w:p w14:paraId="45BC053C">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p>
              </w:tc>
              <w:tc>
                <w:tcPr>
                  <w:tcW w:w="203" w:type="pct"/>
                  <w:noWrap w:val="0"/>
                  <w:vAlign w:val="center"/>
                </w:tcPr>
                <w:p w14:paraId="3D13140D">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高度m</w:t>
                  </w:r>
                </w:p>
              </w:tc>
              <w:tc>
                <w:tcPr>
                  <w:tcW w:w="236" w:type="pct"/>
                  <w:noWrap w:val="0"/>
                  <w:vAlign w:val="center"/>
                </w:tcPr>
                <w:p w14:paraId="0EEA5B47">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内径m</w:t>
                  </w:r>
                </w:p>
              </w:tc>
              <w:tc>
                <w:tcPr>
                  <w:tcW w:w="240" w:type="pct"/>
                  <w:noWrap w:val="0"/>
                  <w:vAlign w:val="center"/>
                </w:tcPr>
                <w:p w14:paraId="5C188E2F">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温度℃</w:t>
                  </w:r>
                </w:p>
              </w:tc>
              <w:tc>
                <w:tcPr>
                  <w:tcW w:w="366" w:type="pct"/>
                  <w:noWrap w:val="0"/>
                  <w:vAlign w:val="center"/>
                </w:tcPr>
                <w:p w14:paraId="36EA3A1A">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编号</w:t>
                  </w:r>
                </w:p>
              </w:tc>
              <w:tc>
                <w:tcPr>
                  <w:tcW w:w="479" w:type="pct"/>
                  <w:noWrap w:val="0"/>
                  <w:vAlign w:val="center"/>
                </w:tcPr>
                <w:p w14:paraId="5E74318C">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名称</w:t>
                  </w:r>
                </w:p>
              </w:tc>
              <w:tc>
                <w:tcPr>
                  <w:tcW w:w="714" w:type="pct"/>
                  <w:noWrap w:val="0"/>
                  <w:vAlign w:val="center"/>
                </w:tcPr>
                <w:p w14:paraId="528B5FB8">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地理坐标</w:t>
                  </w:r>
                </w:p>
              </w:tc>
              <w:tc>
                <w:tcPr>
                  <w:tcW w:w="381" w:type="pct"/>
                  <w:noWrap w:val="0"/>
                  <w:vAlign w:val="center"/>
                </w:tcPr>
                <w:p w14:paraId="537A9B9D">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排放口类型</w:t>
                  </w:r>
                </w:p>
              </w:tc>
              <w:tc>
                <w:tcPr>
                  <w:tcW w:w="348" w:type="pct"/>
                  <w:noWrap w:val="0"/>
                  <w:vAlign w:val="center"/>
                </w:tcPr>
                <w:p w14:paraId="05AE099C">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浓度mg/m</w:t>
                  </w:r>
                  <w:r>
                    <w:rPr>
                      <w:rFonts w:eastAsia="Times New Roman"/>
                      <w:b/>
                      <w:bCs/>
                      <w:color w:val="auto"/>
                      <w:sz w:val="21"/>
                      <w:szCs w:val="21"/>
                      <w:vertAlign w:val="superscript"/>
                    </w:rPr>
                    <w:t>3</w:t>
                  </w:r>
                </w:p>
              </w:tc>
              <w:tc>
                <w:tcPr>
                  <w:tcW w:w="295" w:type="pct"/>
                  <w:noWrap w:val="0"/>
                  <w:vAlign w:val="center"/>
                </w:tcPr>
                <w:p w14:paraId="2F19FC1A">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b/>
                      <w:bCs/>
                      <w:color w:val="auto"/>
                      <w:sz w:val="21"/>
                      <w:szCs w:val="21"/>
                    </w:rPr>
                  </w:pPr>
                  <w:r>
                    <w:rPr>
                      <w:rFonts w:eastAsia="Times New Roman"/>
                      <w:b/>
                      <w:bCs/>
                      <w:color w:val="auto"/>
                      <w:sz w:val="21"/>
                      <w:szCs w:val="21"/>
                    </w:rPr>
                    <w:t>速率kg/h</w:t>
                  </w:r>
                </w:p>
              </w:tc>
              <w:tc>
                <w:tcPr>
                  <w:tcW w:w="840" w:type="pct"/>
                  <w:noWrap w:val="0"/>
                  <w:vAlign w:val="center"/>
                </w:tcPr>
                <w:p w14:paraId="44A84289">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eastAsia="Times New Roman"/>
                      <w:color w:val="auto"/>
                      <w:sz w:val="21"/>
                      <w:szCs w:val="21"/>
                    </w:rPr>
                  </w:pPr>
                  <w:r>
                    <w:rPr>
                      <w:rFonts w:eastAsia="Times New Roman"/>
                      <w:b/>
                      <w:bCs/>
                      <w:color w:val="auto"/>
                      <w:sz w:val="21"/>
                      <w:szCs w:val="21"/>
                    </w:rPr>
                    <w:t>标准名称</w:t>
                  </w:r>
                </w:p>
              </w:tc>
            </w:tr>
            <w:tr w14:paraId="1CCF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9" w:type="pct"/>
                  <w:vMerge w:val="restart"/>
                  <w:noWrap w:val="0"/>
                  <w:vAlign w:val="center"/>
                </w:tcPr>
                <w:p w14:paraId="3B32EB4F">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生物质锅炉</w:t>
                  </w:r>
                </w:p>
              </w:tc>
              <w:tc>
                <w:tcPr>
                  <w:tcW w:w="365" w:type="pct"/>
                  <w:noWrap w:val="0"/>
                  <w:vAlign w:val="center"/>
                </w:tcPr>
                <w:p w14:paraId="7BDB8A6D">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Times New Roman"/>
                      <w:color w:val="auto"/>
                      <w:sz w:val="21"/>
                      <w:szCs w:val="21"/>
                    </w:rPr>
                  </w:pPr>
                  <w:r>
                    <w:rPr>
                      <w:rFonts w:hint="eastAsia" w:eastAsia="Times New Roman"/>
                      <w:color w:val="auto"/>
                      <w:sz w:val="21"/>
                      <w:szCs w:val="21"/>
                    </w:rPr>
                    <w:t>颗粒物</w:t>
                  </w:r>
                </w:p>
              </w:tc>
              <w:tc>
                <w:tcPr>
                  <w:tcW w:w="203" w:type="pct"/>
                  <w:vMerge w:val="restart"/>
                  <w:noWrap w:val="0"/>
                  <w:vAlign w:val="center"/>
                </w:tcPr>
                <w:p w14:paraId="7A40E643">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15</w:t>
                  </w:r>
                </w:p>
              </w:tc>
              <w:tc>
                <w:tcPr>
                  <w:tcW w:w="236" w:type="pct"/>
                  <w:vMerge w:val="restart"/>
                  <w:noWrap w:val="0"/>
                  <w:vAlign w:val="center"/>
                </w:tcPr>
                <w:p w14:paraId="5BEF7BE9">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0.3</w:t>
                  </w:r>
                </w:p>
              </w:tc>
              <w:tc>
                <w:tcPr>
                  <w:tcW w:w="240" w:type="pct"/>
                  <w:vMerge w:val="restart"/>
                  <w:noWrap w:val="0"/>
                  <w:vAlign w:val="center"/>
                </w:tcPr>
                <w:p w14:paraId="00CC68F1">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20</w:t>
                  </w:r>
                </w:p>
              </w:tc>
              <w:tc>
                <w:tcPr>
                  <w:tcW w:w="366" w:type="pct"/>
                  <w:vMerge w:val="restart"/>
                  <w:noWrap w:val="0"/>
                  <w:vAlign w:val="center"/>
                </w:tcPr>
                <w:p w14:paraId="01D9BFC1">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DA001</w:t>
                  </w:r>
                </w:p>
              </w:tc>
              <w:tc>
                <w:tcPr>
                  <w:tcW w:w="479" w:type="pct"/>
                  <w:vMerge w:val="restart"/>
                  <w:noWrap w:val="0"/>
                  <w:vAlign w:val="center"/>
                </w:tcPr>
                <w:p w14:paraId="15588184">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生物质锅炉燃烧废气排气筒</w:t>
                  </w:r>
                </w:p>
              </w:tc>
              <w:tc>
                <w:tcPr>
                  <w:tcW w:w="714" w:type="pct"/>
                  <w:vMerge w:val="restart"/>
                  <w:noWrap w:val="0"/>
                  <w:vAlign w:val="center"/>
                </w:tcPr>
                <w:p w14:paraId="1EC1079F">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rPr>
                  </w:pPr>
                  <w:r>
                    <w:rPr>
                      <w:rFonts w:hint="eastAsia"/>
                      <w:color w:val="auto"/>
                      <w:sz w:val="18"/>
                      <w:szCs w:val="18"/>
                      <w:lang w:val="en-US" w:eastAsia="zh-CN"/>
                    </w:rPr>
                    <w:t>E</w:t>
                  </w:r>
                  <w:r>
                    <w:rPr>
                      <w:rFonts w:hint="eastAsia"/>
                      <w:color w:val="auto"/>
                      <w:sz w:val="18"/>
                      <w:szCs w:val="18"/>
                    </w:rPr>
                    <w:t>115°54'56.142"，</w:t>
                  </w:r>
                  <w:r>
                    <w:rPr>
                      <w:rFonts w:hint="eastAsia"/>
                      <w:color w:val="auto"/>
                      <w:sz w:val="18"/>
                      <w:szCs w:val="18"/>
                      <w:lang w:val="en-US" w:eastAsia="zh-CN"/>
                    </w:rPr>
                    <w:t>N</w:t>
                  </w:r>
                  <w:r>
                    <w:rPr>
                      <w:rFonts w:hint="eastAsia"/>
                      <w:color w:val="auto"/>
                      <w:sz w:val="18"/>
                      <w:szCs w:val="18"/>
                    </w:rPr>
                    <w:t>31°27'6.556"</w:t>
                  </w:r>
                </w:p>
              </w:tc>
              <w:tc>
                <w:tcPr>
                  <w:tcW w:w="381" w:type="pct"/>
                  <w:vMerge w:val="restart"/>
                  <w:noWrap w:val="0"/>
                  <w:vAlign w:val="center"/>
                </w:tcPr>
                <w:p w14:paraId="6AF94A64">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rPr>
                  </w:pPr>
                  <w:r>
                    <w:rPr>
                      <w:rFonts w:hint="eastAsia"/>
                      <w:color w:val="auto"/>
                      <w:sz w:val="21"/>
                      <w:szCs w:val="21"/>
                    </w:rPr>
                    <w:t>一般排气筒</w:t>
                  </w:r>
                </w:p>
              </w:tc>
              <w:tc>
                <w:tcPr>
                  <w:tcW w:w="348" w:type="pct"/>
                  <w:noWrap w:val="0"/>
                  <w:vAlign w:val="center"/>
                </w:tcPr>
                <w:p w14:paraId="14B54789">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w:t>
                  </w:r>
                </w:p>
              </w:tc>
              <w:tc>
                <w:tcPr>
                  <w:tcW w:w="295" w:type="pct"/>
                  <w:noWrap w:val="0"/>
                  <w:vAlign w:val="center"/>
                </w:tcPr>
                <w:p w14:paraId="2031628D">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840" w:type="pct"/>
                  <w:vMerge w:val="restart"/>
                  <w:noWrap w:val="0"/>
                  <w:vAlign w:val="center"/>
                </w:tcPr>
                <w:p w14:paraId="109FD876">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rPr>
                  </w:pPr>
                  <w:r>
                    <w:rPr>
                      <w:rFonts w:hint="eastAsia" w:cs="Times New Roman"/>
                      <w:color w:val="auto"/>
                      <w:sz w:val="21"/>
                      <w:szCs w:val="21"/>
                      <w:lang w:val="en-US" w:eastAsia="zh-CN"/>
                    </w:rPr>
                    <w:t>/</w:t>
                  </w:r>
                </w:p>
              </w:tc>
            </w:tr>
            <w:tr w14:paraId="152D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9" w:type="pct"/>
                  <w:vMerge w:val="continue"/>
                  <w:noWrap w:val="0"/>
                  <w:vAlign w:val="center"/>
                </w:tcPr>
                <w:p w14:paraId="59E80507">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p>
              </w:tc>
              <w:tc>
                <w:tcPr>
                  <w:tcW w:w="365" w:type="pct"/>
                  <w:noWrap w:val="0"/>
                  <w:vAlign w:val="center"/>
                </w:tcPr>
                <w:p w14:paraId="72CE01A4">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203" w:type="pct"/>
                  <w:vMerge w:val="continue"/>
                  <w:noWrap w:val="0"/>
                  <w:vAlign w:val="center"/>
                </w:tcPr>
                <w:p w14:paraId="3C86B9F6">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p>
              </w:tc>
              <w:tc>
                <w:tcPr>
                  <w:tcW w:w="236" w:type="pct"/>
                  <w:vMerge w:val="continue"/>
                  <w:noWrap w:val="0"/>
                  <w:vAlign w:val="center"/>
                </w:tcPr>
                <w:p w14:paraId="47531390">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lang w:val="en-US" w:eastAsia="zh-CN"/>
                    </w:rPr>
                  </w:pPr>
                </w:p>
              </w:tc>
              <w:tc>
                <w:tcPr>
                  <w:tcW w:w="240" w:type="pct"/>
                  <w:vMerge w:val="continue"/>
                  <w:noWrap w:val="0"/>
                  <w:vAlign w:val="center"/>
                </w:tcPr>
                <w:p w14:paraId="0328A2AD">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p>
              </w:tc>
              <w:tc>
                <w:tcPr>
                  <w:tcW w:w="366" w:type="pct"/>
                  <w:vMerge w:val="continue"/>
                  <w:noWrap w:val="0"/>
                  <w:vAlign w:val="center"/>
                </w:tcPr>
                <w:p w14:paraId="05634A29">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lang w:val="en-US" w:eastAsia="zh-CN"/>
                    </w:rPr>
                  </w:pPr>
                </w:p>
              </w:tc>
              <w:tc>
                <w:tcPr>
                  <w:tcW w:w="479" w:type="pct"/>
                  <w:vMerge w:val="continue"/>
                  <w:noWrap w:val="0"/>
                  <w:vAlign w:val="center"/>
                </w:tcPr>
                <w:p w14:paraId="0D8C8DFE">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p>
              </w:tc>
              <w:tc>
                <w:tcPr>
                  <w:tcW w:w="714" w:type="pct"/>
                  <w:vMerge w:val="continue"/>
                  <w:noWrap w:val="0"/>
                  <w:vAlign w:val="center"/>
                </w:tcPr>
                <w:p w14:paraId="72171C63">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rPr>
                  </w:pPr>
                </w:p>
              </w:tc>
              <w:tc>
                <w:tcPr>
                  <w:tcW w:w="381" w:type="pct"/>
                  <w:vMerge w:val="continue"/>
                  <w:noWrap w:val="0"/>
                  <w:vAlign w:val="center"/>
                </w:tcPr>
                <w:p w14:paraId="04D672BA">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rPr>
                  </w:pPr>
                </w:p>
              </w:tc>
              <w:tc>
                <w:tcPr>
                  <w:tcW w:w="348" w:type="pct"/>
                  <w:noWrap w:val="0"/>
                  <w:vAlign w:val="center"/>
                </w:tcPr>
                <w:p w14:paraId="5850D532">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35</w:t>
                  </w:r>
                </w:p>
              </w:tc>
              <w:tc>
                <w:tcPr>
                  <w:tcW w:w="295" w:type="pct"/>
                  <w:noWrap w:val="0"/>
                  <w:vAlign w:val="center"/>
                </w:tcPr>
                <w:p w14:paraId="40FAE033">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840" w:type="pct"/>
                  <w:vMerge w:val="continue"/>
                  <w:noWrap w:val="0"/>
                  <w:vAlign w:val="center"/>
                </w:tcPr>
                <w:p w14:paraId="3BA7B0A5">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rPr>
                  </w:pPr>
                </w:p>
              </w:tc>
            </w:tr>
            <w:tr w14:paraId="66DB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9" w:type="pct"/>
                  <w:vMerge w:val="continue"/>
                  <w:noWrap w:val="0"/>
                  <w:vAlign w:val="center"/>
                </w:tcPr>
                <w:p w14:paraId="20745347">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p>
              </w:tc>
              <w:tc>
                <w:tcPr>
                  <w:tcW w:w="365" w:type="pct"/>
                  <w:noWrap w:val="0"/>
                  <w:vAlign w:val="center"/>
                </w:tcPr>
                <w:p w14:paraId="723F0E1D">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NOx</w:t>
                  </w:r>
                </w:p>
              </w:tc>
              <w:tc>
                <w:tcPr>
                  <w:tcW w:w="203" w:type="pct"/>
                  <w:vMerge w:val="continue"/>
                  <w:noWrap w:val="0"/>
                  <w:vAlign w:val="center"/>
                </w:tcPr>
                <w:p w14:paraId="4F453574">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p>
              </w:tc>
              <w:tc>
                <w:tcPr>
                  <w:tcW w:w="236" w:type="pct"/>
                  <w:vMerge w:val="continue"/>
                  <w:noWrap w:val="0"/>
                  <w:vAlign w:val="center"/>
                </w:tcPr>
                <w:p w14:paraId="73B69D48">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lang w:val="en-US" w:eastAsia="zh-CN"/>
                    </w:rPr>
                  </w:pPr>
                </w:p>
              </w:tc>
              <w:tc>
                <w:tcPr>
                  <w:tcW w:w="240" w:type="pct"/>
                  <w:vMerge w:val="continue"/>
                  <w:noWrap w:val="0"/>
                  <w:vAlign w:val="center"/>
                </w:tcPr>
                <w:p w14:paraId="1344A87F">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p>
              </w:tc>
              <w:tc>
                <w:tcPr>
                  <w:tcW w:w="366" w:type="pct"/>
                  <w:vMerge w:val="continue"/>
                  <w:noWrap w:val="0"/>
                  <w:vAlign w:val="center"/>
                </w:tcPr>
                <w:p w14:paraId="4C4B751D">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lang w:val="en-US" w:eastAsia="zh-CN"/>
                    </w:rPr>
                  </w:pPr>
                </w:p>
              </w:tc>
              <w:tc>
                <w:tcPr>
                  <w:tcW w:w="479" w:type="pct"/>
                  <w:vMerge w:val="continue"/>
                  <w:noWrap w:val="0"/>
                  <w:vAlign w:val="center"/>
                </w:tcPr>
                <w:p w14:paraId="1C029500">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p>
              </w:tc>
              <w:tc>
                <w:tcPr>
                  <w:tcW w:w="714" w:type="pct"/>
                  <w:vMerge w:val="continue"/>
                  <w:noWrap w:val="0"/>
                  <w:vAlign w:val="center"/>
                </w:tcPr>
                <w:p w14:paraId="5EFF8EA2">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rPr>
                  </w:pPr>
                </w:p>
              </w:tc>
              <w:tc>
                <w:tcPr>
                  <w:tcW w:w="381" w:type="pct"/>
                  <w:vMerge w:val="continue"/>
                  <w:noWrap w:val="0"/>
                  <w:vAlign w:val="center"/>
                </w:tcPr>
                <w:p w14:paraId="5D1EC3F8">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rPr>
                  </w:pPr>
                </w:p>
              </w:tc>
              <w:tc>
                <w:tcPr>
                  <w:tcW w:w="348" w:type="pct"/>
                  <w:noWrap w:val="0"/>
                  <w:vAlign w:val="center"/>
                </w:tcPr>
                <w:p w14:paraId="7C87C007">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50</w:t>
                  </w:r>
                </w:p>
              </w:tc>
              <w:tc>
                <w:tcPr>
                  <w:tcW w:w="295" w:type="pct"/>
                  <w:noWrap w:val="0"/>
                  <w:vAlign w:val="center"/>
                </w:tcPr>
                <w:p w14:paraId="311259FB">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840" w:type="pct"/>
                  <w:vMerge w:val="continue"/>
                  <w:noWrap w:val="0"/>
                  <w:vAlign w:val="center"/>
                </w:tcPr>
                <w:p w14:paraId="01A9BA8B">
                  <w:pPr>
                    <w:pStyle w:val="24"/>
                    <w:keepNext w:val="0"/>
                    <w:keepLines w:val="0"/>
                    <w:pageBreakBefore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rPr>
                  </w:pPr>
                </w:p>
              </w:tc>
            </w:tr>
          </w:tbl>
          <w:p w14:paraId="314625B9">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rightChars="0" w:firstLine="482" w:firstLineChars="200"/>
              <w:jc w:val="center"/>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rPr>
              <w:t>4-</w:t>
            </w:r>
            <w:r>
              <w:rPr>
                <w:rFonts w:ascii="Times New Roman" w:hAnsi="Times New Roman" w:eastAsia="宋体" w:cs="Times New Roman"/>
                <w:b/>
                <w:color w:val="auto"/>
                <w:sz w:val="24"/>
                <w:szCs w:val="24"/>
              </w:rPr>
              <w:t>3</w:t>
            </w:r>
            <w:r>
              <w:rPr>
                <w:rFonts w:ascii="Times New Roman" w:hAnsi="Times New Roman" w:eastAsia="宋体" w:cs="Times New Roman"/>
                <w:b/>
                <w:color w:val="auto"/>
                <w:sz w:val="24"/>
                <w:szCs w:val="24"/>
              </w:rPr>
              <w:tab/>
            </w:r>
            <w:r>
              <w:rPr>
                <w:rFonts w:hint="eastAsia"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rPr>
              <w:t>本项目无</w:t>
            </w:r>
            <w:r>
              <w:rPr>
                <w:rFonts w:ascii="Times New Roman" w:hAnsi="Times New Roman" w:eastAsia="宋体" w:cs="Times New Roman"/>
                <w:b/>
                <w:color w:val="auto"/>
                <w:sz w:val="24"/>
                <w:szCs w:val="24"/>
              </w:rPr>
              <w:t>组织废气排放基本信息一览表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0"/>
              <w:gridCol w:w="1540"/>
              <w:gridCol w:w="1617"/>
              <w:gridCol w:w="1119"/>
              <w:gridCol w:w="2812"/>
              <w:gridCol w:w="2347"/>
              <w:gridCol w:w="2001"/>
            </w:tblGrid>
            <w:tr w14:paraId="57F4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50" w:type="dxa"/>
                  <w:vMerge w:val="restart"/>
                  <w:noWrap w:val="0"/>
                  <w:vAlign w:val="center"/>
                </w:tcPr>
                <w:p w14:paraId="68C3AAB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r>
                    <w:rPr>
                      <w:rFonts w:hint="eastAsia"/>
                      <w:b/>
                      <w:color w:val="auto"/>
                      <w:sz w:val="21"/>
                      <w:szCs w:val="21"/>
                    </w:rPr>
                    <w:t>序号</w:t>
                  </w:r>
                </w:p>
              </w:tc>
              <w:tc>
                <w:tcPr>
                  <w:tcW w:w="1540" w:type="dxa"/>
                  <w:vMerge w:val="restart"/>
                  <w:noWrap w:val="0"/>
                  <w:vAlign w:val="center"/>
                </w:tcPr>
                <w:p w14:paraId="709F5EE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r>
                    <w:rPr>
                      <w:rFonts w:hint="eastAsia"/>
                      <w:b/>
                      <w:color w:val="auto"/>
                      <w:sz w:val="21"/>
                      <w:szCs w:val="21"/>
                    </w:rPr>
                    <w:t>生产设施编号/无组织排放编号</w:t>
                  </w:r>
                </w:p>
              </w:tc>
              <w:tc>
                <w:tcPr>
                  <w:tcW w:w="1617" w:type="dxa"/>
                  <w:vMerge w:val="restart"/>
                  <w:noWrap w:val="0"/>
                  <w:vAlign w:val="center"/>
                </w:tcPr>
                <w:p w14:paraId="68BB80C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r>
                    <w:rPr>
                      <w:rFonts w:hint="eastAsia"/>
                      <w:b/>
                      <w:color w:val="auto"/>
                      <w:sz w:val="21"/>
                      <w:szCs w:val="21"/>
                    </w:rPr>
                    <w:t>产污环节</w:t>
                  </w:r>
                </w:p>
              </w:tc>
              <w:tc>
                <w:tcPr>
                  <w:tcW w:w="1119" w:type="dxa"/>
                  <w:vMerge w:val="restart"/>
                  <w:noWrap w:val="0"/>
                  <w:vAlign w:val="center"/>
                </w:tcPr>
                <w:p w14:paraId="24141D8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r>
                    <w:rPr>
                      <w:rFonts w:hint="eastAsia"/>
                      <w:b/>
                      <w:color w:val="auto"/>
                      <w:sz w:val="21"/>
                      <w:szCs w:val="21"/>
                    </w:rPr>
                    <w:t>污染物种类</w:t>
                  </w:r>
                </w:p>
              </w:tc>
              <w:tc>
                <w:tcPr>
                  <w:tcW w:w="2812" w:type="dxa"/>
                  <w:vMerge w:val="restart"/>
                  <w:noWrap w:val="0"/>
                  <w:vAlign w:val="center"/>
                </w:tcPr>
                <w:p w14:paraId="55D3728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r>
                    <w:rPr>
                      <w:rFonts w:hint="eastAsia"/>
                      <w:b/>
                      <w:color w:val="auto"/>
                      <w:sz w:val="21"/>
                      <w:szCs w:val="21"/>
                    </w:rPr>
                    <w:t>主要污染防治措施</w:t>
                  </w:r>
                </w:p>
              </w:tc>
              <w:tc>
                <w:tcPr>
                  <w:tcW w:w="4348" w:type="dxa"/>
                  <w:gridSpan w:val="2"/>
                  <w:noWrap w:val="0"/>
                  <w:vAlign w:val="center"/>
                </w:tcPr>
                <w:p w14:paraId="5297480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r>
                    <w:rPr>
                      <w:rFonts w:hint="eastAsia"/>
                      <w:b/>
                      <w:color w:val="auto"/>
                      <w:sz w:val="21"/>
                      <w:szCs w:val="21"/>
                    </w:rPr>
                    <w:t>国家或地方污染物排放标准</w:t>
                  </w:r>
                </w:p>
              </w:tc>
            </w:tr>
            <w:tr w14:paraId="07FA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50" w:type="dxa"/>
                  <w:vMerge w:val="continue"/>
                  <w:noWrap w:val="0"/>
                  <w:vAlign w:val="center"/>
                </w:tcPr>
                <w:p w14:paraId="3FA5B62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p>
              </w:tc>
              <w:tc>
                <w:tcPr>
                  <w:tcW w:w="1540" w:type="dxa"/>
                  <w:vMerge w:val="continue"/>
                  <w:noWrap w:val="0"/>
                  <w:vAlign w:val="center"/>
                </w:tcPr>
                <w:p w14:paraId="5A04FDC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p>
              </w:tc>
              <w:tc>
                <w:tcPr>
                  <w:tcW w:w="1617" w:type="dxa"/>
                  <w:vMerge w:val="continue"/>
                  <w:noWrap w:val="0"/>
                  <w:vAlign w:val="center"/>
                </w:tcPr>
                <w:p w14:paraId="0D2FD97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p>
              </w:tc>
              <w:tc>
                <w:tcPr>
                  <w:tcW w:w="1119" w:type="dxa"/>
                  <w:vMerge w:val="continue"/>
                  <w:noWrap w:val="0"/>
                  <w:vAlign w:val="center"/>
                </w:tcPr>
                <w:p w14:paraId="632EBC9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p>
              </w:tc>
              <w:tc>
                <w:tcPr>
                  <w:tcW w:w="2812" w:type="dxa"/>
                  <w:vMerge w:val="continue"/>
                  <w:noWrap w:val="0"/>
                  <w:vAlign w:val="center"/>
                </w:tcPr>
                <w:p w14:paraId="6B1CC00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p>
              </w:tc>
              <w:tc>
                <w:tcPr>
                  <w:tcW w:w="2347" w:type="dxa"/>
                  <w:noWrap w:val="0"/>
                  <w:vAlign w:val="center"/>
                </w:tcPr>
                <w:p w14:paraId="38FB9D5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r>
                    <w:rPr>
                      <w:rFonts w:hint="eastAsia"/>
                      <w:b/>
                      <w:color w:val="auto"/>
                      <w:sz w:val="21"/>
                      <w:szCs w:val="21"/>
                    </w:rPr>
                    <w:t>名称</w:t>
                  </w:r>
                </w:p>
              </w:tc>
              <w:tc>
                <w:tcPr>
                  <w:tcW w:w="2001" w:type="dxa"/>
                  <w:noWrap w:val="0"/>
                  <w:vAlign w:val="center"/>
                </w:tcPr>
                <w:p w14:paraId="1FB6FDA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b/>
                      <w:color w:val="auto"/>
                      <w:sz w:val="21"/>
                      <w:szCs w:val="21"/>
                    </w:rPr>
                  </w:pPr>
                  <w:r>
                    <w:rPr>
                      <w:rFonts w:hint="eastAsia"/>
                      <w:b/>
                      <w:color w:val="auto"/>
                      <w:sz w:val="21"/>
                      <w:szCs w:val="21"/>
                    </w:rPr>
                    <w:t>浓度限值（mg/Nm</w:t>
                  </w:r>
                  <w:r>
                    <w:rPr>
                      <w:rFonts w:hint="eastAsia"/>
                      <w:b/>
                      <w:color w:val="auto"/>
                      <w:sz w:val="21"/>
                      <w:szCs w:val="21"/>
                      <w:vertAlign w:val="superscript"/>
                    </w:rPr>
                    <w:t>3</w:t>
                  </w:r>
                  <w:r>
                    <w:rPr>
                      <w:rFonts w:hint="eastAsia"/>
                      <w:b/>
                      <w:color w:val="auto"/>
                      <w:sz w:val="21"/>
                      <w:szCs w:val="21"/>
                    </w:rPr>
                    <w:t>）</w:t>
                  </w:r>
                </w:p>
              </w:tc>
            </w:tr>
            <w:tr w14:paraId="6451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blHeader/>
                <w:jc w:val="center"/>
              </w:trPr>
              <w:tc>
                <w:tcPr>
                  <w:tcW w:w="750" w:type="dxa"/>
                  <w:noWrap w:val="0"/>
                  <w:vAlign w:val="center"/>
                </w:tcPr>
                <w:p w14:paraId="3A7F55F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color w:val="auto"/>
                      <w:sz w:val="21"/>
                      <w:szCs w:val="21"/>
                    </w:rPr>
                  </w:pPr>
                  <w:r>
                    <w:rPr>
                      <w:rFonts w:hint="eastAsia"/>
                      <w:color w:val="auto"/>
                      <w:sz w:val="21"/>
                      <w:szCs w:val="21"/>
                    </w:rPr>
                    <w:t>1</w:t>
                  </w:r>
                </w:p>
              </w:tc>
              <w:tc>
                <w:tcPr>
                  <w:tcW w:w="1540" w:type="dxa"/>
                  <w:noWrap w:val="0"/>
                  <w:vAlign w:val="center"/>
                </w:tcPr>
                <w:p w14:paraId="33C7EAB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color w:val="auto"/>
                      <w:sz w:val="21"/>
                      <w:szCs w:val="21"/>
                    </w:rPr>
                  </w:pPr>
                  <w:r>
                    <w:rPr>
                      <w:rFonts w:hint="eastAsia"/>
                      <w:color w:val="auto"/>
                      <w:sz w:val="21"/>
                      <w:szCs w:val="21"/>
                    </w:rPr>
                    <w:t>厂界</w:t>
                  </w:r>
                </w:p>
              </w:tc>
              <w:tc>
                <w:tcPr>
                  <w:tcW w:w="1617" w:type="dxa"/>
                  <w:noWrap w:val="0"/>
                  <w:vAlign w:val="center"/>
                </w:tcPr>
                <w:p w14:paraId="027BF77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rFonts w:hint="default"/>
                      <w:color w:val="auto"/>
                      <w:sz w:val="21"/>
                      <w:szCs w:val="21"/>
                      <w:lang w:val="en-US"/>
                    </w:rPr>
                  </w:pPr>
                  <w:r>
                    <w:rPr>
                      <w:rFonts w:hint="eastAsia"/>
                      <w:color w:val="auto"/>
                      <w:sz w:val="21"/>
                      <w:szCs w:val="21"/>
                      <w:lang w:val="en-US" w:eastAsia="zh-CN"/>
                    </w:rPr>
                    <w:t>裁断、破条</w:t>
                  </w:r>
                </w:p>
              </w:tc>
              <w:tc>
                <w:tcPr>
                  <w:tcW w:w="1119" w:type="dxa"/>
                  <w:noWrap w:val="0"/>
                  <w:vAlign w:val="center"/>
                </w:tcPr>
                <w:p w14:paraId="1FF22D6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rFonts w:hint="eastAsia" w:eastAsia="宋体"/>
                      <w:color w:val="auto"/>
                      <w:sz w:val="21"/>
                      <w:szCs w:val="21"/>
                      <w:lang w:eastAsia="zh-CN"/>
                    </w:rPr>
                  </w:pPr>
                  <w:r>
                    <w:rPr>
                      <w:rFonts w:hint="eastAsia"/>
                      <w:color w:val="auto"/>
                      <w:sz w:val="21"/>
                      <w:szCs w:val="21"/>
                    </w:rPr>
                    <w:t>颗粒物</w:t>
                  </w:r>
                </w:p>
              </w:tc>
              <w:tc>
                <w:tcPr>
                  <w:tcW w:w="2812" w:type="dxa"/>
                  <w:noWrap w:val="0"/>
                  <w:vAlign w:val="center"/>
                </w:tcPr>
                <w:p w14:paraId="69D94B0B">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rFonts w:hint="eastAsia" w:eastAsia="宋体"/>
                      <w:color w:val="auto"/>
                      <w:sz w:val="21"/>
                      <w:szCs w:val="21"/>
                      <w:lang w:eastAsia="zh-CN"/>
                    </w:rPr>
                  </w:pPr>
                  <w:r>
                    <w:rPr>
                      <w:rFonts w:hint="eastAsia"/>
                      <w:color w:val="auto"/>
                      <w:sz w:val="21"/>
                      <w:szCs w:val="21"/>
                    </w:rPr>
                    <w:t>车间</w:t>
                  </w:r>
                  <w:r>
                    <w:rPr>
                      <w:rFonts w:hint="eastAsia"/>
                      <w:color w:val="auto"/>
                      <w:sz w:val="21"/>
                      <w:szCs w:val="21"/>
                      <w:lang w:val="en-US" w:eastAsia="zh-CN"/>
                    </w:rPr>
                    <w:t>封闭防护</w:t>
                  </w:r>
                  <w:r>
                    <w:rPr>
                      <w:rFonts w:hint="eastAsia"/>
                      <w:color w:val="auto"/>
                      <w:sz w:val="21"/>
                      <w:szCs w:val="21"/>
                    </w:rPr>
                    <w:t>，减少无组织排放，地面定期</w:t>
                  </w:r>
                  <w:r>
                    <w:rPr>
                      <w:rFonts w:hint="eastAsia"/>
                      <w:color w:val="auto"/>
                      <w:sz w:val="21"/>
                      <w:szCs w:val="21"/>
                      <w:lang w:eastAsia="zh-CN"/>
                    </w:rPr>
                    <w:t>清扫</w:t>
                  </w:r>
                </w:p>
              </w:tc>
              <w:tc>
                <w:tcPr>
                  <w:tcW w:w="2347" w:type="dxa"/>
                  <w:noWrap w:val="0"/>
                  <w:vAlign w:val="center"/>
                </w:tcPr>
                <w:p w14:paraId="5B1D1318">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color w:val="auto"/>
                      <w:sz w:val="21"/>
                      <w:szCs w:val="21"/>
                    </w:rPr>
                  </w:pPr>
                  <w:r>
                    <w:rPr>
                      <w:rFonts w:hint="default"/>
                      <w:color w:val="auto"/>
                      <w:sz w:val="21"/>
                      <w:szCs w:val="21"/>
                      <w:lang w:val="en-US" w:eastAsia="zh-CN"/>
                    </w:rPr>
                    <w:t>《大气污染物综合排放标准》（GB 16297-1996）</w:t>
                  </w:r>
                </w:p>
              </w:tc>
              <w:tc>
                <w:tcPr>
                  <w:tcW w:w="2001" w:type="dxa"/>
                  <w:noWrap w:val="0"/>
                  <w:vAlign w:val="center"/>
                </w:tcPr>
                <w:p w14:paraId="312B5AE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firstLine="0" w:firstLineChars="0"/>
                    <w:jc w:val="center"/>
                    <w:textAlignment w:val="auto"/>
                    <w:rPr>
                      <w:color w:val="auto"/>
                      <w:sz w:val="21"/>
                      <w:szCs w:val="21"/>
                    </w:rPr>
                  </w:pPr>
                  <w:r>
                    <w:rPr>
                      <w:color w:val="auto"/>
                      <w:sz w:val="21"/>
                      <w:szCs w:val="21"/>
                    </w:rPr>
                    <w:t>1.0</w:t>
                  </w:r>
                </w:p>
              </w:tc>
            </w:tr>
          </w:tbl>
          <w:p w14:paraId="53A5C404">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rightChars="0" w:firstLine="0" w:firstLineChars="0"/>
              <w:jc w:val="center"/>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 xml:space="preserve"> </w:t>
            </w:r>
            <w:r>
              <w:rPr>
                <w:rFonts w:ascii="Times New Roman" w:hAnsi="Times New Roman" w:eastAsia="宋体" w:cs="Times New Roman"/>
                <w:b/>
                <w:color w:val="auto"/>
                <w:sz w:val="24"/>
                <w:szCs w:val="24"/>
              </w:rPr>
              <w:t>大气污染物有组织排放量核算表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196"/>
              <w:gridCol w:w="1445"/>
              <w:gridCol w:w="2663"/>
              <w:gridCol w:w="2200"/>
              <w:gridCol w:w="2979"/>
            </w:tblGrid>
            <w:tr w14:paraId="4B6A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noWrap w:val="0"/>
                  <w:vAlign w:val="center"/>
                </w:tcPr>
                <w:p w14:paraId="73036187">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901" w:type="pct"/>
                  <w:noWrap w:val="0"/>
                  <w:vAlign w:val="center"/>
                </w:tcPr>
                <w:p w14:paraId="5CE78621">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排放口编号</w:t>
                  </w:r>
                </w:p>
              </w:tc>
              <w:tc>
                <w:tcPr>
                  <w:tcW w:w="593" w:type="pct"/>
                  <w:noWrap w:val="0"/>
                  <w:vAlign w:val="center"/>
                </w:tcPr>
                <w:p w14:paraId="69DCB3B6">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污染物</w:t>
                  </w:r>
                </w:p>
              </w:tc>
              <w:tc>
                <w:tcPr>
                  <w:tcW w:w="1093" w:type="pct"/>
                  <w:noWrap w:val="0"/>
                  <w:vAlign w:val="center"/>
                </w:tcPr>
                <w:p w14:paraId="4E013615">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核算排放浓度（mg/m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c>
                <w:tcPr>
                  <w:tcW w:w="903" w:type="pct"/>
                  <w:noWrap w:val="0"/>
                  <w:vAlign w:val="center"/>
                </w:tcPr>
                <w:p w14:paraId="71CABE84">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核算排放速率（kg/h）</w:t>
                  </w:r>
                </w:p>
              </w:tc>
              <w:tc>
                <w:tcPr>
                  <w:tcW w:w="1222" w:type="pct"/>
                  <w:noWrap w:val="0"/>
                  <w:vAlign w:val="center"/>
                </w:tcPr>
                <w:p w14:paraId="30F05B5F">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核算年排放量（t/a）</w:t>
                  </w:r>
                </w:p>
              </w:tc>
            </w:tr>
            <w:tr w14:paraId="2B07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noWrap w:val="0"/>
                  <w:vAlign w:val="center"/>
                </w:tcPr>
                <w:p w14:paraId="27CCB0FF">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一般排放口</w:t>
                  </w:r>
                </w:p>
              </w:tc>
            </w:tr>
            <w:tr w14:paraId="781A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vMerge w:val="restart"/>
                  <w:noWrap w:val="0"/>
                  <w:vAlign w:val="center"/>
                </w:tcPr>
                <w:p w14:paraId="59AE33FA">
                  <w:pPr>
                    <w:keepNext w:val="0"/>
                    <w:keepLines w:val="0"/>
                    <w:pageBreakBefore w:val="0"/>
                    <w:kinsoku/>
                    <w:wordWrap/>
                    <w:overflowPunct/>
                    <w:autoSpaceDE/>
                    <w:autoSpaceDN/>
                    <w:bidi w:val="0"/>
                    <w:adjustRightInd/>
                    <w:snapToGrid/>
                    <w:ind w:left="0" w:leftChars="0" w:right="0" w:right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901" w:type="pct"/>
                  <w:vMerge w:val="restart"/>
                  <w:noWrap w:val="0"/>
                  <w:vAlign w:val="center"/>
                </w:tcPr>
                <w:p w14:paraId="1EEDE32A">
                  <w:pPr>
                    <w:keepNext w:val="0"/>
                    <w:keepLines w:val="0"/>
                    <w:pageBreakBefore w:val="0"/>
                    <w:kinsoku/>
                    <w:wordWrap/>
                    <w:overflowPunct/>
                    <w:autoSpaceDE/>
                    <w:autoSpaceDN/>
                    <w:bidi w:val="0"/>
                    <w:adjustRightInd/>
                    <w:snapToGrid/>
                    <w:ind w:left="0" w:leftChars="0" w:right="0" w:right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DA001生物质锅炉燃烧废气排气筒</w:t>
                  </w:r>
                </w:p>
              </w:tc>
              <w:tc>
                <w:tcPr>
                  <w:tcW w:w="593" w:type="pct"/>
                  <w:noWrap w:val="0"/>
                  <w:vAlign w:val="center"/>
                </w:tcPr>
                <w:p w14:paraId="2D202215">
                  <w:pPr>
                    <w:keepNext w:val="0"/>
                    <w:keepLines w:val="0"/>
                    <w:pageBreakBefore w:val="0"/>
                    <w:widowControl/>
                    <w:kinsoku/>
                    <w:wordWrap/>
                    <w:overflowPunct/>
                    <w:autoSpaceDE/>
                    <w:autoSpaceDN/>
                    <w:bidi w:val="0"/>
                    <w:adjustRightInd/>
                    <w:snapToGrid/>
                    <w:ind w:left="0" w:leftChars="0" w:right="0" w:right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颗粒物</w:t>
                  </w:r>
                </w:p>
              </w:tc>
              <w:tc>
                <w:tcPr>
                  <w:tcW w:w="2663" w:type="dxa"/>
                  <w:noWrap w:val="0"/>
                  <w:vAlign w:val="center"/>
                </w:tcPr>
                <w:p w14:paraId="11DA61D9">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0.71 </w:t>
                  </w:r>
                </w:p>
              </w:tc>
              <w:tc>
                <w:tcPr>
                  <w:tcW w:w="2200" w:type="dxa"/>
                  <w:noWrap w:val="0"/>
                  <w:vAlign w:val="center"/>
                </w:tcPr>
                <w:p w14:paraId="4EE8EA28">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0.0035 </w:t>
                  </w:r>
                </w:p>
              </w:tc>
              <w:tc>
                <w:tcPr>
                  <w:tcW w:w="2979" w:type="dxa"/>
                  <w:noWrap w:val="0"/>
                  <w:vAlign w:val="center"/>
                </w:tcPr>
                <w:p w14:paraId="4E4EA649">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w:t>
                  </w:r>
                  <w:r>
                    <w:rPr>
                      <w:rFonts w:hint="eastAsia" w:cs="Times New Roman"/>
                      <w:color w:val="auto"/>
                      <w:sz w:val="21"/>
                      <w:szCs w:val="21"/>
                      <w:lang w:val="en-US" w:eastAsia="zh-CN"/>
                    </w:rPr>
                    <w:t>1</w:t>
                  </w:r>
                </w:p>
              </w:tc>
            </w:tr>
            <w:tr w14:paraId="4E49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vMerge w:val="continue"/>
                  <w:noWrap w:val="0"/>
                  <w:vAlign w:val="center"/>
                </w:tcPr>
                <w:p w14:paraId="06BD0624">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color w:val="auto"/>
                      <w:sz w:val="21"/>
                      <w:szCs w:val="21"/>
                      <w:highlight w:val="none"/>
                      <w:lang w:val="en-US" w:eastAsia="zh-CN"/>
                    </w:rPr>
                  </w:pPr>
                </w:p>
              </w:tc>
              <w:tc>
                <w:tcPr>
                  <w:tcW w:w="901" w:type="pct"/>
                  <w:vMerge w:val="continue"/>
                  <w:noWrap w:val="0"/>
                  <w:vAlign w:val="center"/>
                </w:tcPr>
                <w:p w14:paraId="3CA571E1">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color w:val="auto"/>
                      <w:sz w:val="21"/>
                      <w:szCs w:val="21"/>
                      <w:highlight w:val="none"/>
                      <w:lang w:val="en-US" w:eastAsia="zh-CN"/>
                    </w:rPr>
                  </w:pPr>
                </w:p>
              </w:tc>
              <w:tc>
                <w:tcPr>
                  <w:tcW w:w="593" w:type="pct"/>
                  <w:noWrap w:val="0"/>
                  <w:vAlign w:val="center"/>
                </w:tcPr>
                <w:p w14:paraId="5625253F">
                  <w:pPr>
                    <w:keepNext w:val="0"/>
                    <w:keepLines w:val="0"/>
                    <w:pageBreakBefore w:val="0"/>
                    <w:widowControl/>
                    <w:kinsoku/>
                    <w:wordWrap/>
                    <w:overflowPunct/>
                    <w:autoSpaceDE/>
                    <w:autoSpaceDN/>
                    <w:bidi w:val="0"/>
                    <w:adjustRightInd/>
                    <w:snapToGrid/>
                    <w:ind w:left="0" w:leftChars="0" w:right="0" w:right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SO</w:t>
                  </w:r>
                  <w:r>
                    <w:rPr>
                      <w:rFonts w:hint="eastAsia" w:ascii="Times New Roman" w:hAnsi="Times New Roman"/>
                      <w:color w:val="auto"/>
                      <w:sz w:val="21"/>
                      <w:szCs w:val="21"/>
                      <w:highlight w:val="none"/>
                      <w:vertAlign w:val="subscript"/>
                      <w:lang w:val="en-US" w:eastAsia="zh-CN"/>
                    </w:rPr>
                    <w:t>2</w:t>
                  </w:r>
                </w:p>
              </w:tc>
              <w:tc>
                <w:tcPr>
                  <w:tcW w:w="2663" w:type="dxa"/>
                  <w:noWrap w:val="0"/>
                  <w:vAlign w:val="center"/>
                </w:tcPr>
                <w:p w14:paraId="708D367A">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14.49 </w:t>
                  </w:r>
                </w:p>
              </w:tc>
              <w:tc>
                <w:tcPr>
                  <w:tcW w:w="2200" w:type="dxa"/>
                  <w:noWrap w:val="0"/>
                  <w:vAlign w:val="center"/>
                </w:tcPr>
                <w:p w14:paraId="09D76644">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0.072 </w:t>
                  </w:r>
                </w:p>
              </w:tc>
              <w:tc>
                <w:tcPr>
                  <w:tcW w:w="2979" w:type="dxa"/>
                  <w:noWrap w:val="0"/>
                  <w:vAlign w:val="center"/>
                </w:tcPr>
                <w:p w14:paraId="42F1182F">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w:t>
                  </w:r>
                  <w:r>
                    <w:rPr>
                      <w:rFonts w:hint="eastAsia" w:cs="Times New Roman"/>
                      <w:color w:val="auto"/>
                      <w:sz w:val="21"/>
                      <w:szCs w:val="21"/>
                      <w:lang w:val="en-US" w:eastAsia="zh-CN"/>
                    </w:rPr>
                    <w:t>2</w:t>
                  </w:r>
                </w:p>
              </w:tc>
            </w:tr>
            <w:tr w14:paraId="1B5D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 w:type="pct"/>
                  <w:vMerge w:val="continue"/>
                  <w:noWrap w:val="0"/>
                  <w:vAlign w:val="center"/>
                </w:tcPr>
                <w:p w14:paraId="39584342">
                  <w:pPr>
                    <w:keepNext w:val="0"/>
                    <w:keepLines w:val="0"/>
                    <w:pageBreakBefore w:val="0"/>
                    <w:kinsoku/>
                    <w:wordWrap/>
                    <w:overflowPunct/>
                    <w:autoSpaceDE/>
                    <w:autoSpaceDN/>
                    <w:bidi w:val="0"/>
                    <w:adjustRightInd/>
                    <w:snapToGrid/>
                    <w:ind w:left="0" w:leftChars="0" w:right="0" w:rightChars="0"/>
                    <w:jc w:val="center"/>
                    <w:textAlignment w:val="auto"/>
                    <w:rPr>
                      <w:rFonts w:hint="default" w:ascii="Times New Roman" w:hAnsi="Times New Roman"/>
                      <w:color w:val="auto"/>
                      <w:sz w:val="21"/>
                      <w:szCs w:val="21"/>
                      <w:highlight w:val="none"/>
                      <w:lang w:val="en-US" w:eastAsia="zh-CN"/>
                    </w:rPr>
                  </w:pPr>
                </w:p>
              </w:tc>
              <w:tc>
                <w:tcPr>
                  <w:tcW w:w="901" w:type="pct"/>
                  <w:vMerge w:val="continue"/>
                  <w:noWrap w:val="0"/>
                  <w:vAlign w:val="center"/>
                </w:tcPr>
                <w:p w14:paraId="1FA736DE">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color w:val="auto"/>
                      <w:sz w:val="21"/>
                      <w:szCs w:val="21"/>
                      <w:highlight w:val="none"/>
                      <w:lang w:val="en-US" w:eastAsia="zh-CN"/>
                    </w:rPr>
                  </w:pPr>
                </w:p>
              </w:tc>
              <w:tc>
                <w:tcPr>
                  <w:tcW w:w="593" w:type="pct"/>
                  <w:noWrap w:val="0"/>
                  <w:vAlign w:val="center"/>
                </w:tcPr>
                <w:p w14:paraId="7EB774E7">
                  <w:pPr>
                    <w:keepNext w:val="0"/>
                    <w:keepLines w:val="0"/>
                    <w:pageBreakBefore w:val="0"/>
                    <w:widowControl/>
                    <w:kinsoku/>
                    <w:wordWrap/>
                    <w:overflowPunct/>
                    <w:autoSpaceDE/>
                    <w:autoSpaceDN/>
                    <w:bidi w:val="0"/>
                    <w:adjustRightInd/>
                    <w:snapToGrid/>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NOx</w:t>
                  </w:r>
                </w:p>
              </w:tc>
              <w:tc>
                <w:tcPr>
                  <w:tcW w:w="2663" w:type="dxa"/>
                  <w:noWrap w:val="0"/>
                  <w:vAlign w:val="center"/>
                </w:tcPr>
                <w:p w14:paraId="3EADA8AC">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20.28 </w:t>
                  </w:r>
                </w:p>
              </w:tc>
              <w:tc>
                <w:tcPr>
                  <w:tcW w:w="2200" w:type="dxa"/>
                  <w:noWrap w:val="0"/>
                  <w:vAlign w:val="center"/>
                </w:tcPr>
                <w:p w14:paraId="20AF19F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0.101 </w:t>
                  </w:r>
                </w:p>
              </w:tc>
              <w:tc>
                <w:tcPr>
                  <w:tcW w:w="2979" w:type="dxa"/>
                  <w:noWrap w:val="0"/>
                  <w:vAlign w:val="center"/>
                </w:tcPr>
                <w:p w14:paraId="094AE6B3">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0.3</w:t>
                  </w:r>
                  <w:r>
                    <w:rPr>
                      <w:rFonts w:hint="eastAsia" w:cs="Times New Roman"/>
                      <w:color w:val="auto"/>
                      <w:sz w:val="21"/>
                      <w:szCs w:val="21"/>
                      <w:lang w:val="en-US" w:eastAsia="zh-CN"/>
                    </w:rPr>
                    <w:t>1</w:t>
                  </w:r>
                </w:p>
              </w:tc>
            </w:tr>
            <w:tr w14:paraId="7549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noWrap w:val="0"/>
                  <w:vAlign w:val="center"/>
                </w:tcPr>
                <w:p w14:paraId="48668D28">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有组织排放总计</w:t>
                  </w:r>
                </w:p>
              </w:tc>
            </w:tr>
            <w:tr w14:paraId="577F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187" w:type="pct"/>
                  <w:gridSpan w:val="2"/>
                  <w:vMerge w:val="restart"/>
                  <w:noWrap w:val="0"/>
                  <w:vAlign w:val="center"/>
                </w:tcPr>
                <w:p w14:paraId="704EBCCF">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有组织排放总计</w:t>
                  </w:r>
                </w:p>
              </w:tc>
              <w:tc>
                <w:tcPr>
                  <w:tcW w:w="2589" w:type="pct"/>
                  <w:gridSpan w:val="3"/>
                  <w:noWrap w:val="0"/>
                  <w:vAlign w:val="center"/>
                </w:tcPr>
                <w:p w14:paraId="3A4B7D3A">
                  <w:pPr>
                    <w:keepNext w:val="0"/>
                    <w:keepLines w:val="0"/>
                    <w:pageBreakBefore w:val="0"/>
                    <w:widowControl/>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颗粒物</w:t>
                  </w:r>
                </w:p>
              </w:tc>
              <w:tc>
                <w:tcPr>
                  <w:tcW w:w="2979" w:type="dxa"/>
                  <w:noWrap w:val="0"/>
                  <w:vAlign w:val="center"/>
                </w:tcPr>
                <w:p w14:paraId="6580A554">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0.01</w:t>
                  </w:r>
                  <w:r>
                    <w:rPr>
                      <w:rFonts w:hint="eastAsia" w:cs="Times New Roman"/>
                      <w:color w:val="auto"/>
                      <w:sz w:val="21"/>
                      <w:szCs w:val="21"/>
                      <w:lang w:val="en-US" w:eastAsia="zh-CN"/>
                    </w:rPr>
                    <w:t>1</w:t>
                  </w:r>
                </w:p>
              </w:tc>
            </w:tr>
            <w:tr w14:paraId="25D9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7" w:type="pct"/>
                  <w:gridSpan w:val="2"/>
                  <w:vMerge w:val="continue"/>
                  <w:noWrap w:val="0"/>
                  <w:vAlign w:val="center"/>
                </w:tcPr>
                <w:p w14:paraId="4AE909D1">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p>
              </w:tc>
              <w:tc>
                <w:tcPr>
                  <w:tcW w:w="2589" w:type="pct"/>
                  <w:gridSpan w:val="3"/>
                  <w:noWrap w:val="0"/>
                  <w:vAlign w:val="center"/>
                </w:tcPr>
                <w:p w14:paraId="129B93B4">
                  <w:pPr>
                    <w:keepNext w:val="0"/>
                    <w:keepLines w:val="0"/>
                    <w:pageBreakBefore w:val="0"/>
                    <w:widowControl/>
                    <w:kinsoku/>
                    <w:wordWrap/>
                    <w:overflowPunct/>
                    <w:autoSpaceDE/>
                    <w:autoSpaceDN/>
                    <w:bidi w:val="0"/>
                    <w:adjustRightInd/>
                    <w:snapToGrid/>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SO</w:t>
                  </w:r>
                  <w:r>
                    <w:rPr>
                      <w:rFonts w:hint="eastAsia" w:ascii="Times New Roman" w:hAnsi="Times New Roman"/>
                      <w:color w:val="auto"/>
                      <w:sz w:val="21"/>
                      <w:szCs w:val="21"/>
                      <w:highlight w:val="none"/>
                      <w:vertAlign w:val="subscript"/>
                      <w:lang w:val="en-US" w:eastAsia="zh-CN"/>
                    </w:rPr>
                    <w:t>2</w:t>
                  </w:r>
                </w:p>
              </w:tc>
              <w:tc>
                <w:tcPr>
                  <w:tcW w:w="2979" w:type="dxa"/>
                  <w:noWrap w:val="0"/>
                  <w:vAlign w:val="center"/>
                </w:tcPr>
                <w:p w14:paraId="57CBBE8B">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0.2</w:t>
                  </w:r>
                  <w:r>
                    <w:rPr>
                      <w:rFonts w:hint="eastAsia" w:cs="Times New Roman"/>
                      <w:color w:val="auto"/>
                      <w:sz w:val="21"/>
                      <w:szCs w:val="21"/>
                      <w:lang w:val="en-US" w:eastAsia="zh-CN"/>
                    </w:rPr>
                    <w:t>2</w:t>
                  </w:r>
                </w:p>
              </w:tc>
            </w:tr>
            <w:tr w14:paraId="6242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7" w:type="pct"/>
                  <w:gridSpan w:val="2"/>
                  <w:vMerge w:val="continue"/>
                  <w:noWrap w:val="0"/>
                  <w:vAlign w:val="center"/>
                </w:tcPr>
                <w:p w14:paraId="4BC622E0">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p>
              </w:tc>
              <w:tc>
                <w:tcPr>
                  <w:tcW w:w="2589" w:type="pct"/>
                  <w:gridSpan w:val="3"/>
                  <w:noWrap w:val="0"/>
                  <w:vAlign w:val="center"/>
                </w:tcPr>
                <w:p w14:paraId="1275A3B2">
                  <w:pPr>
                    <w:keepNext w:val="0"/>
                    <w:keepLines w:val="0"/>
                    <w:pageBreakBefore w:val="0"/>
                    <w:widowControl/>
                    <w:kinsoku/>
                    <w:wordWrap/>
                    <w:overflowPunct/>
                    <w:autoSpaceDE/>
                    <w:autoSpaceDN/>
                    <w:bidi w:val="0"/>
                    <w:adjustRightInd/>
                    <w:snapToGrid/>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NOx</w:t>
                  </w:r>
                </w:p>
              </w:tc>
              <w:tc>
                <w:tcPr>
                  <w:tcW w:w="2979" w:type="dxa"/>
                  <w:noWrap w:val="0"/>
                  <w:vAlign w:val="center"/>
                </w:tcPr>
                <w:p w14:paraId="6C5DB66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0.3</w:t>
                  </w:r>
                  <w:r>
                    <w:rPr>
                      <w:rFonts w:hint="eastAsia" w:cs="Times New Roman"/>
                      <w:color w:val="auto"/>
                      <w:sz w:val="21"/>
                      <w:szCs w:val="21"/>
                      <w:lang w:val="en-US" w:eastAsia="zh-CN"/>
                    </w:rPr>
                    <w:t>1</w:t>
                  </w:r>
                </w:p>
              </w:tc>
            </w:tr>
          </w:tbl>
          <w:p w14:paraId="1D87A973">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rightChars="0" w:firstLine="482" w:firstLineChars="200"/>
              <w:jc w:val="center"/>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br w:type="page"/>
            </w:r>
            <w:r>
              <w:rPr>
                <w:rFonts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w:t>
            </w:r>
            <w:r>
              <w:rPr>
                <w:rFonts w:hint="eastAsia"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lang w:val="en-US" w:eastAsia="zh-CN"/>
              </w:rPr>
              <w:t xml:space="preserve"> </w:t>
            </w:r>
            <w:r>
              <w:rPr>
                <w:rFonts w:ascii="Times New Roman" w:hAnsi="Times New Roman" w:eastAsia="宋体" w:cs="Times New Roman"/>
                <w:b/>
                <w:color w:val="auto"/>
                <w:sz w:val="24"/>
                <w:szCs w:val="24"/>
              </w:rPr>
              <w:t>大气污染物无组织排放量核算表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2"/>
              <w:gridCol w:w="814"/>
              <w:gridCol w:w="851"/>
              <w:gridCol w:w="868"/>
              <w:gridCol w:w="4840"/>
              <w:gridCol w:w="2050"/>
              <w:gridCol w:w="1192"/>
              <w:gridCol w:w="1019"/>
            </w:tblGrid>
            <w:tr w14:paraId="11E6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vMerge w:val="restart"/>
                  <w:noWrap w:val="0"/>
                  <w:vAlign w:val="center"/>
                </w:tcPr>
                <w:p w14:paraId="6E6C5F49">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333" w:type="pct"/>
                  <w:vMerge w:val="restart"/>
                  <w:noWrap w:val="0"/>
                  <w:vAlign w:val="center"/>
                </w:tcPr>
                <w:p w14:paraId="27275A2D">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排放口</w:t>
                  </w:r>
                </w:p>
                <w:p w14:paraId="2D87DB0D">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编号</w:t>
                  </w:r>
                </w:p>
              </w:tc>
              <w:tc>
                <w:tcPr>
                  <w:tcW w:w="349" w:type="pct"/>
                  <w:vMerge w:val="restart"/>
                  <w:noWrap w:val="0"/>
                  <w:vAlign w:val="center"/>
                </w:tcPr>
                <w:p w14:paraId="19BD3EE7">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产污</w:t>
                  </w:r>
                </w:p>
                <w:p w14:paraId="0A87112D">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环节</w:t>
                  </w:r>
                </w:p>
              </w:tc>
              <w:tc>
                <w:tcPr>
                  <w:tcW w:w="356" w:type="pct"/>
                  <w:vMerge w:val="restart"/>
                  <w:noWrap w:val="0"/>
                  <w:vAlign w:val="center"/>
                </w:tcPr>
                <w:p w14:paraId="1CC50634">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污染物</w:t>
                  </w:r>
                </w:p>
              </w:tc>
              <w:tc>
                <w:tcPr>
                  <w:tcW w:w="1985" w:type="pct"/>
                  <w:vMerge w:val="restart"/>
                  <w:noWrap w:val="0"/>
                  <w:vAlign w:val="center"/>
                </w:tcPr>
                <w:p w14:paraId="78FB290A">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主要污染防治措施</w:t>
                  </w:r>
                </w:p>
              </w:tc>
              <w:tc>
                <w:tcPr>
                  <w:tcW w:w="1330" w:type="pct"/>
                  <w:gridSpan w:val="2"/>
                  <w:noWrap w:val="0"/>
                  <w:vAlign w:val="center"/>
                </w:tcPr>
                <w:p w14:paraId="00DC2F5C">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国家或地方污染物排放标准</w:t>
                  </w:r>
                </w:p>
              </w:tc>
              <w:tc>
                <w:tcPr>
                  <w:tcW w:w="418" w:type="pct"/>
                  <w:vMerge w:val="restart"/>
                  <w:noWrap w:val="0"/>
                  <w:vAlign w:val="center"/>
                </w:tcPr>
                <w:p w14:paraId="24B27D9E">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年排放量（t/a）</w:t>
                  </w:r>
                </w:p>
              </w:tc>
            </w:tr>
            <w:tr w14:paraId="7477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vMerge w:val="continue"/>
                  <w:noWrap w:val="0"/>
                  <w:vAlign w:val="center"/>
                </w:tcPr>
                <w:p w14:paraId="59215CB7">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p>
              </w:tc>
              <w:tc>
                <w:tcPr>
                  <w:tcW w:w="333" w:type="pct"/>
                  <w:vMerge w:val="continue"/>
                  <w:noWrap w:val="0"/>
                  <w:vAlign w:val="center"/>
                </w:tcPr>
                <w:p w14:paraId="3237983D">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p>
              </w:tc>
              <w:tc>
                <w:tcPr>
                  <w:tcW w:w="349" w:type="pct"/>
                  <w:vMerge w:val="continue"/>
                  <w:noWrap w:val="0"/>
                  <w:vAlign w:val="center"/>
                </w:tcPr>
                <w:p w14:paraId="226B265F">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p>
              </w:tc>
              <w:tc>
                <w:tcPr>
                  <w:tcW w:w="356" w:type="pct"/>
                  <w:vMerge w:val="continue"/>
                  <w:noWrap w:val="0"/>
                  <w:vAlign w:val="center"/>
                </w:tcPr>
                <w:p w14:paraId="1BDDBAC0">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p>
              </w:tc>
              <w:tc>
                <w:tcPr>
                  <w:tcW w:w="1985" w:type="pct"/>
                  <w:vMerge w:val="continue"/>
                  <w:noWrap w:val="0"/>
                  <w:vAlign w:val="center"/>
                </w:tcPr>
                <w:p w14:paraId="40AEB5AE">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p>
              </w:tc>
              <w:tc>
                <w:tcPr>
                  <w:tcW w:w="841" w:type="pct"/>
                  <w:noWrap w:val="0"/>
                  <w:vAlign w:val="center"/>
                </w:tcPr>
                <w:p w14:paraId="03C8B549">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标准名称</w:t>
                  </w:r>
                </w:p>
              </w:tc>
              <w:tc>
                <w:tcPr>
                  <w:tcW w:w="489" w:type="pct"/>
                  <w:noWrap w:val="0"/>
                  <w:vAlign w:val="center"/>
                </w:tcPr>
                <w:p w14:paraId="43FA8844">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浓度限值（mg/m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c>
                <w:tcPr>
                  <w:tcW w:w="418" w:type="pct"/>
                  <w:vMerge w:val="continue"/>
                  <w:noWrap w:val="0"/>
                  <w:vAlign w:val="center"/>
                </w:tcPr>
                <w:p w14:paraId="4A7E2FBB">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p>
              </w:tc>
            </w:tr>
            <w:tr w14:paraId="4E68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noWrap w:val="0"/>
                  <w:vAlign w:val="center"/>
                </w:tcPr>
                <w:p w14:paraId="33202814">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333" w:type="pct"/>
                  <w:noWrap w:val="0"/>
                  <w:vAlign w:val="center"/>
                </w:tcPr>
                <w:p w14:paraId="2A937E17">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无组织废气</w:t>
                  </w:r>
                </w:p>
              </w:tc>
              <w:tc>
                <w:tcPr>
                  <w:tcW w:w="349" w:type="pct"/>
                  <w:noWrap w:val="0"/>
                  <w:vAlign w:val="center"/>
                </w:tcPr>
                <w:p w14:paraId="6CAE19D7">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厂区</w:t>
                  </w:r>
                </w:p>
              </w:tc>
              <w:tc>
                <w:tcPr>
                  <w:tcW w:w="356" w:type="pct"/>
                  <w:noWrap w:val="0"/>
                  <w:vAlign w:val="center"/>
                </w:tcPr>
                <w:p w14:paraId="02673680">
                  <w:pPr>
                    <w:keepNext w:val="0"/>
                    <w:keepLines w:val="0"/>
                    <w:pageBreakBefore w:val="0"/>
                    <w:widowControl/>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颗粒物</w:t>
                  </w:r>
                </w:p>
              </w:tc>
              <w:tc>
                <w:tcPr>
                  <w:tcW w:w="1985" w:type="pct"/>
                  <w:noWrap w:val="0"/>
                  <w:vAlign w:val="center"/>
                </w:tcPr>
                <w:p w14:paraId="02C9CE34">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hint="eastAsia"/>
                      <w:color w:val="auto"/>
                      <w:sz w:val="21"/>
                      <w:szCs w:val="21"/>
                    </w:rPr>
                    <w:t>车间</w:t>
                  </w:r>
                  <w:r>
                    <w:rPr>
                      <w:rFonts w:hint="eastAsia"/>
                      <w:color w:val="auto"/>
                      <w:sz w:val="21"/>
                      <w:szCs w:val="21"/>
                      <w:lang w:val="en-US" w:eastAsia="zh-CN"/>
                    </w:rPr>
                    <w:t>封闭防护</w:t>
                  </w:r>
                  <w:r>
                    <w:rPr>
                      <w:rFonts w:hint="eastAsia"/>
                      <w:color w:val="auto"/>
                      <w:sz w:val="21"/>
                      <w:szCs w:val="21"/>
                    </w:rPr>
                    <w:t>，减少无组织排放，地面定期</w:t>
                  </w:r>
                  <w:r>
                    <w:rPr>
                      <w:rFonts w:hint="eastAsia"/>
                      <w:color w:val="auto"/>
                      <w:sz w:val="21"/>
                      <w:szCs w:val="21"/>
                      <w:lang w:eastAsia="zh-CN"/>
                    </w:rPr>
                    <w:t>清扫</w:t>
                  </w:r>
                </w:p>
              </w:tc>
              <w:tc>
                <w:tcPr>
                  <w:tcW w:w="841" w:type="pct"/>
                  <w:noWrap w:val="0"/>
                  <w:vAlign w:val="center"/>
                </w:tcPr>
                <w:p w14:paraId="3E97997A">
                  <w:pPr>
                    <w:keepNext w:val="0"/>
                    <w:keepLines w:val="0"/>
                    <w:pageBreakBefore w:val="0"/>
                    <w:widowControl/>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hint="default"/>
                      <w:color w:val="auto"/>
                      <w:sz w:val="21"/>
                      <w:szCs w:val="21"/>
                      <w:lang w:val="en-US" w:eastAsia="zh-CN"/>
                    </w:rPr>
                    <w:t>GB 16297-1996</w:t>
                  </w:r>
                </w:p>
              </w:tc>
              <w:tc>
                <w:tcPr>
                  <w:tcW w:w="489" w:type="pct"/>
                  <w:noWrap w:val="0"/>
                  <w:vAlign w:val="center"/>
                </w:tcPr>
                <w:p w14:paraId="3E7A432A">
                  <w:pPr>
                    <w:keepNext w:val="0"/>
                    <w:keepLines w:val="0"/>
                    <w:pageBreakBefore w:val="0"/>
                    <w:widowControl/>
                    <w:kinsoku/>
                    <w:wordWrap/>
                    <w:overflowPunct/>
                    <w:autoSpaceDE/>
                    <w:autoSpaceDN/>
                    <w:bidi w:val="0"/>
                    <w:adjustRightInd/>
                    <w:snapToGrid/>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w:t>
                  </w:r>
                </w:p>
              </w:tc>
              <w:tc>
                <w:tcPr>
                  <w:tcW w:w="418" w:type="pct"/>
                  <w:noWrap w:val="0"/>
                  <w:vAlign w:val="center"/>
                </w:tcPr>
                <w:p w14:paraId="0FC76E2D">
                  <w:pPr>
                    <w:keepNext w:val="0"/>
                    <w:keepLines w:val="0"/>
                    <w:pageBreakBefore w:val="0"/>
                    <w:widowControl/>
                    <w:kinsoku/>
                    <w:wordWrap/>
                    <w:overflowPunct/>
                    <w:autoSpaceDE/>
                    <w:autoSpaceDN/>
                    <w:bidi w:val="0"/>
                    <w:adjustRightInd/>
                    <w:snapToGrid/>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0.734</w:t>
                  </w:r>
                </w:p>
              </w:tc>
            </w:tr>
            <w:tr w14:paraId="612A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noWrap w:val="0"/>
                  <w:vAlign w:val="center"/>
                </w:tcPr>
                <w:p w14:paraId="1C8AE0B2">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无组织排放总计</w:t>
                  </w:r>
                </w:p>
              </w:tc>
            </w:tr>
            <w:tr w14:paraId="3648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5" w:type="pct"/>
                  <w:gridSpan w:val="4"/>
                  <w:noWrap w:val="0"/>
                  <w:vAlign w:val="center"/>
                </w:tcPr>
                <w:p w14:paraId="011A0586">
                  <w:pPr>
                    <w:keepNext w:val="0"/>
                    <w:keepLines w:val="0"/>
                    <w:pageBreakBefore w:val="0"/>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无组织排放统计</w:t>
                  </w:r>
                </w:p>
              </w:tc>
              <w:tc>
                <w:tcPr>
                  <w:tcW w:w="2827" w:type="pct"/>
                  <w:gridSpan w:val="2"/>
                  <w:noWrap w:val="0"/>
                  <w:vAlign w:val="center"/>
                </w:tcPr>
                <w:p w14:paraId="52C7FF27">
                  <w:pPr>
                    <w:keepNext w:val="0"/>
                    <w:keepLines w:val="0"/>
                    <w:pageBreakBefore w:val="0"/>
                    <w:widowControl/>
                    <w:kinsoku/>
                    <w:wordWrap/>
                    <w:overflowPunct/>
                    <w:autoSpaceDE/>
                    <w:autoSpaceDN/>
                    <w:bidi w:val="0"/>
                    <w:adjustRightInd/>
                    <w:snapToGrid/>
                    <w:ind w:left="0" w:leftChars="0" w:right="0" w:right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颗粒物</w:t>
                  </w:r>
                </w:p>
              </w:tc>
              <w:tc>
                <w:tcPr>
                  <w:tcW w:w="907" w:type="pct"/>
                  <w:gridSpan w:val="2"/>
                  <w:noWrap w:val="0"/>
                  <w:vAlign w:val="center"/>
                </w:tcPr>
                <w:p w14:paraId="43BF28F4">
                  <w:pPr>
                    <w:keepNext w:val="0"/>
                    <w:keepLines w:val="0"/>
                    <w:pageBreakBefore w:val="0"/>
                    <w:kinsoku/>
                    <w:wordWrap/>
                    <w:overflowPunct/>
                    <w:autoSpaceDE/>
                    <w:autoSpaceDN/>
                    <w:bidi w:val="0"/>
                    <w:adjustRightInd/>
                    <w:snapToGrid/>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0.734</w:t>
                  </w:r>
                </w:p>
              </w:tc>
            </w:tr>
          </w:tbl>
          <w:p w14:paraId="4D5C5B72">
            <w:pPr>
              <w:keepNext w:val="0"/>
              <w:keepLines w:val="0"/>
              <w:pageBreakBefore w:val="0"/>
              <w:kinsoku/>
              <w:wordWrap/>
              <w:overflowPunct/>
              <w:autoSpaceDE/>
              <w:autoSpaceDN/>
              <w:bidi w:val="0"/>
              <w:adjustRightInd/>
              <w:snapToGrid/>
              <w:spacing w:line="360" w:lineRule="auto"/>
              <w:ind w:left="0" w:leftChars="0" w:right="0" w:righ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大气污染物年排放量核算见表</w:t>
            </w:r>
            <w:r>
              <w:rPr>
                <w:rFonts w:hint="eastAsia" w:ascii="Times New Roman" w:hAnsi="Times New Roman"/>
                <w:color w:val="auto"/>
                <w:sz w:val="24"/>
                <w:szCs w:val="24"/>
                <w:highlight w:val="none"/>
                <w:lang w:val="en-US" w:eastAsia="zh-CN"/>
              </w:rPr>
              <w:t>4-6</w:t>
            </w:r>
            <w:r>
              <w:rPr>
                <w:rFonts w:ascii="Times New Roman" w:hAnsi="Times New Roman"/>
                <w:color w:val="auto"/>
                <w:sz w:val="24"/>
                <w:szCs w:val="24"/>
                <w:highlight w:val="none"/>
              </w:rPr>
              <w:t>。</w:t>
            </w:r>
          </w:p>
          <w:p w14:paraId="1A79FF56">
            <w:pPr>
              <w:keepNext w:val="0"/>
              <w:keepLines w:val="0"/>
              <w:pageBreakBefore w:val="0"/>
              <w:kinsoku/>
              <w:wordWrap/>
              <w:overflowPunct/>
              <w:autoSpaceDE/>
              <w:autoSpaceDN/>
              <w:bidi w:val="0"/>
              <w:adjustRightInd/>
              <w:snapToGrid/>
              <w:spacing w:line="240" w:lineRule="auto"/>
              <w:ind w:left="0" w:leftChars="0" w:right="0" w:rightChars="0"/>
              <w:jc w:val="center"/>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表</w:t>
            </w:r>
            <w:r>
              <w:rPr>
                <w:rFonts w:hint="eastAsia" w:ascii="Times New Roman" w:hAnsi="Times New Roman"/>
                <w:b/>
                <w:bCs/>
                <w:color w:val="auto"/>
                <w:sz w:val="24"/>
                <w:szCs w:val="24"/>
                <w:highlight w:val="none"/>
                <w:lang w:val="en-US" w:eastAsia="zh-CN"/>
              </w:rPr>
              <w:t xml:space="preserve">4-6  </w:t>
            </w:r>
            <w:r>
              <w:rPr>
                <w:rFonts w:ascii="Times New Roman" w:hAnsi="Times New Roman"/>
                <w:b/>
                <w:bCs/>
                <w:color w:val="auto"/>
                <w:sz w:val="24"/>
                <w:szCs w:val="24"/>
                <w:highlight w:val="none"/>
              </w:rPr>
              <w:t>大气污染物年排放量核算表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4873"/>
              <w:gridCol w:w="5300"/>
            </w:tblGrid>
            <w:tr w14:paraId="069A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25" w:type="pct"/>
                  <w:noWrap w:val="0"/>
                  <w:vAlign w:val="center"/>
                </w:tcPr>
                <w:p w14:paraId="6BEE8B5C">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eastAsia="Times New Roman" w:cs="Times New Roman"/>
                      <w:b/>
                      <w:bCs/>
                      <w:color w:val="auto"/>
                      <w:kern w:val="2"/>
                      <w:sz w:val="21"/>
                      <w:szCs w:val="21"/>
                      <w:lang w:val="en-US" w:eastAsia="zh-CN" w:bidi="ar-SA"/>
                    </w:rPr>
                  </w:pPr>
                  <w:r>
                    <w:rPr>
                      <w:rFonts w:hint="eastAsia" w:ascii="Times New Roman" w:hAnsi="Times New Roman" w:eastAsia="Times New Roman" w:cs="Times New Roman"/>
                      <w:b/>
                      <w:bCs/>
                      <w:color w:val="auto"/>
                      <w:kern w:val="2"/>
                      <w:sz w:val="21"/>
                      <w:szCs w:val="21"/>
                      <w:lang w:val="en-US" w:eastAsia="zh-CN" w:bidi="ar-SA"/>
                    </w:rPr>
                    <w:t>序号</w:t>
                  </w:r>
                </w:p>
              </w:tc>
              <w:tc>
                <w:tcPr>
                  <w:tcW w:w="1999" w:type="pct"/>
                  <w:noWrap w:val="0"/>
                  <w:vAlign w:val="center"/>
                </w:tcPr>
                <w:p w14:paraId="63ACEB0C">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eastAsia="Times New Roman" w:cs="Times New Roman"/>
                      <w:b/>
                      <w:bCs/>
                      <w:color w:val="auto"/>
                      <w:kern w:val="2"/>
                      <w:sz w:val="21"/>
                      <w:szCs w:val="21"/>
                      <w:lang w:val="en-US" w:eastAsia="zh-CN" w:bidi="ar-SA"/>
                    </w:rPr>
                  </w:pPr>
                  <w:r>
                    <w:rPr>
                      <w:rFonts w:hint="eastAsia" w:ascii="Times New Roman" w:hAnsi="Times New Roman" w:eastAsia="Times New Roman" w:cs="Times New Roman"/>
                      <w:b/>
                      <w:bCs/>
                      <w:color w:val="auto"/>
                      <w:kern w:val="2"/>
                      <w:sz w:val="21"/>
                      <w:szCs w:val="21"/>
                      <w:lang w:val="en-US" w:eastAsia="zh-CN" w:bidi="ar-SA"/>
                    </w:rPr>
                    <w:t>污染物</w:t>
                  </w:r>
                </w:p>
              </w:tc>
              <w:tc>
                <w:tcPr>
                  <w:tcW w:w="2174" w:type="pct"/>
                  <w:noWrap w:val="0"/>
                  <w:vAlign w:val="center"/>
                </w:tcPr>
                <w:p w14:paraId="53C32D04">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eastAsia="Times New Roman" w:cs="Times New Roman"/>
                      <w:b/>
                      <w:bCs/>
                      <w:color w:val="auto"/>
                      <w:kern w:val="2"/>
                      <w:sz w:val="21"/>
                      <w:szCs w:val="21"/>
                      <w:lang w:val="en-US" w:eastAsia="zh-CN" w:bidi="ar-SA"/>
                    </w:rPr>
                  </w:pPr>
                  <w:r>
                    <w:rPr>
                      <w:rFonts w:hint="eastAsia" w:ascii="Times New Roman" w:hAnsi="Times New Roman" w:eastAsia="Times New Roman" w:cs="Times New Roman"/>
                      <w:b/>
                      <w:bCs/>
                      <w:color w:val="auto"/>
                      <w:kern w:val="2"/>
                      <w:sz w:val="21"/>
                      <w:szCs w:val="21"/>
                      <w:lang w:val="en-US" w:eastAsia="zh-CN" w:bidi="ar-SA"/>
                    </w:rPr>
                    <w:t>年排放量（t/a）</w:t>
                  </w:r>
                </w:p>
              </w:tc>
            </w:tr>
            <w:tr w14:paraId="0E32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noWrap w:val="0"/>
                  <w:vAlign w:val="center"/>
                </w:tcPr>
                <w:p w14:paraId="3068682E">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w:t>
                  </w:r>
                </w:p>
              </w:tc>
              <w:tc>
                <w:tcPr>
                  <w:tcW w:w="1999" w:type="pct"/>
                  <w:noWrap w:val="0"/>
                  <w:vAlign w:val="center"/>
                </w:tcPr>
                <w:p w14:paraId="6597AFD1">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颗粒物</w:t>
                  </w:r>
                </w:p>
              </w:tc>
              <w:tc>
                <w:tcPr>
                  <w:tcW w:w="5300" w:type="dxa"/>
                  <w:noWrap w:val="0"/>
                  <w:vAlign w:val="center"/>
                </w:tcPr>
                <w:p w14:paraId="3237B81E">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745</w:t>
                  </w:r>
                </w:p>
              </w:tc>
            </w:tr>
            <w:tr w14:paraId="685C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noWrap w:val="0"/>
                  <w:vAlign w:val="center"/>
                </w:tcPr>
                <w:p w14:paraId="1725CB43">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2</w:t>
                  </w:r>
                </w:p>
              </w:tc>
              <w:tc>
                <w:tcPr>
                  <w:tcW w:w="1999" w:type="pct"/>
                  <w:noWrap w:val="0"/>
                  <w:vAlign w:val="center"/>
                </w:tcPr>
                <w:p w14:paraId="7C199C06">
                  <w:pPr>
                    <w:keepNext w:val="0"/>
                    <w:keepLines w:val="0"/>
                    <w:pageBreakBefore w:val="0"/>
                    <w:kinsoku/>
                    <w:wordWrap/>
                    <w:overflowPunct/>
                    <w:autoSpaceDE/>
                    <w:autoSpaceDN/>
                    <w:bidi w:val="0"/>
                    <w:adjustRightInd/>
                    <w:snapToGrid/>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SO</w:t>
                  </w:r>
                  <w:r>
                    <w:rPr>
                      <w:rFonts w:hint="eastAsia" w:ascii="Times New Roman" w:hAnsi="Times New Roman" w:eastAsia="Times New Roman" w:cs="Times New Roman"/>
                      <w:color w:val="auto"/>
                      <w:kern w:val="2"/>
                      <w:sz w:val="21"/>
                      <w:szCs w:val="21"/>
                      <w:vertAlign w:val="subscript"/>
                      <w:lang w:val="en-US" w:eastAsia="zh-CN" w:bidi="ar-SA"/>
                    </w:rPr>
                    <w:t>2</w:t>
                  </w:r>
                </w:p>
              </w:tc>
              <w:tc>
                <w:tcPr>
                  <w:tcW w:w="5300" w:type="dxa"/>
                  <w:noWrap w:val="0"/>
                  <w:vAlign w:val="center"/>
                </w:tcPr>
                <w:p w14:paraId="47004762">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w:t>
                  </w:r>
                  <w:r>
                    <w:rPr>
                      <w:rFonts w:hint="eastAsia" w:cs="Times New Roman"/>
                      <w:color w:val="auto"/>
                      <w:sz w:val="21"/>
                      <w:szCs w:val="21"/>
                      <w:lang w:val="en-US" w:eastAsia="zh-CN"/>
                    </w:rPr>
                    <w:t>2</w:t>
                  </w:r>
                </w:p>
              </w:tc>
            </w:tr>
            <w:tr w14:paraId="4B2D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noWrap w:val="0"/>
                  <w:vAlign w:val="center"/>
                </w:tcPr>
                <w:p w14:paraId="284EBB02">
                  <w:pPr>
                    <w:keepNext w:val="0"/>
                    <w:keepLines w:val="0"/>
                    <w:pageBreakBefore w:val="0"/>
                    <w:kinsoku/>
                    <w:wordWrap/>
                    <w:overflowPunct/>
                    <w:autoSpaceDE/>
                    <w:autoSpaceDN/>
                    <w:bidi w:val="0"/>
                    <w:adjustRightInd/>
                    <w:snapToGrid/>
                    <w:ind w:left="0" w:leftChars="0" w:right="0" w:right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3</w:t>
                  </w:r>
                </w:p>
              </w:tc>
              <w:tc>
                <w:tcPr>
                  <w:tcW w:w="1999" w:type="pct"/>
                  <w:noWrap w:val="0"/>
                  <w:vAlign w:val="center"/>
                </w:tcPr>
                <w:p w14:paraId="1D571E23">
                  <w:pPr>
                    <w:keepNext w:val="0"/>
                    <w:keepLines w:val="0"/>
                    <w:pageBreakBefore w:val="0"/>
                    <w:kinsoku/>
                    <w:wordWrap/>
                    <w:overflowPunct/>
                    <w:autoSpaceDE/>
                    <w:autoSpaceDN/>
                    <w:bidi w:val="0"/>
                    <w:adjustRightInd/>
                    <w:snapToGrid/>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NOx</w:t>
                  </w:r>
                </w:p>
              </w:tc>
              <w:tc>
                <w:tcPr>
                  <w:tcW w:w="5300" w:type="dxa"/>
                  <w:noWrap w:val="0"/>
                  <w:vAlign w:val="center"/>
                </w:tcPr>
                <w:p w14:paraId="5DA9D37F">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0.3</w:t>
                  </w:r>
                  <w:r>
                    <w:rPr>
                      <w:rFonts w:hint="eastAsia" w:cs="Times New Roman"/>
                      <w:color w:val="auto"/>
                      <w:sz w:val="21"/>
                      <w:szCs w:val="21"/>
                      <w:lang w:val="en-US" w:eastAsia="zh-CN"/>
                    </w:rPr>
                    <w:t>1</w:t>
                  </w:r>
                </w:p>
              </w:tc>
            </w:tr>
          </w:tbl>
          <w:p w14:paraId="2969C6EB">
            <w:pPr>
              <w:pStyle w:val="5"/>
              <w:rPr>
                <w:rFonts w:ascii="Times New Roman" w:hAnsi="Times New Roman"/>
                <w:b/>
                <w:bCs/>
                <w:color w:val="auto"/>
                <w:sz w:val="24"/>
                <w:szCs w:val="24"/>
                <w:highlight w:val="none"/>
              </w:rPr>
            </w:pPr>
          </w:p>
          <w:p w14:paraId="1875DA03">
            <w:pPr>
              <w:rPr>
                <w:color w:val="auto"/>
              </w:rPr>
            </w:pPr>
          </w:p>
          <w:p w14:paraId="7D4A5DE4">
            <w:pPr>
              <w:rPr>
                <w:rFonts w:ascii="Times New Roman" w:hAnsi="Times New Roman"/>
                <w:b/>
                <w:bCs/>
                <w:color w:val="auto"/>
                <w:sz w:val="24"/>
                <w:szCs w:val="24"/>
                <w:highlight w:val="none"/>
              </w:rPr>
            </w:pPr>
          </w:p>
          <w:p w14:paraId="5E5A9A75">
            <w:pPr>
              <w:pStyle w:val="5"/>
              <w:rPr>
                <w:rFonts w:ascii="Times New Roman" w:hAnsi="Times New Roman"/>
                <w:b/>
                <w:bCs/>
                <w:color w:val="auto"/>
                <w:sz w:val="24"/>
                <w:szCs w:val="24"/>
                <w:highlight w:val="none"/>
              </w:rPr>
            </w:pPr>
          </w:p>
          <w:p w14:paraId="00CCCBAC">
            <w:pPr>
              <w:rPr>
                <w:rFonts w:ascii="Times New Roman" w:hAnsi="Times New Roman"/>
                <w:b/>
                <w:bCs/>
                <w:color w:val="auto"/>
                <w:sz w:val="24"/>
                <w:szCs w:val="24"/>
                <w:highlight w:val="none"/>
              </w:rPr>
            </w:pPr>
          </w:p>
          <w:p w14:paraId="227E2617">
            <w:pPr>
              <w:pStyle w:val="5"/>
              <w:rPr>
                <w:color w:val="auto"/>
              </w:rPr>
            </w:pPr>
          </w:p>
          <w:p w14:paraId="16FF2BA0">
            <w:pPr>
              <w:pStyle w:val="28"/>
              <w:keepNext w:val="0"/>
              <w:keepLines w:val="0"/>
              <w:pageBreakBefore w:val="0"/>
              <w:widowControl w:val="0"/>
              <w:kinsoku/>
              <w:wordWrap/>
              <w:overflowPunct/>
              <w:topLinePunct/>
              <w:autoSpaceDE/>
              <w:autoSpaceDN/>
              <w:bidi w:val="0"/>
              <w:adjustRightInd/>
              <w:snapToGrid/>
              <w:spacing w:before="0" w:beforeAutospacing="0" w:after="0" w:afterAutospacing="0"/>
              <w:ind w:left="0" w:leftChars="0" w:right="0" w:rightChars="0"/>
              <w:textAlignment w:val="auto"/>
              <w:outlineLvl w:val="0"/>
              <w:rPr>
                <w:rFonts w:hint="eastAsia" w:ascii="Times New Roman" w:hAnsi="Times New Roman" w:eastAsia="黑体"/>
                <w:snapToGrid w:val="0"/>
                <w:color w:val="auto"/>
                <w:sz w:val="21"/>
                <w:szCs w:val="21"/>
                <w:lang w:val="en-US" w:eastAsia="zh-CN"/>
              </w:rPr>
            </w:pPr>
          </w:p>
        </w:tc>
      </w:tr>
    </w:tbl>
    <w:p w14:paraId="0BB51073">
      <w:pPr>
        <w:pStyle w:val="28"/>
        <w:numPr>
          <w:ilvl w:val="0"/>
          <w:numId w:val="0"/>
        </w:numPr>
        <w:spacing w:before="0" w:beforeAutospacing="0" w:after="0" w:afterAutospacing="0" w:line="360" w:lineRule="auto"/>
        <w:jc w:val="both"/>
        <w:outlineLvl w:val="0"/>
        <w:rPr>
          <w:rFonts w:ascii="Times New Roman" w:hAnsi="Times New Roman"/>
          <w:b/>
          <w:bCs/>
          <w:snapToGrid w:val="0"/>
          <w:color w:val="auto"/>
          <w:sz w:val="32"/>
          <w:szCs w:val="32"/>
        </w:rPr>
        <w:sectPr>
          <w:pgSz w:w="16838" w:h="11905" w:orient="landscape"/>
          <w:pgMar w:top="1417" w:right="1417" w:bottom="1417" w:left="1417" w:header="851" w:footer="1077" w:gutter="0"/>
          <w:cols w:space="0" w:num="1"/>
          <w:rtlGutter w:val="0"/>
          <w:docGrid w:type="lines" w:linePitch="333" w:charSpace="0"/>
        </w:sectPr>
      </w:pPr>
    </w:p>
    <w:tbl>
      <w:tblPr>
        <w:tblStyle w:val="31"/>
        <w:tblW w:w="507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4"/>
        <w:gridCol w:w="9024"/>
      </w:tblGrid>
      <w:tr w14:paraId="1EE25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7" w:type="pct"/>
            <w:tcMar>
              <w:left w:w="28" w:type="dxa"/>
              <w:right w:w="28" w:type="dxa"/>
            </w:tcMar>
            <w:vAlign w:val="center"/>
          </w:tcPr>
          <w:p w14:paraId="3D932B90">
            <w:pPr>
              <w:keepNext w:val="0"/>
              <w:keepLines w:val="0"/>
              <w:pageBreakBefore w:val="0"/>
              <w:kinsoku/>
              <w:overflowPunct/>
              <w:bidi w:val="0"/>
              <w:adjustRightInd/>
              <w:snapToGrid/>
              <w:spacing w:line="360" w:lineRule="auto"/>
              <w:jc w:val="center"/>
              <w:rPr>
                <w:b/>
                <w:bCs/>
                <w:color w:val="auto"/>
                <w:sz w:val="24"/>
                <w:szCs w:val="32"/>
              </w:rPr>
            </w:pPr>
            <w:r>
              <w:rPr>
                <w:b/>
                <w:bCs/>
                <w:color w:val="auto"/>
                <w:sz w:val="24"/>
                <w:szCs w:val="32"/>
              </w:rPr>
              <w:t>运营期环境影响和保护措施</w:t>
            </w:r>
          </w:p>
        </w:tc>
        <w:tc>
          <w:tcPr>
            <w:tcW w:w="4832" w:type="pct"/>
            <w:vAlign w:val="center"/>
          </w:tcPr>
          <w:p w14:paraId="6E83264D">
            <w:pPr>
              <w:keepNext w:val="0"/>
              <w:keepLines w:val="0"/>
              <w:pageBreakBefore w:val="0"/>
              <w:kinsoku/>
              <w:overflowPunct/>
              <w:bidi w:val="0"/>
              <w:adjustRightInd/>
              <w:snapToGrid/>
              <w:spacing w:line="360" w:lineRule="auto"/>
              <w:ind w:firstLine="442" w:firstLineChars="200"/>
              <w:rPr>
                <w:b/>
                <w:bCs/>
                <w:color w:val="auto"/>
                <w:spacing w:val="-10"/>
                <w:sz w:val="24"/>
              </w:rPr>
            </w:pPr>
            <w:r>
              <w:rPr>
                <w:rFonts w:hint="eastAsia"/>
                <w:b/>
                <w:bCs/>
                <w:color w:val="auto"/>
                <w:spacing w:val="-10"/>
                <w:sz w:val="24"/>
                <w:lang w:val="en-US" w:eastAsia="zh-CN"/>
              </w:rPr>
              <w:t>2废气污染物源强核算过程</w:t>
            </w:r>
          </w:p>
          <w:p w14:paraId="578EB5A7">
            <w:pPr>
              <w:keepNext w:val="0"/>
              <w:keepLines w:val="0"/>
              <w:pageBreakBefore w:val="0"/>
              <w:kinsoku/>
              <w:overflowPunct/>
              <w:bidi w:val="0"/>
              <w:adjustRightInd/>
              <w:snapToGrid/>
              <w:spacing w:line="360" w:lineRule="auto"/>
              <w:ind w:firstLine="480" w:firstLineChars="200"/>
              <w:rPr>
                <w:color w:val="auto"/>
                <w:sz w:val="24"/>
              </w:rPr>
            </w:pPr>
            <w:r>
              <w:rPr>
                <w:color w:val="auto"/>
                <w:sz w:val="24"/>
              </w:rPr>
              <w:t>项目生产过程中产生的废气主要为</w:t>
            </w:r>
            <w:r>
              <w:rPr>
                <w:rFonts w:hint="eastAsia"/>
                <w:color w:val="auto"/>
                <w:sz w:val="24"/>
                <w:lang w:eastAsia="zh-CN"/>
              </w:rPr>
              <w:t>生产过程中</w:t>
            </w:r>
            <w:r>
              <w:rPr>
                <w:rFonts w:hint="eastAsia"/>
                <w:color w:val="auto"/>
                <w:sz w:val="24"/>
                <w:lang w:val="en-US" w:eastAsia="zh-CN"/>
              </w:rPr>
              <w:t>裁断、破条工序粉尘和燃烧废气</w:t>
            </w:r>
            <w:r>
              <w:rPr>
                <w:color w:val="auto"/>
                <w:sz w:val="24"/>
              </w:rPr>
              <w:t>。</w:t>
            </w:r>
          </w:p>
          <w:p w14:paraId="6ADF9D71">
            <w:pPr>
              <w:pStyle w:val="28"/>
              <w:keepNext w:val="0"/>
              <w:keepLines w:val="0"/>
              <w:pageBreakBefore w:val="0"/>
              <w:kinsoku/>
              <w:overflowPunct/>
              <w:bidi w:val="0"/>
              <w:adjustRightInd/>
              <w:snapToGrid/>
              <w:spacing w:before="0" w:beforeAutospacing="0" w:after="0" w:afterAutospacing="0" w:line="360" w:lineRule="auto"/>
              <w:ind w:firstLine="480" w:firstLineChars="200"/>
              <w:jc w:val="both"/>
              <w:rPr>
                <w:rFonts w:ascii="Times New Roman" w:hAnsi="Times New Roman"/>
                <w:color w:val="auto"/>
                <w:szCs w:val="24"/>
              </w:rPr>
            </w:pPr>
            <w:r>
              <w:rPr>
                <w:rFonts w:ascii="Times New Roman" w:hAnsi="Times New Roman"/>
                <w:color w:val="auto"/>
                <w:szCs w:val="24"/>
              </w:rPr>
              <w:t>（1）</w:t>
            </w:r>
            <w:r>
              <w:rPr>
                <w:rFonts w:hint="eastAsia"/>
                <w:color w:val="auto"/>
                <w:sz w:val="24"/>
                <w:lang w:val="en-US" w:eastAsia="zh-CN"/>
              </w:rPr>
              <w:t>裁断、破条工序粉尘</w:t>
            </w:r>
          </w:p>
          <w:p w14:paraId="32D71EF8">
            <w:pPr>
              <w:pStyle w:val="16"/>
              <w:keepNext w:val="0"/>
              <w:keepLines w:val="0"/>
              <w:pageBreakBefore w:val="0"/>
              <w:kinsoku/>
              <w:overflowPunct/>
              <w:bidi w:val="0"/>
              <w:adjustRightInd/>
              <w:snapToGrid/>
              <w:spacing w:after="0" w:line="360" w:lineRule="auto"/>
              <w:ind w:left="0" w:leftChars="0" w:firstLine="480"/>
              <w:rPr>
                <w:rFonts w:hint="default"/>
                <w:color w:val="auto"/>
                <w:sz w:val="24"/>
                <w:lang w:val="en-US" w:eastAsia="zh-CN"/>
              </w:rPr>
            </w:pPr>
            <w:r>
              <w:rPr>
                <w:rFonts w:hint="eastAsia"/>
                <w:color w:val="auto"/>
                <w:sz w:val="24"/>
                <w:lang w:val="en-US" w:eastAsia="zh-CN"/>
              </w:rPr>
              <w:t>项目裁断、破条等机加工工序产生竹屑粉尘，参考《排放源统计调查产排污核算方法和系数手册》（生态环境部办公厅2021年6月11日印发）中204竹、藤、草等制品制造行业系数表，下料工段，竹片制备/断条/开片工艺产污系物：颗粒物0.44kg/m</w:t>
            </w:r>
            <w:r>
              <w:rPr>
                <w:rFonts w:hint="eastAsia"/>
                <w:color w:val="auto"/>
                <w:sz w:val="24"/>
                <w:vertAlign w:val="superscript"/>
                <w:lang w:val="en-US" w:eastAsia="zh-CN"/>
              </w:rPr>
              <w:t>3</w:t>
            </w:r>
            <w:r>
              <w:rPr>
                <w:rFonts w:hint="eastAsia"/>
                <w:color w:val="auto"/>
                <w:sz w:val="24"/>
                <w:lang w:val="en-US" w:eastAsia="zh-CN"/>
              </w:rPr>
              <w:t>-产品，本项目年产约20000t</w:t>
            </w:r>
            <w:r>
              <w:rPr>
                <w:rFonts w:hint="eastAsia"/>
                <w:color w:val="auto"/>
                <w:szCs w:val="21"/>
                <w:lang w:val="en-US" w:eastAsia="zh-CN"/>
              </w:rPr>
              <w:t>竹制品，密度约1.2g/cm</w:t>
            </w:r>
            <w:r>
              <w:rPr>
                <w:rFonts w:hint="eastAsia"/>
                <w:color w:val="auto"/>
                <w:szCs w:val="21"/>
                <w:vertAlign w:val="superscript"/>
                <w:lang w:val="en-US" w:eastAsia="zh-CN"/>
              </w:rPr>
              <w:t>3</w:t>
            </w:r>
            <w:r>
              <w:rPr>
                <w:rFonts w:hint="eastAsia"/>
                <w:color w:val="auto"/>
                <w:szCs w:val="21"/>
                <w:lang w:val="en-US" w:eastAsia="zh-CN"/>
              </w:rPr>
              <w:t>，体积约16667</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vertAlign w:val="baseline"/>
                <w:lang w:val="en-US" w:eastAsia="zh-CN"/>
              </w:rPr>
              <w:t>，则</w:t>
            </w:r>
            <w:r>
              <w:rPr>
                <w:rFonts w:hint="eastAsia"/>
                <w:color w:val="auto"/>
                <w:sz w:val="24"/>
                <w:lang w:val="en-US" w:eastAsia="zh-CN"/>
              </w:rPr>
              <w:t>竹制品机加工过程产生的粉尘约7.34t/a，因该部分工序竹粉屑颗粒较大且含水率高且车间具有一定封闭防护措施，约90%在机台周边自然沉降后无组织排放，则无组织粉尘排放量为0.734t/a，排放速率为0.31kg/h。</w:t>
            </w:r>
          </w:p>
          <w:p w14:paraId="4F210063">
            <w:pPr>
              <w:pStyle w:val="28"/>
              <w:keepNext w:val="0"/>
              <w:keepLines w:val="0"/>
              <w:pageBreakBefore w:val="0"/>
              <w:kinsoku/>
              <w:overflowPunct/>
              <w:bidi w:val="0"/>
              <w:adjustRightInd/>
              <w:snapToGrid/>
              <w:spacing w:before="0" w:beforeAutospacing="0" w:after="0" w:afterAutospacing="0" w:line="360" w:lineRule="auto"/>
              <w:ind w:firstLine="480" w:firstLineChars="200"/>
              <w:jc w:val="both"/>
              <w:rPr>
                <w:rFonts w:hint="default" w:ascii="Times New Roman" w:hAnsi="Times New Roman"/>
                <w:color w:val="auto"/>
                <w:szCs w:val="24"/>
                <w:lang w:val="en-US" w:eastAsia="zh-CN"/>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w:t>
            </w:r>
            <w:r>
              <w:rPr>
                <w:rFonts w:hint="eastAsia" w:ascii="Times New Roman" w:hAnsi="Times New Roman"/>
                <w:color w:val="auto"/>
                <w:szCs w:val="24"/>
                <w:lang w:val="en-US" w:eastAsia="zh-CN"/>
              </w:rPr>
              <w:t>燃烧废气</w:t>
            </w:r>
          </w:p>
          <w:p w14:paraId="11F96814">
            <w:pPr>
              <w:pStyle w:val="28"/>
              <w:keepNext w:val="0"/>
              <w:keepLines w:val="0"/>
              <w:pageBreakBefore w:val="0"/>
              <w:kinsoku/>
              <w:overflowPunct/>
              <w:bidi w:val="0"/>
              <w:adjustRightInd/>
              <w:snapToGrid/>
              <w:spacing w:before="0" w:beforeAutospacing="0" w:after="0" w:afterAutospacing="0" w:line="360" w:lineRule="auto"/>
              <w:ind w:firstLine="480" w:firstLineChars="200"/>
              <w:jc w:val="both"/>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根据生物质每小时消耗量=60万大卡×吨位/燃料热值/锅炉燃烧效率，本次评价锅炉燃烧效率按85%计算</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val="en-US" w:eastAsia="zh-CN"/>
              </w:rPr>
              <w:t>生物质燃料低位发热量</w:t>
            </w:r>
            <w:r>
              <w:rPr>
                <w:rFonts w:hint="eastAsia" w:ascii="Times New Roman" w:hAnsi="Times New Roman" w:cs="Times New Roman"/>
                <w:color w:val="auto"/>
                <w:szCs w:val="24"/>
                <w:lang w:val="en-US" w:eastAsia="zh-CN"/>
              </w:rPr>
              <w:t>按4008</w:t>
            </w:r>
            <w:r>
              <w:rPr>
                <w:rFonts w:hint="default" w:ascii="Times New Roman" w:hAnsi="Times New Roman" w:cs="Times New Roman"/>
                <w:color w:val="auto"/>
                <w:szCs w:val="24"/>
                <w:lang w:val="en-US" w:eastAsia="zh-CN"/>
              </w:rPr>
              <w:t>cal/g（即</w:t>
            </w:r>
            <w:r>
              <w:rPr>
                <w:rFonts w:hint="eastAsia" w:ascii="Times New Roman" w:hAnsi="Times New Roman" w:cs="Times New Roman"/>
                <w:color w:val="auto"/>
                <w:szCs w:val="24"/>
                <w:lang w:val="en-US" w:eastAsia="zh-CN"/>
              </w:rPr>
              <w:t>4008</w:t>
            </w:r>
            <w:r>
              <w:rPr>
                <w:rFonts w:hint="default" w:ascii="Times New Roman" w:hAnsi="Times New Roman" w:cs="Times New Roman"/>
                <w:color w:val="auto"/>
                <w:szCs w:val="24"/>
                <w:lang w:val="en-US" w:eastAsia="zh-CN"/>
              </w:rPr>
              <w:t>kcal/kg）计算。</w:t>
            </w:r>
            <w:r>
              <w:rPr>
                <w:rFonts w:hint="eastAsia" w:ascii="Times New Roman" w:hAnsi="Times New Roman" w:cs="Times New Roman"/>
                <w:color w:val="auto"/>
                <w:szCs w:val="24"/>
                <w:lang w:val="en-US" w:eastAsia="zh-CN"/>
              </w:rPr>
              <w:t>因此本项目4t/h的生物质锅炉生物质燃料的用量为0.71t/h，年工作3000h，则年用量为2130t/a。</w:t>
            </w:r>
          </w:p>
          <w:p w14:paraId="253D6494">
            <w:pPr>
              <w:pStyle w:val="28"/>
              <w:keepNext w:val="0"/>
              <w:keepLines w:val="0"/>
              <w:pageBreakBefore w:val="0"/>
              <w:kinsoku/>
              <w:overflowPunct/>
              <w:bidi w:val="0"/>
              <w:adjustRightInd/>
              <w:snapToGrid/>
              <w:spacing w:before="0" w:beforeAutospacing="0" w:after="0" w:afterAutospacing="0" w:line="360" w:lineRule="auto"/>
              <w:ind w:firstLine="480" w:firstLineChars="200"/>
              <w:jc w:val="both"/>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本项目生物质</w:t>
            </w:r>
            <w:r>
              <w:rPr>
                <w:rFonts w:hint="eastAsia" w:ascii="Times New Roman" w:hAnsi="Times New Roman" w:cs="Times New Roman"/>
                <w:color w:val="auto"/>
                <w:szCs w:val="24"/>
                <w:lang w:val="en-US" w:eastAsia="zh-CN"/>
              </w:rPr>
              <w:t>锅炉</w:t>
            </w:r>
            <w:r>
              <w:rPr>
                <w:rFonts w:hint="default" w:ascii="Times New Roman" w:hAnsi="Times New Roman" w:cs="Times New Roman"/>
                <w:color w:val="auto"/>
                <w:szCs w:val="24"/>
                <w:lang w:val="en-US" w:eastAsia="zh-CN"/>
              </w:rPr>
              <w:t>燃烧废气中颗粒物、SO</w:t>
            </w:r>
            <w:r>
              <w:rPr>
                <w:rFonts w:hint="default" w:ascii="Times New Roman" w:hAnsi="Times New Roman" w:cs="Times New Roman"/>
                <w:color w:val="auto"/>
                <w:szCs w:val="24"/>
                <w:vertAlign w:val="subscript"/>
                <w:lang w:val="en-US" w:eastAsia="zh-CN"/>
              </w:rPr>
              <w:t>2</w:t>
            </w:r>
            <w:r>
              <w:rPr>
                <w:rFonts w:hint="default" w:ascii="Times New Roman" w:hAnsi="Times New Roman" w:cs="Times New Roman"/>
                <w:color w:val="auto"/>
                <w:szCs w:val="24"/>
                <w:lang w:val="en-US" w:eastAsia="zh-CN"/>
              </w:rPr>
              <w:t>、NOx产污系数参考《排放源统计调查产排污核算方法和系数手册》（环境部公告2021年第24号）附件中“4430工业锅炉（热力供应）行业系数手册”中生物质</w:t>
            </w:r>
            <w:r>
              <w:rPr>
                <w:rFonts w:hint="eastAsia" w:ascii="Times New Roman" w:hAnsi="Times New Roman" w:cs="Times New Roman"/>
                <w:color w:val="auto"/>
                <w:szCs w:val="24"/>
                <w:lang w:val="en-US" w:eastAsia="zh-CN"/>
              </w:rPr>
              <w:t>锅炉</w:t>
            </w:r>
            <w:r>
              <w:rPr>
                <w:rFonts w:hint="default" w:ascii="Times New Roman" w:hAnsi="Times New Roman" w:cs="Times New Roman"/>
                <w:color w:val="auto"/>
                <w:szCs w:val="24"/>
                <w:lang w:val="en-US" w:eastAsia="zh-CN"/>
              </w:rPr>
              <w:t>的颗粒物</w:t>
            </w:r>
            <w:r>
              <w:rPr>
                <w:rFonts w:hint="eastAsia" w:ascii="Times New Roman" w:hAnsi="Times New Roman" w:cs="Times New Roman"/>
                <w:color w:val="auto"/>
                <w:szCs w:val="24"/>
                <w:lang w:val="en-US" w:eastAsia="zh-CN"/>
              </w:rPr>
              <w:t>0.5kg/t原料</w:t>
            </w:r>
            <w:r>
              <w:rPr>
                <w:rFonts w:hint="default" w:ascii="Times New Roman" w:hAnsi="Times New Roman" w:cs="Times New Roman"/>
                <w:color w:val="auto"/>
                <w:szCs w:val="24"/>
                <w:lang w:val="en-US" w:eastAsia="zh-CN"/>
              </w:rPr>
              <w:t>、SO</w:t>
            </w:r>
            <w:r>
              <w:rPr>
                <w:rFonts w:hint="default" w:ascii="Times New Roman" w:hAnsi="Times New Roman" w:cs="Times New Roman"/>
                <w:color w:val="auto"/>
                <w:szCs w:val="24"/>
                <w:vertAlign w:val="subscript"/>
                <w:lang w:val="en-US" w:eastAsia="zh-CN"/>
              </w:rPr>
              <w:t>2</w:t>
            </w:r>
            <w:r>
              <w:rPr>
                <w:rFonts w:hint="eastAsia" w:ascii="Times New Roman" w:hAnsi="Times New Roman" w:cs="Times New Roman"/>
                <w:color w:val="auto"/>
                <w:szCs w:val="24"/>
                <w:vertAlign w:val="baseline"/>
                <w:lang w:val="en-US" w:eastAsia="zh-CN"/>
              </w:rPr>
              <w:t>17S</w:t>
            </w:r>
            <w:r>
              <w:rPr>
                <w:rFonts w:hint="default" w:ascii="Times New Roman" w:hAnsi="Times New Roman" w:cs="Times New Roman"/>
                <w:color w:val="auto"/>
                <w:szCs w:val="24"/>
                <w:lang w:val="en-US" w:eastAsia="zh-CN"/>
              </w:rPr>
              <w:t>、NOx</w:t>
            </w:r>
            <w:r>
              <w:rPr>
                <w:rFonts w:hint="eastAsia" w:ascii="Times New Roman" w:hAnsi="Times New Roman" w:cs="Times New Roman"/>
                <w:color w:val="auto"/>
                <w:szCs w:val="24"/>
                <w:lang w:val="en-US" w:eastAsia="zh-CN"/>
              </w:rPr>
              <w:t>1.02kg/t原料</w:t>
            </w:r>
            <w:r>
              <w:rPr>
                <w:rFonts w:hint="default" w:ascii="Times New Roman" w:hAnsi="Times New Roman" w:cs="Times New Roman"/>
                <w:color w:val="auto"/>
                <w:szCs w:val="24"/>
                <w:lang w:val="en-US" w:eastAsia="zh-CN"/>
              </w:rPr>
              <w:t>产污系数。</w:t>
            </w:r>
          </w:p>
          <w:p w14:paraId="7505373D">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Times New Roman" w:hAnsi="Times New Roman" w:eastAsia="宋体" w:cs="Times New Roman"/>
                <w:b/>
                <w:bCs w:val="0"/>
                <w:color w:val="auto"/>
                <w:kern w:val="0"/>
                <w:sz w:val="24"/>
                <w:szCs w:val="24"/>
                <w:lang w:val="en-US" w:eastAsia="zh-CN" w:bidi="ar-SA"/>
              </w:rPr>
            </w:pPr>
            <w:r>
              <w:rPr>
                <w:rFonts w:ascii="Times New Roman" w:hAnsi="Times New Roman" w:eastAsia="宋体" w:cs="Times New Roman"/>
                <w:b/>
                <w:bCs w:val="0"/>
                <w:color w:val="auto"/>
                <w:kern w:val="0"/>
                <w:sz w:val="24"/>
                <w:szCs w:val="24"/>
                <w:lang w:val="en-US" w:eastAsia="zh-CN" w:bidi="ar-SA"/>
              </w:rPr>
              <w:t>表</w:t>
            </w:r>
            <w:r>
              <w:rPr>
                <w:rFonts w:hint="eastAsia" w:ascii="Times New Roman" w:hAnsi="Times New Roman" w:eastAsia="宋体" w:cs="Times New Roman"/>
                <w:b/>
                <w:bCs w:val="0"/>
                <w:color w:val="auto"/>
                <w:kern w:val="0"/>
                <w:sz w:val="24"/>
                <w:szCs w:val="24"/>
                <w:lang w:val="en-US" w:eastAsia="zh-CN" w:bidi="ar-SA"/>
              </w:rPr>
              <w:t>4-</w:t>
            </w:r>
            <w:r>
              <w:rPr>
                <w:rFonts w:hint="eastAsia" w:cs="Times New Roman"/>
                <w:b/>
                <w:bCs w:val="0"/>
                <w:color w:val="auto"/>
                <w:kern w:val="0"/>
                <w:sz w:val="24"/>
                <w:szCs w:val="24"/>
                <w:lang w:val="en-US" w:eastAsia="zh-CN" w:bidi="ar-SA"/>
              </w:rPr>
              <w:t xml:space="preserve">7  </w:t>
            </w:r>
            <w:r>
              <w:rPr>
                <w:rFonts w:hint="eastAsia" w:ascii="Times New Roman" w:hAnsi="Times New Roman" w:eastAsia="宋体" w:cs="Times New Roman"/>
                <w:b/>
                <w:bCs w:val="0"/>
                <w:color w:val="auto"/>
                <w:kern w:val="0"/>
                <w:sz w:val="24"/>
                <w:szCs w:val="24"/>
                <w:lang w:val="en-US" w:eastAsia="zh-CN" w:bidi="ar-SA"/>
              </w:rPr>
              <w:t>燃烧废气</w:t>
            </w:r>
            <w:r>
              <w:rPr>
                <w:rFonts w:ascii="Times New Roman" w:hAnsi="Times New Roman" w:eastAsia="宋体" w:cs="Times New Roman"/>
                <w:b/>
                <w:bCs w:val="0"/>
                <w:color w:val="auto"/>
                <w:kern w:val="0"/>
                <w:sz w:val="24"/>
                <w:szCs w:val="24"/>
                <w:lang w:val="en-US" w:eastAsia="zh-CN" w:bidi="ar-SA"/>
              </w:rPr>
              <w:t>产物一览表</w:t>
            </w:r>
          </w:p>
          <w:tbl>
            <w:tblPr>
              <w:tblStyle w:val="31"/>
              <w:tblW w:w="8730" w:type="dxa"/>
              <w:jc w:val="center"/>
              <w:tblLayout w:type="fixed"/>
              <w:tblCellMar>
                <w:top w:w="0" w:type="dxa"/>
                <w:left w:w="108" w:type="dxa"/>
                <w:bottom w:w="0" w:type="dxa"/>
                <w:right w:w="108" w:type="dxa"/>
              </w:tblCellMar>
            </w:tblPr>
            <w:tblGrid>
              <w:gridCol w:w="1916"/>
              <w:gridCol w:w="1916"/>
              <w:gridCol w:w="2448"/>
              <w:gridCol w:w="2450"/>
            </w:tblGrid>
            <w:tr w14:paraId="65DF2BE0">
              <w:tblPrEx>
                <w:tblCellMar>
                  <w:top w:w="0" w:type="dxa"/>
                  <w:left w:w="108" w:type="dxa"/>
                  <w:bottom w:w="0" w:type="dxa"/>
                  <w:right w:w="108" w:type="dxa"/>
                </w:tblCellMar>
              </w:tblPrEx>
              <w:trPr>
                <w:trHeight w:val="90" w:hRule="atLeast"/>
                <w:jc w:val="center"/>
              </w:trPr>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14:paraId="48208421">
                  <w:pPr>
                    <w:keepNext w:val="0"/>
                    <w:keepLines w:val="0"/>
                    <w:pageBreakBefore w:val="0"/>
                    <w:kinsoku/>
                    <w:overflowPunct/>
                    <w:bidi w:val="0"/>
                    <w:adjustRightInd/>
                    <w:snapToGrid/>
                    <w:jc w:val="center"/>
                    <w:rPr>
                      <w:b/>
                      <w:bCs/>
                      <w:color w:val="auto"/>
                      <w:sz w:val="21"/>
                      <w:szCs w:val="21"/>
                    </w:rPr>
                  </w:pPr>
                  <w:r>
                    <w:rPr>
                      <w:rFonts w:hint="eastAsia"/>
                      <w:b/>
                      <w:bCs/>
                      <w:color w:val="auto"/>
                      <w:sz w:val="21"/>
                      <w:szCs w:val="21"/>
                    </w:rPr>
                    <w:t>原料（</w:t>
                  </w:r>
                  <w:r>
                    <w:rPr>
                      <w:b/>
                      <w:bCs/>
                      <w:color w:val="auto"/>
                      <w:sz w:val="21"/>
                      <w:szCs w:val="21"/>
                    </w:rPr>
                    <w:t>t/a</w:t>
                  </w:r>
                  <w:r>
                    <w:rPr>
                      <w:rFonts w:hint="eastAsia"/>
                      <w:b/>
                      <w:bCs/>
                      <w:color w:val="auto"/>
                      <w:sz w:val="21"/>
                      <w:szCs w:val="21"/>
                    </w:rPr>
                    <w:t>）</w:t>
                  </w:r>
                </w:p>
              </w:tc>
              <w:tc>
                <w:tcPr>
                  <w:tcW w:w="1097" w:type="pct"/>
                  <w:tcBorders>
                    <w:top w:val="single" w:color="auto" w:sz="4" w:space="0"/>
                    <w:left w:val="nil"/>
                    <w:bottom w:val="single" w:color="auto" w:sz="4" w:space="0"/>
                    <w:right w:val="single" w:color="auto" w:sz="4" w:space="0"/>
                  </w:tcBorders>
                  <w:shd w:val="clear" w:color="auto" w:fill="auto"/>
                  <w:vAlign w:val="center"/>
                </w:tcPr>
                <w:p w14:paraId="7F193B11">
                  <w:pPr>
                    <w:keepNext w:val="0"/>
                    <w:keepLines w:val="0"/>
                    <w:pageBreakBefore w:val="0"/>
                    <w:kinsoku/>
                    <w:overflowPunct/>
                    <w:bidi w:val="0"/>
                    <w:adjustRightInd/>
                    <w:snapToGrid/>
                    <w:jc w:val="center"/>
                    <w:rPr>
                      <w:rFonts w:hint="default" w:eastAsia="宋体"/>
                      <w:b/>
                      <w:bCs/>
                      <w:color w:val="auto"/>
                      <w:sz w:val="21"/>
                      <w:szCs w:val="21"/>
                      <w:lang w:val="en-US" w:eastAsia="zh-CN"/>
                    </w:rPr>
                  </w:pPr>
                  <w:r>
                    <w:rPr>
                      <w:rFonts w:hint="eastAsia"/>
                      <w:b/>
                      <w:bCs/>
                      <w:color w:val="auto"/>
                      <w:sz w:val="21"/>
                      <w:szCs w:val="21"/>
                      <w:lang w:val="en-US" w:eastAsia="zh-CN"/>
                    </w:rPr>
                    <w:t>污染物指标</w:t>
                  </w:r>
                </w:p>
              </w:tc>
              <w:tc>
                <w:tcPr>
                  <w:tcW w:w="1402" w:type="pct"/>
                  <w:tcBorders>
                    <w:top w:val="single" w:color="auto" w:sz="4" w:space="0"/>
                    <w:left w:val="nil"/>
                    <w:bottom w:val="single" w:color="auto" w:sz="4" w:space="0"/>
                    <w:right w:val="single" w:color="auto" w:sz="4" w:space="0"/>
                  </w:tcBorders>
                  <w:shd w:val="clear" w:color="auto" w:fill="auto"/>
                  <w:vAlign w:val="center"/>
                </w:tcPr>
                <w:p w14:paraId="7AEE9058">
                  <w:pPr>
                    <w:keepNext w:val="0"/>
                    <w:keepLines w:val="0"/>
                    <w:pageBreakBefore w:val="0"/>
                    <w:kinsoku/>
                    <w:overflowPunct/>
                    <w:bidi w:val="0"/>
                    <w:adjustRightInd/>
                    <w:snapToGrid/>
                    <w:jc w:val="center"/>
                    <w:rPr>
                      <w:b/>
                      <w:bCs/>
                      <w:color w:val="auto"/>
                      <w:sz w:val="21"/>
                      <w:szCs w:val="21"/>
                    </w:rPr>
                  </w:pPr>
                  <w:r>
                    <w:rPr>
                      <w:rFonts w:hint="eastAsia"/>
                      <w:b/>
                      <w:bCs/>
                      <w:color w:val="auto"/>
                      <w:sz w:val="21"/>
                      <w:szCs w:val="21"/>
                      <w:lang w:val="en-US" w:eastAsia="zh-CN"/>
                    </w:rPr>
                    <w:t>产污</w:t>
                  </w:r>
                  <w:r>
                    <w:rPr>
                      <w:rFonts w:hint="eastAsia"/>
                      <w:b/>
                      <w:bCs/>
                      <w:color w:val="auto"/>
                      <w:sz w:val="21"/>
                      <w:szCs w:val="21"/>
                    </w:rPr>
                    <w:t>系数</w:t>
                  </w:r>
                </w:p>
              </w:tc>
              <w:tc>
                <w:tcPr>
                  <w:tcW w:w="1403" w:type="pct"/>
                  <w:tcBorders>
                    <w:top w:val="single" w:color="auto" w:sz="4" w:space="0"/>
                    <w:left w:val="nil"/>
                    <w:bottom w:val="single" w:color="auto" w:sz="4" w:space="0"/>
                    <w:right w:val="single" w:color="auto" w:sz="4" w:space="0"/>
                  </w:tcBorders>
                  <w:shd w:val="clear" w:color="auto" w:fill="auto"/>
                  <w:vAlign w:val="center"/>
                </w:tcPr>
                <w:p w14:paraId="362E42F9">
                  <w:pPr>
                    <w:keepNext w:val="0"/>
                    <w:keepLines w:val="0"/>
                    <w:pageBreakBefore w:val="0"/>
                    <w:kinsoku/>
                    <w:overflowPunct/>
                    <w:bidi w:val="0"/>
                    <w:adjustRightInd/>
                    <w:snapToGrid/>
                    <w:jc w:val="center"/>
                    <w:rPr>
                      <w:b/>
                      <w:bCs/>
                      <w:color w:val="auto"/>
                      <w:sz w:val="21"/>
                      <w:szCs w:val="21"/>
                    </w:rPr>
                  </w:pPr>
                  <w:r>
                    <w:rPr>
                      <w:rFonts w:hint="eastAsia"/>
                      <w:b/>
                      <w:bCs/>
                      <w:color w:val="auto"/>
                      <w:sz w:val="21"/>
                      <w:szCs w:val="21"/>
                    </w:rPr>
                    <w:t>产生量（</w:t>
                  </w:r>
                  <w:r>
                    <w:rPr>
                      <w:b/>
                      <w:bCs/>
                      <w:color w:val="auto"/>
                      <w:sz w:val="21"/>
                      <w:szCs w:val="21"/>
                    </w:rPr>
                    <w:t>t/a</w:t>
                  </w:r>
                  <w:r>
                    <w:rPr>
                      <w:rFonts w:hint="eastAsia"/>
                      <w:b/>
                      <w:bCs/>
                      <w:color w:val="auto"/>
                      <w:sz w:val="21"/>
                      <w:szCs w:val="21"/>
                    </w:rPr>
                    <w:t>）</w:t>
                  </w:r>
                </w:p>
              </w:tc>
            </w:tr>
            <w:tr w14:paraId="3241F1CE">
              <w:tblPrEx>
                <w:tblCellMar>
                  <w:top w:w="0" w:type="dxa"/>
                  <w:left w:w="108" w:type="dxa"/>
                  <w:bottom w:w="0" w:type="dxa"/>
                  <w:right w:w="108" w:type="dxa"/>
                </w:tblCellMar>
              </w:tblPrEx>
              <w:trPr>
                <w:trHeight w:val="270" w:hRule="atLeast"/>
                <w:jc w:val="center"/>
              </w:trPr>
              <w:tc>
                <w:tcPr>
                  <w:tcW w:w="1097" w:type="pct"/>
                  <w:vMerge w:val="restart"/>
                  <w:tcBorders>
                    <w:top w:val="nil"/>
                    <w:left w:val="single" w:color="auto" w:sz="4" w:space="0"/>
                    <w:bottom w:val="single" w:color="auto" w:sz="4" w:space="0"/>
                    <w:right w:val="single" w:color="auto" w:sz="4" w:space="0"/>
                  </w:tcBorders>
                  <w:shd w:val="clear" w:color="auto" w:fill="auto"/>
                  <w:vAlign w:val="center"/>
                </w:tcPr>
                <w:p w14:paraId="2FBE6944">
                  <w:pPr>
                    <w:keepNext w:val="0"/>
                    <w:keepLines w:val="0"/>
                    <w:pageBreakBefore w:val="0"/>
                    <w:kinsoku/>
                    <w:overflowPunct/>
                    <w:bidi w:val="0"/>
                    <w:adjustRightInd/>
                    <w:snapToGrid/>
                    <w:jc w:val="center"/>
                    <w:rPr>
                      <w:rFonts w:hint="default" w:eastAsia="宋体"/>
                      <w:color w:val="auto"/>
                      <w:sz w:val="21"/>
                      <w:szCs w:val="21"/>
                      <w:lang w:val="en-US" w:eastAsia="zh-CN"/>
                    </w:rPr>
                  </w:pPr>
                  <w:r>
                    <w:rPr>
                      <w:rFonts w:hint="eastAsia"/>
                      <w:color w:val="auto"/>
                      <w:sz w:val="21"/>
                      <w:szCs w:val="21"/>
                      <w:lang w:val="en-US" w:eastAsia="zh-CN"/>
                    </w:rPr>
                    <w:t>2130</w:t>
                  </w:r>
                </w:p>
              </w:tc>
              <w:tc>
                <w:tcPr>
                  <w:tcW w:w="1097" w:type="pct"/>
                  <w:tcBorders>
                    <w:top w:val="nil"/>
                    <w:left w:val="nil"/>
                    <w:bottom w:val="single" w:color="auto" w:sz="4" w:space="0"/>
                    <w:right w:val="single" w:color="auto" w:sz="4" w:space="0"/>
                  </w:tcBorders>
                  <w:shd w:val="clear" w:color="auto" w:fill="auto"/>
                  <w:vAlign w:val="center"/>
                </w:tcPr>
                <w:p w14:paraId="0878F590">
                  <w:pPr>
                    <w:keepNext w:val="0"/>
                    <w:keepLines w:val="0"/>
                    <w:pageBreakBefore w:val="0"/>
                    <w:kinsoku/>
                    <w:overflowPunct/>
                    <w:bidi w:val="0"/>
                    <w:adjustRightInd/>
                    <w:snapToGrid/>
                    <w:jc w:val="center"/>
                    <w:rPr>
                      <w:color w:val="auto"/>
                      <w:sz w:val="21"/>
                      <w:szCs w:val="21"/>
                    </w:rPr>
                  </w:pPr>
                  <w:r>
                    <w:rPr>
                      <w:rFonts w:hint="eastAsia"/>
                      <w:color w:val="auto"/>
                      <w:sz w:val="21"/>
                      <w:szCs w:val="21"/>
                      <w:lang w:val="en-US" w:eastAsia="zh-CN"/>
                    </w:rPr>
                    <w:t>颗粒物</w:t>
                  </w:r>
                </w:p>
              </w:tc>
              <w:tc>
                <w:tcPr>
                  <w:tcW w:w="1402" w:type="pct"/>
                  <w:tcBorders>
                    <w:top w:val="nil"/>
                    <w:left w:val="nil"/>
                    <w:bottom w:val="single" w:color="auto" w:sz="4" w:space="0"/>
                    <w:right w:val="single" w:color="auto" w:sz="4" w:space="0"/>
                  </w:tcBorders>
                  <w:shd w:val="clear" w:color="auto" w:fill="auto"/>
                  <w:vAlign w:val="center"/>
                </w:tcPr>
                <w:p w14:paraId="09C6216A">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0.5</w:t>
                  </w:r>
                  <w:r>
                    <w:rPr>
                      <w:rFonts w:hint="eastAsia" w:ascii="Times New Roman" w:hAnsi="Times New Roman" w:eastAsia="宋体" w:cs="Times New Roman"/>
                      <w:color w:val="auto"/>
                      <w:sz w:val="21"/>
                      <w:szCs w:val="21"/>
                      <w:lang w:val="en-US" w:eastAsia="zh-CN"/>
                    </w:rPr>
                    <w:t>kg/t</w:t>
                  </w:r>
                  <w:r>
                    <w:rPr>
                      <w:rFonts w:hint="eastAsia"/>
                      <w:color w:val="auto"/>
                      <w:sz w:val="21"/>
                      <w:szCs w:val="21"/>
                      <w:lang w:val="en-US" w:eastAsia="zh-CN"/>
                    </w:rPr>
                    <w:t>原料</w:t>
                  </w:r>
                </w:p>
              </w:tc>
              <w:tc>
                <w:tcPr>
                  <w:tcW w:w="1403" w:type="pct"/>
                  <w:tcBorders>
                    <w:top w:val="nil"/>
                    <w:left w:val="nil"/>
                    <w:bottom w:val="single" w:color="auto" w:sz="4" w:space="0"/>
                    <w:right w:val="single" w:color="auto" w:sz="4" w:space="0"/>
                  </w:tcBorders>
                  <w:shd w:val="clear" w:color="auto" w:fill="auto"/>
                  <w:vAlign w:val="center"/>
                </w:tcPr>
                <w:p w14:paraId="3F3A225D">
                  <w:pPr>
                    <w:keepNext w:val="0"/>
                    <w:keepLines w:val="0"/>
                    <w:pageBreakBefore w:val="0"/>
                    <w:kinsoku/>
                    <w:overflowPunct/>
                    <w:bidi w:val="0"/>
                    <w:adjustRightInd/>
                    <w:snapToGrid/>
                    <w:jc w:val="center"/>
                    <w:rPr>
                      <w:rFonts w:hint="default" w:eastAsia="宋体"/>
                      <w:color w:val="auto"/>
                      <w:sz w:val="21"/>
                      <w:szCs w:val="21"/>
                      <w:lang w:val="en-US" w:eastAsia="zh-CN"/>
                    </w:rPr>
                  </w:pPr>
                  <w:r>
                    <w:rPr>
                      <w:rFonts w:hint="eastAsia"/>
                      <w:color w:val="auto"/>
                      <w:sz w:val="21"/>
                      <w:szCs w:val="21"/>
                      <w:lang w:val="en-US" w:eastAsia="zh-CN"/>
                    </w:rPr>
                    <w:t>1.065</w:t>
                  </w:r>
                </w:p>
              </w:tc>
            </w:tr>
            <w:tr w14:paraId="39F530AD">
              <w:tblPrEx>
                <w:tblCellMar>
                  <w:top w:w="0" w:type="dxa"/>
                  <w:left w:w="108" w:type="dxa"/>
                  <w:bottom w:w="0" w:type="dxa"/>
                  <w:right w:w="108" w:type="dxa"/>
                </w:tblCellMar>
              </w:tblPrEx>
              <w:trPr>
                <w:trHeight w:val="270" w:hRule="atLeast"/>
                <w:jc w:val="center"/>
              </w:trPr>
              <w:tc>
                <w:tcPr>
                  <w:tcW w:w="1097" w:type="pct"/>
                  <w:vMerge w:val="continue"/>
                  <w:tcBorders>
                    <w:top w:val="nil"/>
                    <w:left w:val="single" w:color="auto" w:sz="4" w:space="0"/>
                    <w:bottom w:val="single" w:color="auto" w:sz="4" w:space="0"/>
                    <w:right w:val="single" w:color="auto" w:sz="4" w:space="0"/>
                  </w:tcBorders>
                  <w:vAlign w:val="center"/>
                </w:tcPr>
                <w:p w14:paraId="0B9B0141">
                  <w:pPr>
                    <w:keepNext w:val="0"/>
                    <w:keepLines w:val="0"/>
                    <w:pageBreakBefore w:val="0"/>
                    <w:kinsoku/>
                    <w:overflowPunct/>
                    <w:bidi w:val="0"/>
                    <w:adjustRightInd/>
                    <w:snapToGrid/>
                    <w:jc w:val="center"/>
                    <w:rPr>
                      <w:color w:val="auto"/>
                      <w:sz w:val="21"/>
                      <w:szCs w:val="21"/>
                    </w:rPr>
                  </w:pPr>
                </w:p>
              </w:tc>
              <w:tc>
                <w:tcPr>
                  <w:tcW w:w="1097" w:type="pct"/>
                  <w:tcBorders>
                    <w:top w:val="nil"/>
                    <w:left w:val="nil"/>
                    <w:bottom w:val="single" w:color="auto" w:sz="4" w:space="0"/>
                    <w:right w:val="single" w:color="auto" w:sz="4" w:space="0"/>
                  </w:tcBorders>
                  <w:shd w:val="clear" w:color="auto" w:fill="auto"/>
                  <w:vAlign w:val="center"/>
                </w:tcPr>
                <w:p w14:paraId="5591C4E2">
                  <w:pPr>
                    <w:keepNext w:val="0"/>
                    <w:keepLines w:val="0"/>
                    <w:pageBreakBefore w:val="0"/>
                    <w:kinsoku/>
                    <w:overflowPunct/>
                    <w:bidi w:val="0"/>
                    <w:adjustRightInd/>
                    <w:snapToGrid/>
                    <w:jc w:val="center"/>
                    <w:rPr>
                      <w:rFonts w:hint="eastAsia" w:eastAsia="宋体"/>
                      <w:color w:val="auto"/>
                      <w:sz w:val="21"/>
                      <w:szCs w:val="21"/>
                      <w:lang w:eastAsia="zh-CN"/>
                    </w:rPr>
                  </w:pPr>
                  <w:r>
                    <w:rPr>
                      <w:rFonts w:hint="eastAsia"/>
                      <w:color w:val="auto"/>
                      <w:sz w:val="21"/>
                      <w:szCs w:val="21"/>
                    </w:rPr>
                    <w:t>SO</w:t>
                  </w:r>
                  <w:r>
                    <w:rPr>
                      <w:rFonts w:hint="eastAsia"/>
                      <w:color w:val="auto"/>
                      <w:sz w:val="21"/>
                      <w:szCs w:val="21"/>
                      <w:vertAlign w:val="subscript"/>
                    </w:rPr>
                    <w:t>2</w:t>
                  </w:r>
                </w:p>
              </w:tc>
              <w:tc>
                <w:tcPr>
                  <w:tcW w:w="1402" w:type="pct"/>
                  <w:tcBorders>
                    <w:top w:val="nil"/>
                    <w:left w:val="nil"/>
                    <w:bottom w:val="single" w:color="auto" w:sz="4" w:space="0"/>
                    <w:right w:val="single" w:color="auto" w:sz="4" w:space="0"/>
                  </w:tcBorders>
                  <w:shd w:val="clear" w:color="auto" w:fill="auto"/>
                  <w:vAlign w:val="center"/>
                </w:tcPr>
                <w:p w14:paraId="6721B938">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17S</w:t>
                  </w:r>
                  <w:r>
                    <w:rPr>
                      <w:rFonts w:hint="eastAsia"/>
                      <w:color w:val="auto"/>
                      <w:sz w:val="21"/>
                      <w:szCs w:val="21"/>
                      <w:lang w:val="en-US" w:eastAsia="zh-CN"/>
                    </w:rPr>
                    <w:t>原料</w:t>
                  </w:r>
                </w:p>
              </w:tc>
              <w:tc>
                <w:tcPr>
                  <w:tcW w:w="1403" w:type="pct"/>
                  <w:tcBorders>
                    <w:top w:val="nil"/>
                    <w:left w:val="nil"/>
                    <w:bottom w:val="single" w:color="auto" w:sz="4" w:space="0"/>
                    <w:right w:val="single" w:color="auto" w:sz="4" w:space="0"/>
                  </w:tcBorders>
                  <w:shd w:val="clear" w:color="auto" w:fill="auto"/>
                  <w:vAlign w:val="center"/>
                </w:tcPr>
                <w:p w14:paraId="79AA7312">
                  <w:pPr>
                    <w:keepNext w:val="0"/>
                    <w:keepLines w:val="0"/>
                    <w:pageBreakBefore w:val="0"/>
                    <w:kinsoku/>
                    <w:overflowPunct/>
                    <w:bidi w:val="0"/>
                    <w:adjustRightInd/>
                    <w:snapToGrid/>
                    <w:jc w:val="center"/>
                    <w:rPr>
                      <w:rFonts w:hint="default" w:eastAsia="宋体"/>
                      <w:color w:val="auto"/>
                      <w:sz w:val="21"/>
                      <w:szCs w:val="21"/>
                      <w:lang w:val="en-US" w:eastAsia="zh-CN"/>
                    </w:rPr>
                  </w:pPr>
                  <w:r>
                    <w:rPr>
                      <w:rFonts w:hint="eastAsia"/>
                      <w:color w:val="auto"/>
                      <w:sz w:val="21"/>
                      <w:szCs w:val="21"/>
                      <w:lang w:val="en-US" w:eastAsia="zh-CN"/>
                    </w:rPr>
                    <w:t>2.173</w:t>
                  </w:r>
                </w:p>
              </w:tc>
            </w:tr>
            <w:tr w14:paraId="091CB0C7">
              <w:tblPrEx>
                <w:tblCellMar>
                  <w:top w:w="0" w:type="dxa"/>
                  <w:left w:w="108" w:type="dxa"/>
                  <w:bottom w:w="0" w:type="dxa"/>
                  <w:right w:w="108" w:type="dxa"/>
                </w:tblCellMar>
              </w:tblPrEx>
              <w:trPr>
                <w:trHeight w:val="136" w:hRule="atLeast"/>
                <w:jc w:val="center"/>
              </w:trPr>
              <w:tc>
                <w:tcPr>
                  <w:tcW w:w="1097" w:type="pct"/>
                  <w:vMerge w:val="continue"/>
                  <w:tcBorders>
                    <w:top w:val="nil"/>
                    <w:left w:val="single" w:color="auto" w:sz="4" w:space="0"/>
                    <w:bottom w:val="single" w:color="auto" w:sz="4" w:space="0"/>
                    <w:right w:val="single" w:color="auto" w:sz="4" w:space="0"/>
                  </w:tcBorders>
                  <w:vAlign w:val="center"/>
                </w:tcPr>
                <w:p w14:paraId="24A4BCF0">
                  <w:pPr>
                    <w:keepNext w:val="0"/>
                    <w:keepLines w:val="0"/>
                    <w:pageBreakBefore w:val="0"/>
                    <w:kinsoku/>
                    <w:overflowPunct/>
                    <w:bidi w:val="0"/>
                    <w:adjustRightInd/>
                    <w:snapToGrid/>
                    <w:jc w:val="center"/>
                    <w:rPr>
                      <w:color w:val="auto"/>
                      <w:sz w:val="21"/>
                      <w:szCs w:val="21"/>
                    </w:rPr>
                  </w:pPr>
                </w:p>
              </w:tc>
              <w:tc>
                <w:tcPr>
                  <w:tcW w:w="1097" w:type="pct"/>
                  <w:tcBorders>
                    <w:top w:val="nil"/>
                    <w:left w:val="nil"/>
                    <w:bottom w:val="single" w:color="auto" w:sz="4" w:space="0"/>
                    <w:right w:val="single" w:color="auto" w:sz="4" w:space="0"/>
                  </w:tcBorders>
                  <w:shd w:val="clear" w:color="auto" w:fill="auto"/>
                  <w:vAlign w:val="center"/>
                </w:tcPr>
                <w:p w14:paraId="0C46817D">
                  <w:pPr>
                    <w:keepNext w:val="0"/>
                    <w:keepLines w:val="0"/>
                    <w:pageBreakBefore w:val="0"/>
                    <w:kinsoku/>
                    <w:overflowPunct/>
                    <w:bidi w:val="0"/>
                    <w:adjustRightInd/>
                    <w:snapToGrid/>
                    <w:jc w:val="center"/>
                    <w:rPr>
                      <w:color w:val="auto"/>
                      <w:sz w:val="21"/>
                      <w:szCs w:val="21"/>
                    </w:rPr>
                  </w:pPr>
                  <w:r>
                    <w:rPr>
                      <w:rFonts w:hint="eastAsia"/>
                      <w:color w:val="auto"/>
                      <w:sz w:val="21"/>
                      <w:szCs w:val="21"/>
                    </w:rPr>
                    <w:t>NO</w:t>
                  </w:r>
                  <w:r>
                    <w:rPr>
                      <w:rFonts w:hint="eastAsia"/>
                      <w:color w:val="auto"/>
                      <w:sz w:val="21"/>
                      <w:szCs w:val="21"/>
                      <w:vertAlign w:val="subscript"/>
                    </w:rPr>
                    <w:t>x</w:t>
                  </w:r>
                </w:p>
              </w:tc>
              <w:tc>
                <w:tcPr>
                  <w:tcW w:w="1402" w:type="pct"/>
                  <w:tcBorders>
                    <w:top w:val="nil"/>
                    <w:left w:val="nil"/>
                    <w:bottom w:val="single" w:color="auto" w:sz="4" w:space="0"/>
                    <w:right w:val="single" w:color="auto" w:sz="4" w:space="0"/>
                  </w:tcBorders>
                  <w:shd w:val="clear" w:color="auto" w:fill="auto"/>
                  <w:vAlign w:val="center"/>
                </w:tcPr>
                <w:p w14:paraId="3377F2D6">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1.02kg/t</w:t>
                  </w:r>
                  <w:r>
                    <w:rPr>
                      <w:rFonts w:hint="eastAsia"/>
                      <w:color w:val="auto"/>
                      <w:sz w:val="21"/>
                      <w:szCs w:val="21"/>
                      <w:lang w:val="en-US" w:eastAsia="zh-CN"/>
                    </w:rPr>
                    <w:t>原料</w:t>
                  </w:r>
                </w:p>
              </w:tc>
              <w:tc>
                <w:tcPr>
                  <w:tcW w:w="1403" w:type="pct"/>
                  <w:tcBorders>
                    <w:top w:val="nil"/>
                    <w:left w:val="nil"/>
                    <w:bottom w:val="single" w:color="auto" w:sz="4" w:space="0"/>
                    <w:right w:val="single" w:color="auto" w:sz="4" w:space="0"/>
                  </w:tcBorders>
                  <w:shd w:val="clear" w:color="auto" w:fill="auto"/>
                  <w:vAlign w:val="center"/>
                </w:tcPr>
                <w:p w14:paraId="58FB909A">
                  <w:pPr>
                    <w:keepNext w:val="0"/>
                    <w:keepLines w:val="0"/>
                    <w:pageBreakBefore w:val="0"/>
                    <w:kinsoku/>
                    <w:overflowPunct/>
                    <w:bidi w:val="0"/>
                    <w:adjustRightInd/>
                    <w:snapToGrid/>
                    <w:jc w:val="center"/>
                    <w:rPr>
                      <w:rFonts w:hint="default" w:eastAsia="宋体"/>
                      <w:color w:val="auto"/>
                      <w:sz w:val="21"/>
                      <w:szCs w:val="21"/>
                      <w:lang w:val="en-US" w:eastAsia="zh-CN"/>
                    </w:rPr>
                  </w:pPr>
                  <w:r>
                    <w:rPr>
                      <w:rFonts w:hint="eastAsia"/>
                      <w:color w:val="auto"/>
                      <w:sz w:val="21"/>
                      <w:szCs w:val="21"/>
                      <w:lang w:val="en-US" w:eastAsia="zh-CN"/>
                    </w:rPr>
                    <w:t>2.173</w:t>
                  </w:r>
                </w:p>
              </w:tc>
            </w:tr>
            <w:tr w14:paraId="1B480EB4">
              <w:tblPrEx>
                <w:tblCellMar>
                  <w:top w:w="0" w:type="dxa"/>
                  <w:left w:w="108" w:type="dxa"/>
                  <w:bottom w:w="0" w:type="dxa"/>
                  <w:right w:w="108" w:type="dxa"/>
                </w:tblCellMar>
              </w:tblPrEx>
              <w:trPr>
                <w:trHeight w:val="136" w:hRule="atLeast"/>
                <w:jc w:val="center"/>
              </w:trPr>
              <w:tc>
                <w:tcPr>
                  <w:tcW w:w="1097" w:type="pct"/>
                  <w:vMerge w:val="continue"/>
                  <w:tcBorders>
                    <w:left w:val="single" w:color="auto" w:sz="4" w:space="0"/>
                    <w:bottom w:val="single" w:color="auto" w:sz="4" w:space="0"/>
                    <w:right w:val="single" w:color="auto" w:sz="4" w:space="0"/>
                  </w:tcBorders>
                  <w:vAlign w:val="center"/>
                </w:tcPr>
                <w:p w14:paraId="67182443">
                  <w:pPr>
                    <w:keepNext w:val="0"/>
                    <w:keepLines w:val="0"/>
                    <w:pageBreakBefore w:val="0"/>
                    <w:kinsoku/>
                    <w:overflowPunct/>
                    <w:bidi w:val="0"/>
                    <w:adjustRightInd/>
                    <w:snapToGrid/>
                    <w:jc w:val="center"/>
                    <w:rPr>
                      <w:color w:val="auto"/>
                      <w:sz w:val="21"/>
                      <w:szCs w:val="21"/>
                    </w:rPr>
                  </w:pPr>
                </w:p>
              </w:tc>
              <w:tc>
                <w:tcPr>
                  <w:tcW w:w="1097" w:type="pct"/>
                  <w:tcBorders>
                    <w:top w:val="nil"/>
                    <w:left w:val="nil"/>
                    <w:bottom w:val="single" w:color="auto" w:sz="4" w:space="0"/>
                    <w:right w:val="single" w:color="auto" w:sz="4" w:space="0"/>
                  </w:tcBorders>
                  <w:shd w:val="clear" w:color="auto" w:fill="auto"/>
                  <w:vAlign w:val="center"/>
                </w:tcPr>
                <w:p w14:paraId="0205BE53">
                  <w:pPr>
                    <w:keepNext w:val="0"/>
                    <w:keepLines w:val="0"/>
                    <w:pageBreakBefore w:val="0"/>
                    <w:kinsoku/>
                    <w:overflowPunct/>
                    <w:bidi w:val="0"/>
                    <w:adjustRightInd/>
                    <w:snapToGrid/>
                    <w:jc w:val="center"/>
                    <w:rPr>
                      <w:rFonts w:hint="default" w:eastAsia="宋体"/>
                      <w:color w:val="auto"/>
                      <w:sz w:val="21"/>
                      <w:szCs w:val="21"/>
                      <w:lang w:val="en-US" w:eastAsia="zh-CN"/>
                    </w:rPr>
                  </w:pPr>
                  <w:r>
                    <w:rPr>
                      <w:rFonts w:hint="eastAsia"/>
                      <w:color w:val="auto"/>
                      <w:sz w:val="21"/>
                      <w:szCs w:val="21"/>
                      <w:lang w:val="en-US" w:eastAsia="zh-CN"/>
                    </w:rPr>
                    <w:t>废气量</w:t>
                  </w:r>
                </w:p>
              </w:tc>
              <w:tc>
                <w:tcPr>
                  <w:tcW w:w="1402" w:type="pct"/>
                  <w:tcBorders>
                    <w:top w:val="nil"/>
                    <w:left w:val="nil"/>
                    <w:bottom w:val="single" w:color="auto" w:sz="4" w:space="0"/>
                    <w:right w:val="single" w:color="auto" w:sz="4" w:space="0"/>
                  </w:tcBorders>
                  <w:shd w:val="clear" w:color="auto" w:fill="auto"/>
                  <w:vAlign w:val="center"/>
                </w:tcPr>
                <w:p w14:paraId="54650D22">
                  <w:pPr>
                    <w:keepNext w:val="0"/>
                    <w:keepLines w:val="0"/>
                    <w:pageBreakBefore w:val="0"/>
                    <w:kinsoku/>
                    <w:overflowPunct/>
                    <w:bidi w:val="0"/>
                    <w:adjustRightInd/>
                    <w:snapToGrid/>
                    <w:jc w:val="center"/>
                    <w:rPr>
                      <w:rFonts w:hint="default" w:eastAsia="宋体"/>
                      <w:color w:val="auto"/>
                      <w:sz w:val="21"/>
                      <w:szCs w:val="21"/>
                      <w:lang w:val="en-US" w:eastAsia="zh-CN"/>
                    </w:rPr>
                  </w:pPr>
                  <w:r>
                    <w:rPr>
                      <w:rFonts w:hint="eastAsia"/>
                      <w:color w:val="auto"/>
                      <w:sz w:val="21"/>
                      <w:szCs w:val="21"/>
                      <w:lang w:val="en-US" w:eastAsia="zh-CN"/>
                    </w:rPr>
                    <w:t>6240m</w:t>
                  </w:r>
                  <w:r>
                    <w:rPr>
                      <w:rFonts w:hint="eastAsia"/>
                      <w:color w:val="auto"/>
                      <w:sz w:val="21"/>
                      <w:szCs w:val="21"/>
                      <w:vertAlign w:val="superscript"/>
                      <w:lang w:val="en-US" w:eastAsia="zh-CN"/>
                    </w:rPr>
                    <w:t>3</w:t>
                  </w:r>
                  <w:r>
                    <w:rPr>
                      <w:rFonts w:hint="eastAsia"/>
                      <w:color w:val="auto"/>
                      <w:sz w:val="21"/>
                      <w:szCs w:val="21"/>
                      <w:lang w:val="en-US" w:eastAsia="zh-CN"/>
                    </w:rPr>
                    <w:t>/t原料</w:t>
                  </w:r>
                </w:p>
              </w:tc>
              <w:tc>
                <w:tcPr>
                  <w:tcW w:w="1403" w:type="pct"/>
                  <w:tcBorders>
                    <w:top w:val="nil"/>
                    <w:left w:val="nil"/>
                    <w:bottom w:val="single" w:color="auto" w:sz="4" w:space="0"/>
                    <w:right w:val="single" w:color="auto" w:sz="4" w:space="0"/>
                  </w:tcBorders>
                  <w:shd w:val="clear" w:color="auto" w:fill="auto"/>
                  <w:vAlign w:val="center"/>
                </w:tcPr>
                <w:p w14:paraId="0848766C">
                  <w:pPr>
                    <w:keepNext w:val="0"/>
                    <w:keepLines w:val="0"/>
                    <w:pageBreakBefore w:val="0"/>
                    <w:kinsoku/>
                    <w:overflowPunct/>
                    <w:bidi w:val="0"/>
                    <w:adjustRightInd/>
                    <w:snapToGrid/>
                    <w:jc w:val="center"/>
                    <w:rPr>
                      <w:rFonts w:hint="default" w:eastAsia="宋体"/>
                      <w:color w:val="auto"/>
                      <w:sz w:val="21"/>
                      <w:szCs w:val="21"/>
                      <w:lang w:val="en-US" w:eastAsia="zh-CN"/>
                    </w:rPr>
                  </w:pPr>
                  <w:r>
                    <w:rPr>
                      <w:rFonts w:hint="eastAsia"/>
                      <w:color w:val="auto"/>
                      <w:sz w:val="21"/>
                      <w:szCs w:val="21"/>
                      <w:lang w:val="en-US" w:eastAsia="zh-CN"/>
                    </w:rPr>
                    <w:t>1329.12万m</w:t>
                  </w:r>
                  <w:r>
                    <w:rPr>
                      <w:rFonts w:hint="eastAsia"/>
                      <w:color w:val="auto"/>
                      <w:sz w:val="21"/>
                      <w:szCs w:val="21"/>
                      <w:vertAlign w:val="superscript"/>
                      <w:lang w:val="en-US" w:eastAsia="zh-CN"/>
                    </w:rPr>
                    <w:t>3</w:t>
                  </w:r>
                </w:p>
              </w:tc>
            </w:tr>
            <w:tr w14:paraId="775A8F1E">
              <w:tblPrEx>
                <w:tblCellMar>
                  <w:top w:w="0" w:type="dxa"/>
                  <w:left w:w="108" w:type="dxa"/>
                  <w:bottom w:w="0" w:type="dxa"/>
                  <w:right w:w="108" w:type="dxa"/>
                </w:tblCellMar>
              </w:tblPrEx>
              <w:trPr>
                <w:trHeight w:val="27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A80798E">
                  <w:pPr>
                    <w:keepNext w:val="0"/>
                    <w:keepLines w:val="0"/>
                    <w:pageBreakBefore w:val="0"/>
                    <w:kinsoku/>
                    <w:overflowPunct/>
                    <w:bidi w:val="0"/>
                    <w:adjustRightInd/>
                    <w:snapToGrid/>
                    <w:jc w:val="left"/>
                    <w:rPr>
                      <w:rFonts w:hint="eastAsia"/>
                      <w:color w:val="auto"/>
                      <w:sz w:val="21"/>
                      <w:szCs w:val="21"/>
                      <w:lang w:val="en-US" w:eastAsia="zh-CN"/>
                    </w:rPr>
                  </w:pPr>
                  <w:r>
                    <w:rPr>
                      <w:rFonts w:hint="eastAsia"/>
                      <w:color w:val="auto"/>
                      <w:sz w:val="21"/>
                      <w:szCs w:val="21"/>
                      <w:lang w:val="en-US" w:eastAsia="zh-CN"/>
                    </w:rPr>
                    <w:t>注：生物质颗粒含硫量本项目取 0.06进行计算</w:t>
                  </w:r>
                </w:p>
              </w:tc>
            </w:tr>
          </w:tbl>
          <w:p w14:paraId="406A4B80">
            <w:pPr>
              <w:pStyle w:val="18"/>
              <w:keepNext w:val="0"/>
              <w:keepLines w:val="0"/>
              <w:pageBreakBefore w:val="0"/>
              <w:numPr>
                <w:ilvl w:val="0"/>
                <w:numId w:val="0"/>
              </w:numPr>
              <w:kinsoku/>
              <w:overflowPunct/>
              <w:bidi w:val="0"/>
              <w:adjustRightInd/>
              <w:snapToGrid/>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本项目生产的锅炉</w:t>
            </w:r>
            <w:r>
              <w:rPr>
                <w:rFonts w:hint="eastAsia" w:ascii="Times New Roman" w:hAnsi="Times New Roman" w:eastAsia="宋体" w:cs="Times New Roman"/>
                <w:color w:val="auto"/>
                <w:sz w:val="24"/>
                <w:szCs w:val="24"/>
                <w:lang w:val="en-US" w:eastAsia="zh-CN"/>
              </w:rPr>
              <w:t>采用低氮燃烧，锅炉废气</w:t>
            </w:r>
            <w:r>
              <w:rPr>
                <w:rFonts w:hint="default" w:ascii="Times New Roman" w:hAnsi="Times New Roman" w:eastAsia="宋体" w:cs="Times New Roman"/>
                <w:color w:val="auto"/>
                <w:sz w:val="24"/>
                <w:szCs w:val="24"/>
                <w:lang w:val="en-US" w:eastAsia="zh-CN"/>
              </w:rPr>
              <w:t>经炉内道引至</w:t>
            </w:r>
            <w:r>
              <w:rPr>
                <w:rFonts w:hint="eastAsia" w:ascii="Times New Roman" w:hAnsi="Times New Roman" w:eastAsia="宋体" w:cs="Times New Roman"/>
                <w:color w:val="auto"/>
                <w:sz w:val="24"/>
                <w:szCs w:val="24"/>
                <w:lang w:val="en-US" w:eastAsia="zh-CN"/>
              </w:rPr>
              <w:t>SCR脱硝装置+多管旋风除尘+高效布袋除尘器</w:t>
            </w:r>
            <w:r>
              <w:rPr>
                <w:rFonts w:hint="default" w:ascii="Times New Roman" w:hAnsi="Times New Roman" w:eastAsia="宋体" w:cs="Times New Roman"/>
                <w:color w:val="auto"/>
                <w:sz w:val="24"/>
                <w:szCs w:val="24"/>
                <w:lang w:val="en-US" w:eastAsia="zh-CN"/>
              </w:rPr>
              <w:t>+碱液喷淋塔处理后通过1根</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m高排气筒（DA</w:t>
            </w:r>
            <w:r>
              <w:rPr>
                <w:rFonts w:hint="eastAsia"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）高空排放。</w:t>
            </w:r>
            <w:r>
              <w:rPr>
                <w:rFonts w:hint="eastAsia" w:ascii="Times New Roman" w:hAnsi="Times New Roman" w:eastAsia="宋体" w:cs="Times New Roman"/>
                <w:color w:val="auto"/>
                <w:sz w:val="24"/>
                <w:szCs w:val="24"/>
                <w:lang w:val="en-US" w:eastAsia="zh-CN"/>
              </w:rPr>
              <w:t>参考《源强核算技术指南 锅炉》（HJ998-2018）中规定，SCR脱硝去除氮氧化物效率取80%（SCR采用高尘布置方案，催化剂采用钒钛系催化剂，还原剂采用尿素作为还原剂），多管旋风除尘+高效布袋除尘+碱液喷淋塔综合除尘效率取99%；</w:t>
            </w:r>
            <w:r>
              <w:rPr>
                <w:rFonts w:hint="default" w:ascii="Times New Roman" w:hAnsi="Times New Roman" w:eastAsia="宋体" w:cs="Times New Roman"/>
                <w:color w:val="auto"/>
                <w:sz w:val="24"/>
                <w:szCs w:val="24"/>
                <w:lang w:val="en-US" w:eastAsia="zh-CN"/>
              </w:rPr>
              <w:t>碱液喷淋塔二氧化硫</w:t>
            </w:r>
            <w:r>
              <w:rPr>
                <w:rFonts w:hint="eastAsia" w:ascii="Times New Roman" w:hAnsi="Times New Roman" w:eastAsia="宋体" w:cs="Times New Roman"/>
                <w:color w:val="auto"/>
                <w:sz w:val="24"/>
                <w:szCs w:val="24"/>
                <w:lang w:val="en-US" w:eastAsia="zh-CN"/>
              </w:rPr>
              <w:t>去除</w:t>
            </w:r>
            <w:r>
              <w:rPr>
                <w:rFonts w:hint="default" w:ascii="Times New Roman" w:hAnsi="Times New Roman" w:eastAsia="宋体" w:cs="Times New Roman"/>
                <w:color w:val="auto"/>
                <w:sz w:val="24"/>
                <w:szCs w:val="24"/>
                <w:lang w:val="en-US" w:eastAsia="zh-CN"/>
              </w:rPr>
              <w:t>效率</w:t>
            </w:r>
            <w:r>
              <w:rPr>
                <w:rFonts w:hint="eastAsia" w:ascii="Times New Roman" w:hAnsi="Times New Roman" w:eastAsia="宋体" w:cs="Times New Roman"/>
                <w:color w:val="auto"/>
                <w:sz w:val="24"/>
                <w:szCs w:val="24"/>
                <w:lang w:val="en-US" w:eastAsia="zh-CN"/>
              </w:rPr>
              <w:t>取95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（湿式脱硫）</w:t>
            </w:r>
            <w:r>
              <w:rPr>
                <w:rFonts w:hint="default" w:ascii="Times New Roman" w:hAnsi="Times New Roman" w:eastAsia="宋体" w:cs="Times New Roman"/>
                <w:color w:val="auto"/>
                <w:sz w:val="24"/>
                <w:szCs w:val="24"/>
                <w:lang w:val="en-US" w:eastAsia="zh-CN"/>
              </w:rPr>
              <w:t>，对氮氧化物无处理效率（参考《锅炉产排污量核算系数手册）》工业污染源中的4430工业锅炉（热力生产和供应行业）的末端治理技术平均去除效率）；低氮燃烧对氮氧化物处理效率为30%（参考《锅炉产排污量核算系数手册）》工业污染源中的4430工业锅炉（热力生产和供应行业）的末端治理技术平均去除效率）。项目锅炉风量为</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lang w:val="en-US" w:eastAsia="zh-CN"/>
              </w:rPr>
              <w:t>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lang w:val="en-US" w:eastAsia="zh-CN"/>
              </w:rPr>
              <w:t>DA001废气排气筒</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排放量为</w:t>
            </w:r>
            <w:r>
              <w:rPr>
                <w:rFonts w:hint="eastAsia" w:ascii="Times New Roman" w:hAnsi="Times New Roman" w:eastAsia="宋体" w:cs="Times New Roman"/>
                <w:color w:val="auto"/>
                <w:sz w:val="24"/>
                <w:szCs w:val="24"/>
                <w:lang w:val="en-US" w:eastAsia="zh-CN"/>
              </w:rPr>
              <w:t>0.22</w:t>
            </w:r>
            <w:r>
              <w:rPr>
                <w:rFonts w:hint="default" w:ascii="Times New Roman" w:hAnsi="Times New Roman" w:eastAsia="宋体" w:cs="Times New Roman"/>
                <w:color w:val="auto"/>
                <w:sz w:val="24"/>
                <w:szCs w:val="24"/>
                <w:lang w:val="en-US" w:eastAsia="zh-CN"/>
              </w:rPr>
              <w:t>t/a，排放速率</w:t>
            </w:r>
            <w:r>
              <w:rPr>
                <w:rFonts w:hint="eastAsia" w:ascii="Times New Roman" w:hAnsi="Times New Roman" w:eastAsia="宋体" w:cs="Times New Roman"/>
                <w:color w:val="auto"/>
                <w:sz w:val="24"/>
                <w:szCs w:val="24"/>
                <w:lang w:val="en-US" w:eastAsia="zh-CN"/>
              </w:rPr>
              <w:t>0.0</w:t>
            </w:r>
            <w:r>
              <w:rPr>
                <w:rFonts w:hint="eastAsia" w:ascii="Times New Roman" w:hAnsi="Times New Roman" w:cs="Times New Roman"/>
                <w:color w:val="auto"/>
                <w:sz w:val="24"/>
                <w:szCs w:val="24"/>
                <w:lang w:val="en-US" w:eastAsia="zh-CN"/>
              </w:rPr>
              <w:t>72</w:t>
            </w:r>
            <w:r>
              <w:rPr>
                <w:rFonts w:hint="default" w:ascii="Times New Roman" w:hAnsi="Times New Roman" w:eastAsia="宋体" w:cs="Times New Roman"/>
                <w:color w:val="auto"/>
                <w:sz w:val="24"/>
                <w:szCs w:val="24"/>
                <w:lang w:val="en-US" w:eastAsia="zh-CN"/>
              </w:rPr>
              <w:t>kg/h，排放浓度</w:t>
            </w:r>
            <w:r>
              <w:rPr>
                <w:rFonts w:hint="eastAsia" w:ascii="Times New Roman" w:hAnsi="Times New Roman" w:cs="Times New Roman"/>
                <w:color w:val="auto"/>
                <w:sz w:val="24"/>
                <w:szCs w:val="24"/>
                <w:lang w:val="en-US" w:eastAsia="zh-CN"/>
              </w:rPr>
              <w:t>14.49</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；NOx排放量为</w:t>
            </w:r>
            <w:r>
              <w:rPr>
                <w:rFonts w:hint="eastAsia" w:ascii="Times New Roman" w:hAnsi="Times New Roman" w:eastAsia="宋体" w:cs="Times New Roman"/>
                <w:color w:val="auto"/>
                <w:sz w:val="24"/>
                <w:szCs w:val="24"/>
                <w:lang w:val="en-US" w:eastAsia="zh-CN"/>
              </w:rPr>
              <w:t>0.3</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t/a，排放速率</w:t>
            </w:r>
            <w:r>
              <w:rPr>
                <w:rFonts w:hint="eastAsia" w:ascii="Times New Roman" w:hAnsi="Times New Roman" w:eastAsia="宋体" w:cs="Times New Roman"/>
                <w:color w:val="auto"/>
                <w:sz w:val="24"/>
                <w:szCs w:val="24"/>
                <w:lang w:val="en-US" w:eastAsia="zh-CN"/>
              </w:rPr>
              <w:t>0</w:t>
            </w:r>
            <w:r>
              <w:rPr>
                <w:rFonts w:hint="eastAsia" w:ascii="Times New Roman" w:hAnsi="Times New Roman" w:cs="Times New Roman"/>
                <w:color w:val="auto"/>
                <w:sz w:val="24"/>
                <w:szCs w:val="24"/>
                <w:lang w:val="en-US" w:eastAsia="zh-CN"/>
              </w:rPr>
              <w:t>.101</w:t>
            </w:r>
            <w:r>
              <w:rPr>
                <w:rFonts w:hint="default" w:ascii="Times New Roman" w:hAnsi="Times New Roman" w:eastAsia="宋体" w:cs="Times New Roman"/>
                <w:color w:val="auto"/>
                <w:sz w:val="24"/>
                <w:szCs w:val="24"/>
                <w:lang w:val="en-US" w:eastAsia="zh-CN"/>
              </w:rPr>
              <w:t>kg/h，排放浓度</w:t>
            </w:r>
            <w:r>
              <w:rPr>
                <w:rFonts w:hint="eastAsia" w:ascii="Times New Roman" w:hAnsi="Times New Roman" w:cs="Times New Roman"/>
                <w:color w:val="auto"/>
                <w:sz w:val="24"/>
                <w:szCs w:val="24"/>
                <w:lang w:val="en-US" w:eastAsia="zh-CN"/>
              </w:rPr>
              <w:t>20.28</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；烟尘排放量为0.</w:t>
            </w:r>
            <w:r>
              <w:rPr>
                <w:rFonts w:hint="eastAsia" w:ascii="Times New Roman" w:hAnsi="Times New Roman" w:eastAsia="宋体" w:cs="Times New Roman"/>
                <w:color w:val="auto"/>
                <w:sz w:val="24"/>
                <w:szCs w:val="24"/>
                <w:lang w:val="en-US" w:eastAsia="zh-CN"/>
              </w:rPr>
              <w:t>0</w:t>
            </w: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t/a，排放速率0.0</w:t>
            </w:r>
            <w:r>
              <w:rPr>
                <w:rFonts w:hint="eastAsia" w:ascii="Times New Roman" w:hAnsi="Times New Roman" w:eastAsia="宋体" w:cs="Times New Roman"/>
                <w:color w:val="auto"/>
                <w:sz w:val="24"/>
                <w:szCs w:val="24"/>
                <w:lang w:val="en-US" w:eastAsia="zh-CN"/>
              </w:rPr>
              <w:t>03</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kg/h，排放浓度</w:t>
            </w:r>
            <w:r>
              <w:rPr>
                <w:rFonts w:hint="eastAsia" w:ascii="Times New Roman" w:hAnsi="Times New Roman" w:eastAsia="宋体" w:cs="Times New Roman"/>
                <w:color w:val="auto"/>
                <w:sz w:val="24"/>
                <w:szCs w:val="24"/>
                <w:lang w:val="en-US" w:eastAsia="zh-CN"/>
              </w:rPr>
              <w:t>0.</w:t>
            </w:r>
            <w:r>
              <w:rPr>
                <w:rFonts w:hint="eastAsia" w:ascii="Times New Roman" w:hAnsi="Times New Roman" w:cs="Times New Roman"/>
                <w:color w:val="auto"/>
                <w:sz w:val="24"/>
                <w:szCs w:val="24"/>
                <w:lang w:val="en-US" w:eastAsia="zh-CN"/>
              </w:rPr>
              <w:t>71</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各污染物排放浓度满足《锅炉大气污染物排放标准》（GB13271-2014）、</w:t>
            </w:r>
            <w:r>
              <w:rPr>
                <w:rFonts w:hint="default" w:ascii="Times New Roman" w:hAnsi="Times New Roman" w:eastAsia="宋体" w:cs="Times New Roman"/>
                <w:color w:val="auto"/>
                <w:sz w:val="24"/>
                <w:szCs w:val="24"/>
                <w:highlight w:val="none"/>
                <w:lang w:eastAsia="zh-CN"/>
              </w:rPr>
              <w:t>《安徽省空气质量持续改善行动方案》（皖政〔2024〕36号）中</w:t>
            </w:r>
            <w:r>
              <w:rPr>
                <w:rFonts w:hint="eastAsia" w:ascii="Times New Roman" w:hAnsi="Times New Roman" w:eastAsia="宋体" w:cs="Times New Roman"/>
                <w:color w:val="auto"/>
                <w:sz w:val="24"/>
                <w:szCs w:val="24"/>
                <w:lang w:val="en-US" w:eastAsia="zh-CN"/>
              </w:rPr>
              <w:t>关于生物质锅炉超低排放限值要求。</w:t>
            </w:r>
          </w:p>
          <w:p w14:paraId="36EE8645">
            <w:pPr>
              <w:keepNext w:val="0"/>
              <w:keepLines w:val="0"/>
              <w:pageBreakBefore w:val="0"/>
              <w:kinsoku/>
              <w:overflowPunct/>
              <w:bidi w:val="0"/>
              <w:adjustRightInd/>
              <w:snapToGrid/>
              <w:spacing w:line="360" w:lineRule="auto"/>
              <w:ind w:firstLine="442" w:firstLineChars="200"/>
              <w:rPr>
                <w:b/>
                <w:bCs/>
                <w:color w:val="auto"/>
                <w:spacing w:val="-10"/>
                <w:sz w:val="24"/>
                <w:szCs w:val="24"/>
              </w:rPr>
            </w:pPr>
            <w:r>
              <w:rPr>
                <w:rFonts w:hint="eastAsia"/>
                <w:b/>
                <w:bCs/>
                <w:color w:val="auto"/>
                <w:spacing w:val="-10"/>
                <w:sz w:val="24"/>
                <w:szCs w:val="24"/>
                <w:lang w:val="en-US" w:eastAsia="zh-CN"/>
              </w:rPr>
              <w:t>3</w:t>
            </w:r>
            <w:r>
              <w:rPr>
                <w:b/>
                <w:bCs/>
                <w:color w:val="auto"/>
                <w:spacing w:val="-10"/>
                <w:sz w:val="24"/>
                <w:szCs w:val="24"/>
              </w:rPr>
              <w:t>、非正常工况</w:t>
            </w:r>
          </w:p>
          <w:p w14:paraId="5C36814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①非正常工况排放源强</w:t>
            </w:r>
          </w:p>
          <w:p w14:paraId="2D9F5EAF">
            <w:pPr>
              <w:keepNext w:val="0"/>
              <w:keepLines w:val="0"/>
              <w:pageBreakBefore w:val="0"/>
              <w:kinsoku/>
              <w:overflowPunct/>
              <w:bidi w:val="0"/>
              <w:adjustRightInd/>
              <w:snapToGrid/>
              <w:spacing w:line="360" w:lineRule="auto"/>
              <w:ind w:firstLine="480" w:firstLineChars="200"/>
              <w:rPr>
                <w:color w:val="auto"/>
                <w:sz w:val="24"/>
                <w:szCs w:val="24"/>
              </w:rPr>
            </w:pPr>
            <w:r>
              <w:rPr>
                <w:color w:val="auto"/>
                <w:sz w:val="24"/>
                <w:szCs w:val="24"/>
              </w:rPr>
              <w:t>非正常排放是指生产过程中设备检修、工艺设备运转异常等非正常工况下的污染物排放，以及污染物排放控制措施达不到</w:t>
            </w:r>
            <w:r>
              <w:rPr>
                <w:rFonts w:hint="eastAsia"/>
                <w:color w:val="auto"/>
                <w:sz w:val="24"/>
                <w:szCs w:val="24"/>
                <w:lang w:eastAsia="zh-CN"/>
              </w:rPr>
              <w:t>设计</w:t>
            </w:r>
            <w:r>
              <w:rPr>
                <w:color w:val="auto"/>
                <w:sz w:val="24"/>
                <w:szCs w:val="24"/>
              </w:rPr>
              <w:t>效率等情况下的排放。</w:t>
            </w:r>
          </w:p>
          <w:p w14:paraId="4AC1F8E5">
            <w:pPr>
              <w:pStyle w:val="10"/>
              <w:keepNext w:val="0"/>
              <w:keepLines w:val="0"/>
              <w:pageBreakBefore w:val="0"/>
              <w:kinsoku/>
              <w:overflowPunct/>
              <w:bidi w:val="0"/>
              <w:adjustRightInd/>
              <w:snapToGrid/>
              <w:spacing w:line="360" w:lineRule="auto"/>
              <w:rPr>
                <w:rFonts w:cs="Times New Roman"/>
                <w:color w:val="auto"/>
                <w:sz w:val="24"/>
                <w:szCs w:val="24"/>
                <w:lang w:val="en-US"/>
              </w:rPr>
            </w:pPr>
            <w:r>
              <w:rPr>
                <w:rFonts w:cs="Times New Roman"/>
                <w:color w:val="auto"/>
                <w:sz w:val="24"/>
                <w:szCs w:val="24"/>
              </w:rPr>
              <w:t>表</w:t>
            </w:r>
            <w:r>
              <w:rPr>
                <w:rFonts w:cs="Times New Roman"/>
                <w:color w:val="auto"/>
                <w:sz w:val="24"/>
                <w:szCs w:val="24"/>
                <w:lang w:val="en-US"/>
              </w:rPr>
              <w:t>4-</w:t>
            </w:r>
            <w:r>
              <w:rPr>
                <w:rFonts w:hint="eastAsia" w:cs="Times New Roman"/>
                <w:color w:val="auto"/>
                <w:sz w:val="24"/>
                <w:szCs w:val="24"/>
                <w:lang w:val="en-US" w:eastAsia="zh-CN"/>
              </w:rPr>
              <w:t xml:space="preserve">8 </w:t>
            </w:r>
            <w:r>
              <w:rPr>
                <w:rFonts w:cs="Times New Roman"/>
                <w:color w:val="auto"/>
                <w:sz w:val="24"/>
                <w:szCs w:val="24"/>
                <w:lang w:val="en-US"/>
              </w:rPr>
              <w:t xml:space="preserve"> </w:t>
            </w:r>
            <w:r>
              <w:rPr>
                <w:rFonts w:cs="Times New Roman"/>
                <w:color w:val="auto"/>
                <w:sz w:val="24"/>
                <w:szCs w:val="24"/>
              </w:rPr>
              <w:t>污染源非正常排放量核算表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6"/>
              <w:gridCol w:w="690"/>
              <w:gridCol w:w="1096"/>
              <w:gridCol w:w="595"/>
              <w:gridCol w:w="1563"/>
              <w:gridCol w:w="1452"/>
              <w:gridCol w:w="1012"/>
              <w:gridCol w:w="957"/>
              <w:gridCol w:w="1072"/>
            </w:tblGrid>
            <w:tr w14:paraId="212D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202" w:type="pct"/>
                  <w:vAlign w:val="center"/>
                </w:tcPr>
                <w:p w14:paraId="59947DF2">
                  <w:pPr>
                    <w:keepNext w:val="0"/>
                    <w:keepLines w:val="0"/>
                    <w:pageBreakBefore w:val="0"/>
                    <w:kinsoku/>
                    <w:overflowPunct/>
                    <w:bidi w:val="0"/>
                    <w:adjustRightInd/>
                    <w:snapToGrid/>
                    <w:jc w:val="center"/>
                    <w:rPr>
                      <w:b/>
                      <w:color w:val="auto"/>
                      <w:sz w:val="21"/>
                      <w:szCs w:val="21"/>
                    </w:rPr>
                  </w:pPr>
                  <w:r>
                    <w:rPr>
                      <w:b/>
                      <w:color w:val="auto"/>
                      <w:sz w:val="21"/>
                      <w:szCs w:val="21"/>
                    </w:rPr>
                    <w:t>序号</w:t>
                  </w:r>
                </w:p>
              </w:tc>
              <w:tc>
                <w:tcPr>
                  <w:tcW w:w="392" w:type="pct"/>
                  <w:vAlign w:val="center"/>
                </w:tcPr>
                <w:p w14:paraId="59DDFE39">
                  <w:pPr>
                    <w:keepNext w:val="0"/>
                    <w:keepLines w:val="0"/>
                    <w:pageBreakBefore w:val="0"/>
                    <w:kinsoku/>
                    <w:overflowPunct/>
                    <w:bidi w:val="0"/>
                    <w:adjustRightInd/>
                    <w:snapToGrid/>
                    <w:jc w:val="center"/>
                    <w:rPr>
                      <w:b/>
                      <w:color w:val="auto"/>
                      <w:sz w:val="21"/>
                      <w:szCs w:val="21"/>
                    </w:rPr>
                  </w:pPr>
                  <w:r>
                    <w:rPr>
                      <w:b/>
                      <w:color w:val="auto"/>
                      <w:sz w:val="21"/>
                      <w:szCs w:val="21"/>
                    </w:rPr>
                    <w:t>污染源</w:t>
                  </w:r>
                </w:p>
              </w:tc>
              <w:tc>
                <w:tcPr>
                  <w:tcW w:w="623" w:type="pct"/>
                  <w:vAlign w:val="center"/>
                </w:tcPr>
                <w:p w14:paraId="5B3F43E5">
                  <w:pPr>
                    <w:keepNext w:val="0"/>
                    <w:keepLines w:val="0"/>
                    <w:pageBreakBefore w:val="0"/>
                    <w:kinsoku/>
                    <w:overflowPunct/>
                    <w:bidi w:val="0"/>
                    <w:adjustRightInd/>
                    <w:snapToGrid/>
                    <w:jc w:val="center"/>
                    <w:rPr>
                      <w:b/>
                      <w:color w:val="auto"/>
                      <w:sz w:val="21"/>
                      <w:szCs w:val="21"/>
                    </w:rPr>
                  </w:pPr>
                  <w:r>
                    <w:rPr>
                      <w:b/>
                      <w:color w:val="auto"/>
                      <w:sz w:val="21"/>
                      <w:szCs w:val="21"/>
                    </w:rPr>
                    <w:t>非正常排放原因</w:t>
                  </w:r>
                </w:p>
              </w:tc>
              <w:tc>
                <w:tcPr>
                  <w:tcW w:w="338" w:type="pct"/>
                  <w:vAlign w:val="center"/>
                </w:tcPr>
                <w:p w14:paraId="69601688">
                  <w:pPr>
                    <w:keepNext w:val="0"/>
                    <w:keepLines w:val="0"/>
                    <w:pageBreakBefore w:val="0"/>
                    <w:kinsoku/>
                    <w:overflowPunct/>
                    <w:bidi w:val="0"/>
                    <w:adjustRightInd/>
                    <w:snapToGrid/>
                    <w:jc w:val="center"/>
                    <w:rPr>
                      <w:b/>
                      <w:color w:val="auto"/>
                      <w:sz w:val="21"/>
                      <w:szCs w:val="21"/>
                    </w:rPr>
                  </w:pPr>
                  <w:r>
                    <w:rPr>
                      <w:b/>
                      <w:color w:val="auto"/>
                      <w:sz w:val="21"/>
                      <w:szCs w:val="21"/>
                    </w:rPr>
                    <w:t>污染物</w:t>
                  </w:r>
                </w:p>
              </w:tc>
              <w:tc>
                <w:tcPr>
                  <w:tcW w:w="888" w:type="pct"/>
                  <w:vAlign w:val="center"/>
                </w:tcPr>
                <w:p w14:paraId="20B0D28D">
                  <w:pPr>
                    <w:keepNext w:val="0"/>
                    <w:keepLines w:val="0"/>
                    <w:pageBreakBefore w:val="0"/>
                    <w:kinsoku/>
                    <w:overflowPunct/>
                    <w:bidi w:val="0"/>
                    <w:adjustRightInd/>
                    <w:snapToGrid/>
                    <w:jc w:val="center"/>
                    <w:rPr>
                      <w:b/>
                      <w:color w:val="auto"/>
                      <w:sz w:val="21"/>
                      <w:szCs w:val="21"/>
                    </w:rPr>
                  </w:pPr>
                  <w:r>
                    <w:rPr>
                      <w:b/>
                      <w:color w:val="auto"/>
                      <w:sz w:val="21"/>
                      <w:szCs w:val="21"/>
                    </w:rPr>
                    <w:t>非正常排放浓度/(mg/m</w:t>
                  </w:r>
                  <w:r>
                    <w:rPr>
                      <w:b/>
                      <w:color w:val="auto"/>
                      <w:sz w:val="21"/>
                      <w:szCs w:val="21"/>
                      <w:vertAlign w:val="superscript"/>
                    </w:rPr>
                    <w:t>3</w:t>
                  </w:r>
                  <w:r>
                    <w:rPr>
                      <w:b/>
                      <w:color w:val="auto"/>
                      <w:sz w:val="21"/>
                      <w:szCs w:val="21"/>
                    </w:rPr>
                    <w:t>)</w:t>
                  </w:r>
                </w:p>
              </w:tc>
              <w:tc>
                <w:tcPr>
                  <w:tcW w:w="825" w:type="pct"/>
                  <w:vAlign w:val="center"/>
                </w:tcPr>
                <w:p w14:paraId="3AF64DF1">
                  <w:pPr>
                    <w:keepNext w:val="0"/>
                    <w:keepLines w:val="0"/>
                    <w:pageBreakBefore w:val="0"/>
                    <w:kinsoku/>
                    <w:overflowPunct/>
                    <w:bidi w:val="0"/>
                    <w:adjustRightInd/>
                    <w:snapToGrid/>
                    <w:jc w:val="center"/>
                    <w:rPr>
                      <w:b/>
                      <w:color w:val="auto"/>
                      <w:sz w:val="21"/>
                      <w:szCs w:val="21"/>
                    </w:rPr>
                  </w:pPr>
                  <w:r>
                    <w:rPr>
                      <w:b/>
                      <w:color w:val="auto"/>
                      <w:sz w:val="21"/>
                      <w:szCs w:val="21"/>
                    </w:rPr>
                    <w:t>非正常排放速率/(kg/h）</w:t>
                  </w:r>
                </w:p>
              </w:tc>
              <w:tc>
                <w:tcPr>
                  <w:tcW w:w="575" w:type="pct"/>
                  <w:vAlign w:val="center"/>
                </w:tcPr>
                <w:p w14:paraId="1D61A3D7">
                  <w:pPr>
                    <w:keepNext w:val="0"/>
                    <w:keepLines w:val="0"/>
                    <w:pageBreakBefore w:val="0"/>
                    <w:kinsoku/>
                    <w:overflowPunct/>
                    <w:bidi w:val="0"/>
                    <w:adjustRightInd/>
                    <w:snapToGrid/>
                    <w:jc w:val="center"/>
                    <w:rPr>
                      <w:b/>
                      <w:color w:val="auto"/>
                      <w:sz w:val="21"/>
                      <w:szCs w:val="21"/>
                    </w:rPr>
                  </w:pPr>
                  <w:r>
                    <w:rPr>
                      <w:b/>
                      <w:color w:val="auto"/>
                      <w:sz w:val="21"/>
                      <w:szCs w:val="21"/>
                    </w:rPr>
                    <w:t>单次持续时间/h</w:t>
                  </w:r>
                </w:p>
              </w:tc>
              <w:tc>
                <w:tcPr>
                  <w:tcW w:w="544" w:type="pct"/>
                  <w:vAlign w:val="center"/>
                </w:tcPr>
                <w:p w14:paraId="50966805">
                  <w:pPr>
                    <w:keepNext w:val="0"/>
                    <w:keepLines w:val="0"/>
                    <w:pageBreakBefore w:val="0"/>
                    <w:kinsoku/>
                    <w:overflowPunct/>
                    <w:bidi w:val="0"/>
                    <w:adjustRightInd/>
                    <w:snapToGrid/>
                    <w:jc w:val="center"/>
                    <w:rPr>
                      <w:b/>
                      <w:color w:val="auto"/>
                      <w:sz w:val="21"/>
                      <w:szCs w:val="21"/>
                    </w:rPr>
                  </w:pPr>
                  <w:r>
                    <w:rPr>
                      <w:b/>
                      <w:color w:val="auto"/>
                      <w:sz w:val="21"/>
                      <w:szCs w:val="21"/>
                    </w:rPr>
                    <w:t>年发生频次/次</w:t>
                  </w:r>
                </w:p>
              </w:tc>
              <w:tc>
                <w:tcPr>
                  <w:tcW w:w="609" w:type="pct"/>
                  <w:vAlign w:val="center"/>
                </w:tcPr>
                <w:p w14:paraId="47A432C1">
                  <w:pPr>
                    <w:keepNext w:val="0"/>
                    <w:keepLines w:val="0"/>
                    <w:pageBreakBefore w:val="0"/>
                    <w:kinsoku/>
                    <w:overflowPunct/>
                    <w:bidi w:val="0"/>
                    <w:adjustRightInd/>
                    <w:snapToGrid/>
                    <w:jc w:val="center"/>
                    <w:rPr>
                      <w:b/>
                      <w:color w:val="auto"/>
                      <w:sz w:val="21"/>
                      <w:szCs w:val="21"/>
                    </w:rPr>
                  </w:pPr>
                  <w:r>
                    <w:rPr>
                      <w:b/>
                      <w:color w:val="auto"/>
                      <w:sz w:val="21"/>
                      <w:szCs w:val="21"/>
                    </w:rPr>
                    <w:t>应对措施</w:t>
                  </w:r>
                </w:p>
              </w:tc>
            </w:tr>
            <w:tr w14:paraId="3383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1" w:hRule="atLeast"/>
                <w:jc w:val="center"/>
              </w:trPr>
              <w:tc>
                <w:tcPr>
                  <w:tcW w:w="202" w:type="pct"/>
                  <w:vMerge w:val="restart"/>
                  <w:vAlign w:val="center"/>
                </w:tcPr>
                <w:p w14:paraId="68E4E51D">
                  <w:pPr>
                    <w:keepNext w:val="0"/>
                    <w:keepLines w:val="0"/>
                    <w:pageBreakBefore w:val="0"/>
                    <w:kinsoku/>
                    <w:overflowPunct/>
                    <w:bidi w:val="0"/>
                    <w:adjustRightInd/>
                    <w:snapToGrid/>
                    <w:jc w:val="center"/>
                    <w:rPr>
                      <w:rFonts w:hint="eastAsia" w:eastAsia="宋体"/>
                      <w:color w:val="auto"/>
                      <w:sz w:val="21"/>
                      <w:szCs w:val="21"/>
                      <w:lang w:eastAsia="zh-CN"/>
                    </w:rPr>
                  </w:pPr>
                  <w:r>
                    <w:rPr>
                      <w:rFonts w:hint="eastAsia"/>
                      <w:color w:val="auto"/>
                      <w:sz w:val="21"/>
                      <w:szCs w:val="21"/>
                      <w:lang w:val="en-US" w:eastAsia="zh-CN"/>
                    </w:rPr>
                    <w:t>1</w:t>
                  </w:r>
                </w:p>
              </w:tc>
              <w:tc>
                <w:tcPr>
                  <w:tcW w:w="392" w:type="pct"/>
                  <w:vMerge w:val="restart"/>
                  <w:vAlign w:val="center"/>
                </w:tcPr>
                <w:p w14:paraId="4E8701DB">
                  <w:pPr>
                    <w:keepNext w:val="0"/>
                    <w:keepLines w:val="0"/>
                    <w:pageBreakBefore w:val="0"/>
                    <w:widowControl/>
                    <w:kinsoku/>
                    <w:overflowPunct/>
                    <w:bidi w:val="0"/>
                    <w:adjustRightInd/>
                    <w:snapToGrid/>
                    <w:jc w:val="center"/>
                    <w:rPr>
                      <w:rFonts w:hint="eastAsia" w:eastAsia="宋体"/>
                      <w:color w:val="auto"/>
                      <w:sz w:val="21"/>
                      <w:szCs w:val="21"/>
                      <w:lang w:eastAsia="zh-CN"/>
                    </w:rPr>
                  </w:pPr>
                  <w:r>
                    <w:rPr>
                      <w:color w:val="auto"/>
                      <w:kern w:val="0"/>
                      <w:sz w:val="21"/>
                      <w:szCs w:val="21"/>
                    </w:rPr>
                    <w:t>DA00</w:t>
                  </w:r>
                  <w:r>
                    <w:rPr>
                      <w:rFonts w:hint="eastAsia"/>
                      <w:color w:val="auto"/>
                      <w:kern w:val="0"/>
                      <w:sz w:val="21"/>
                      <w:szCs w:val="21"/>
                      <w:lang w:val="en-US" w:eastAsia="zh-CN"/>
                    </w:rPr>
                    <w:t>1</w:t>
                  </w:r>
                </w:p>
              </w:tc>
              <w:tc>
                <w:tcPr>
                  <w:tcW w:w="623" w:type="pct"/>
                  <w:vMerge w:val="restart"/>
                  <w:vAlign w:val="center"/>
                </w:tcPr>
                <w:p w14:paraId="21A763A3">
                  <w:pPr>
                    <w:keepNext w:val="0"/>
                    <w:keepLines w:val="0"/>
                    <w:pageBreakBefore w:val="0"/>
                    <w:kinsoku/>
                    <w:overflowPunct/>
                    <w:bidi w:val="0"/>
                    <w:adjustRightInd/>
                    <w:snapToGrid/>
                    <w:jc w:val="center"/>
                    <w:rPr>
                      <w:rFonts w:hint="eastAsia" w:eastAsia="宋体"/>
                      <w:color w:val="auto"/>
                      <w:sz w:val="21"/>
                      <w:szCs w:val="21"/>
                      <w:lang w:eastAsia="zh-CN"/>
                    </w:rPr>
                  </w:pPr>
                  <w:r>
                    <w:rPr>
                      <w:rFonts w:hint="eastAsia"/>
                      <w:color w:val="auto"/>
                      <w:sz w:val="21"/>
                      <w:szCs w:val="21"/>
                      <w:lang w:eastAsia="zh-CN"/>
                    </w:rPr>
                    <w:t>废气处理设施</w:t>
                  </w:r>
                  <w:r>
                    <w:rPr>
                      <w:rFonts w:hint="eastAsia"/>
                      <w:color w:val="auto"/>
                      <w:sz w:val="21"/>
                      <w:szCs w:val="21"/>
                      <w:lang w:val="en-US" w:eastAsia="zh-CN"/>
                    </w:rPr>
                    <w:t>失效</w:t>
                  </w:r>
                </w:p>
              </w:tc>
              <w:tc>
                <w:tcPr>
                  <w:tcW w:w="338" w:type="pct"/>
                  <w:vAlign w:val="center"/>
                </w:tcPr>
                <w:p w14:paraId="458B308D">
                  <w:pPr>
                    <w:keepNext w:val="0"/>
                    <w:keepLines w:val="0"/>
                    <w:pageBreakBefore w:val="0"/>
                    <w:kinsoku/>
                    <w:overflowPunct/>
                    <w:bidi w:val="0"/>
                    <w:adjustRightInd/>
                    <w:snapToGrid/>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颗粒物</w:t>
                  </w:r>
                </w:p>
              </w:tc>
              <w:tc>
                <w:tcPr>
                  <w:tcW w:w="1563" w:type="dxa"/>
                  <w:shd w:val="clear" w:color="auto" w:fill="auto"/>
                  <w:vAlign w:val="center"/>
                </w:tcPr>
                <w:p w14:paraId="41CA3CDC">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Times New Roman" w:cs="Times New Roman"/>
                      <w:color w:val="auto"/>
                      <w:kern w:val="2"/>
                      <w:sz w:val="21"/>
                      <w:szCs w:val="21"/>
                      <w:lang w:val="en-US" w:eastAsia="zh-CN" w:bidi="ar-SA"/>
                    </w:rPr>
                    <w:t>71</w:t>
                  </w:r>
                </w:p>
              </w:tc>
              <w:tc>
                <w:tcPr>
                  <w:tcW w:w="1452" w:type="dxa"/>
                  <w:shd w:val="clear" w:color="auto" w:fill="auto"/>
                  <w:vAlign w:val="center"/>
                </w:tcPr>
                <w:p w14:paraId="5F9B593B">
                  <w:pPr>
                    <w:pStyle w:val="2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0.3</w:t>
                  </w:r>
                  <w:r>
                    <w:rPr>
                      <w:rFonts w:hint="eastAsia" w:eastAsia="Times New Roman" w:cs="Times New Roman"/>
                      <w:color w:val="auto"/>
                      <w:kern w:val="2"/>
                      <w:sz w:val="21"/>
                      <w:szCs w:val="21"/>
                      <w:lang w:val="en-US" w:eastAsia="zh-CN" w:bidi="ar-SA"/>
                    </w:rPr>
                    <w:t>55</w:t>
                  </w:r>
                  <w:r>
                    <w:rPr>
                      <w:rFonts w:hint="eastAsia" w:ascii="Times New Roman" w:hAnsi="Times New Roman" w:eastAsia="Times New Roman" w:cs="Times New Roman"/>
                      <w:color w:val="auto"/>
                      <w:kern w:val="2"/>
                      <w:sz w:val="21"/>
                      <w:szCs w:val="21"/>
                      <w:lang w:val="en-US" w:eastAsia="zh-CN" w:bidi="ar-SA"/>
                    </w:rPr>
                    <w:t xml:space="preserve"> </w:t>
                  </w:r>
                </w:p>
              </w:tc>
              <w:tc>
                <w:tcPr>
                  <w:tcW w:w="575" w:type="pct"/>
                  <w:vMerge w:val="restart"/>
                  <w:vAlign w:val="center"/>
                </w:tcPr>
                <w:p w14:paraId="7DDE86A9">
                  <w:pPr>
                    <w:keepNext w:val="0"/>
                    <w:keepLines w:val="0"/>
                    <w:pageBreakBefore w:val="0"/>
                    <w:kinsoku/>
                    <w:overflowPunct/>
                    <w:bidi w:val="0"/>
                    <w:adjustRightInd/>
                    <w:snapToGrid/>
                    <w:jc w:val="center"/>
                    <w:rPr>
                      <w:color w:val="auto"/>
                      <w:sz w:val="21"/>
                      <w:szCs w:val="21"/>
                    </w:rPr>
                  </w:pPr>
                  <w:r>
                    <w:rPr>
                      <w:color w:val="auto"/>
                      <w:sz w:val="21"/>
                      <w:szCs w:val="21"/>
                    </w:rPr>
                    <w:t>0.5</w:t>
                  </w:r>
                </w:p>
              </w:tc>
              <w:tc>
                <w:tcPr>
                  <w:tcW w:w="544" w:type="pct"/>
                  <w:vMerge w:val="restart"/>
                  <w:vAlign w:val="center"/>
                </w:tcPr>
                <w:p w14:paraId="72E73EF7">
                  <w:pPr>
                    <w:keepNext w:val="0"/>
                    <w:keepLines w:val="0"/>
                    <w:pageBreakBefore w:val="0"/>
                    <w:kinsoku/>
                    <w:overflowPunct/>
                    <w:bidi w:val="0"/>
                    <w:adjustRightInd/>
                    <w:snapToGrid/>
                    <w:jc w:val="center"/>
                    <w:rPr>
                      <w:color w:val="auto"/>
                      <w:sz w:val="21"/>
                      <w:szCs w:val="21"/>
                    </w:rPr>
                  </w:pPr>
                  <w:r>
                    <w:rPr>
                      <w:color w:val="auto"/>
                      <w:sz w:val="21"/>
                      <w:szCs w:val="21"/>
                    </w:rPr>
                    <w:t>1</w:t>
                  </w:r>
                </w:p>
              </w:tc>
              <w:tc>
                <w:tcPr>
                  <w:tcW w:w="609" w:type="pct"/>
                  <w:vMerge w:val="restart"/>
                  <w:vAlign w:val="center"/>
                </w:tcPr>
                <w:p w14:paraId="1635FF72">
                  <w:pPr>
                    <w:keepNext w:val="0"/>
                    <w:keepLines w:val="0"/>
                    <w:pageBreakBefore w:val="0"/>
                    <w:kinsoku/>
                    <w:overflowPunct/>
                    <w:bidi w:val="0"/>
                    <w:adjustRightInd/>
                    <w:snapToGrid/>
                    <w:jc w:val="center"/>
                    <w:rPr>
                      <w:color w:val="auto"/>
                      <w:sz w:val="21"/>
                      <w:szCs w:val="21"/>
                    </w:rPr>
                  </w:pPr>
                  <w:r>
                    <w:rPr>
                      <w:color w:val="auto"/>
                      <w:sz w:val="21"/>
                      <w:szCs w:val="21"/>
                    </w:rPr>
                    <w:t>定期检修和维护</w:t>
                  </w:r>
                </w:p>
              </w:tc>
            </w:tr>
            <w:tr w14:paraId="13BA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1" w:hRule="atLeast"/>
                <w:jc w:val="center"/>
              </w:trPr>
              <w:tc>
                <w:tcPr>
                  <w:tcW w:w="202" w:type="pct"/>
                  <w:vMerge w:val="continue"/>
                  <w:vAlign w:val="center"/>
                </w:tcPr>
                <w:p w14:paraId="00476DCC">
                  <w:pPr>
                    <w:keepNext w:val="0"/>
                    <w:keepLines w:val="0"/>
                    <w:pageBreakBefore w:val="0"/>
                    <w:kinsoku/>
                    <w:overflowPunct/>
                    <w:bidi w:val="0"/>
                    <w:adjustRightInd/>
                    <w:snapToGrid/>
                    <w:jc w:val="center"/>
                    <w:rPr>
                      <w:color w:val="auto"/>
                      <w:sz w:val="21"/>
                      <w:szCs w:val="21"/>
                    </w:rPr>
                  </w:pPr>
                </w:p>
              </w:tc>
              <w:tc>
                <w:tcPr>
                  <w:tcW w:w="392" w:type="pct"/>
                  <w:vMerge w:val="continue"/>
                  <w:vAlign w:val="center"/>
                </w:tcPr>
                <w:p w14:paraId="24FCBE4B">
                  <w:pPr>
                    <w:keepNext w:val="0"/>
                    <w:keepLines w:val="0"/>
                    <w:pageBreakBefore w:val="0"/>
                    <w:kinsoku/>
                    <w:overflowPunct/>
                    <w:bidi w:val="0"/>
                    <w:adjustRightInd/>
                    <w:snapToGrid/>
                    <w:jc w:val="center"/>
                    <w:rPr>
                      <w:color w:val="auto"/>
                      <w:sz w:val="21"/>
                      <w:szCs w:val="21"/>
                    </w:rPr>
                  </w:pPr>
                </w:p>
              </w:tc>
              <w:tc>
                <w:tcPr>
                  <w:tcW w:w="623" w:type="pct"/>
                  <w:vMerge w:val="continue"/>
                  <w:vAlign w:val="center"/>
                </w:tcPr>
                <w:p w14:paraId="481B2B9F">
                  <w:pPr>
                    <w:keepNext w:val="0"/>
                    <w:keepLines w:val="0"/>
                    <w:pageBreakBefore w:val="0"/>
                    <w:kinsoku/>
                    <w:overflowPunct/>
                    <w:bidi w:val="0"/>
                    <w:adjustRightInd/>
                    <w:snapToGrid/>
                    <w:jc w:val="center"/>
                    <w:rPr>
                      <w:color w:val="auto"/>
                      <w:sz w:val="21"/>
                      <w:szCs w:val="21"/>
                    </w:rPr>
                  </w:pPr>
                </w:p>
              </w:tc>
              <w:tc>
                <w:tcPr>
                  <w:tcW w:w="338" w:type="pct"/>
                  <w:vAlign w:val="center"/>
                </w:tcPr>
                <w:p w14:paraId="50CCFCEF">
                  <w:pPr>
                    <w:keepNext w:val="0"/>
                    <w:keepLines w:val="0"/>
                    <w:pageBreakBefore w:val="0"/>
                    <w:kinsoku/>
                    <w:overflowPunct/>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1563" w:type="dxa"/>
                  <w:shd w:val="clear" w:color="auto" w:fill="auto"/>
                  <w:vAlign w:val="center"/>
                </w:tcPr>
                <w:p w14:paraId="1129D685">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Times New Roman" w:cs="Times New Roman"/>
                      <w:color w:val="auto"/>
                      <w:kern w:val="2"/>
                      <w:sz w:val="21"/>
                      <w:szCs w:val="21"/>
                      <w:lang w:val="en-US" w:eastAsia="zh-CN" w:bidi="ar-SA"/>
                    </w:rPr>
                    <w:t>144.87</w:t>
                  </w:r>
                </w:p>
              </w:tc>
              <w:tc>
                <w:tcPr>
                  <w:tcW w:w="1452" w:type="dxa"/>
                  <w:shd w:val="clear" w:color="auto" w:fill="auto"/>
                  <w:vAlign w:val="center"/>
                </w:tcPr>
                <w:p w14:paraId="7D2D3271">
                  <w:pPr>
                    <w:pStyle w:val="2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Times New Roman" w:cs="Times New Roman"/>
                      <w:color w:val="auto"/>
                      <w:kern w:val="2"/>
                      <w:sz w:val="21"/>
                      <w:szCs w:val="21"/>
                      <w:lang w:val="en-US" w:eastAsia="zh-CN" w:bidi="ar-SA"/>
                    </w:rPr>
                    <w:t>0.724</w:t>
                  </w:r>
                </w:p>
              </w:tc>
              <w:tc>
                <w:tcPr>
                  <w:tcW w:w="575" w:type="pct"/>
                  <w:vMerge w:val="continue"/>
                  <w:vAlign w:val="center"/>
                </w:tcPr>
                <w:p w14:paraId="1DBE330B">
                  <w:pPr>
                    <w:keepNext w:val="0"/>
                    <w:keepLines w:val="0"/>
                    <w:pageBreakBefore w:val="0"/>
                    <w:kinsoku/>
                    <w:overflowPunct/>
                    <w:bidi w:val="0"/>
                    <w:adjustRightInd/>
                    <w:snapToGrid/>
                    <w:jc w:val="center"/>
                    <w:rPr>
                      <w:color w:val="auto"/>
                      <w:kern w:val="0"/>
                      <w:sz w:val="21"/>
                      <w:szCs w:val="21"/>
                    </w:rPr>
                  </w:pPr>
                </w:p>
              </w:tc>
              <w:tc>
                <w:tcPr>
                  <w:tcW w:w="544" w:type="pct"/>
                  <w:vMerge w:val="continue"/>
                  <w:vAlign w:val="center"/>
                </w:tcPr>
                <w:p w14:paraId="5CA34568">
                  <w:pPr>
                    <w:keepNext w:val="0"/>
                    <w:keepLines w:val="0"/>
                    <w:pageBreakBefore w:val="0"/>
                    <w:kinsoku/>
                    <w:overflowPunct/>
                    <w:bidi w:val="0"/>
                    <w:adjustRightInd/>
                    <w:snapToGrid/>
                    <w:jc w:val="center"/>
                    <w:rPr>
                      <w:color w:val="auto"/>
                      <w:kern w:val="0"/>
                      <w:sz w:val="21"/>
                      <w:szCs w:val="21"/>
                    </w:rPr>
                  </w:pPr>
                </w:p>
              </w:tc>
              <w:tc>
                <w:tcPr>
                  <w:tcW w:w="609" w:type="pct"/>
                  <w:vMerge w:val="continue"/>
                  <w:vAlign w:val="center"/>
                </w:tcPr>
                <w:p w14:paraId="250C9382">
                  <w:pPr>
                    <w:keepNext w:val="0"/>
                    <w:keepLines w:val="0"/>
                    <w:pageBreakBefore w:val="0"/>
                    <w:kinsoku/>
                    <w:overflowPunct/>
                    <w:bidi w:val="0"/>
                    <w:adjustRightInd/>
                    <w:snapToGrid/>
                    <w:jc w:val="center"/>
                    <w:rPr>
                      <w:color w:val="auto"/>
                      <w:kern w:val="0"/>
                      <w:sz w:val="21"/>
                      <w:szCs w:val="21"/>
                    </w:rPr>
                  </w:pPr>
                </w:p>
              </w:tc>
            </w:tr>
            <w:tr w14:paraId="623A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1" w:hRule="atLeast"/>
                <w:jc w:val="center"/>
              </w:trPr>
              <w:tc>
                <w:tcPr>
                  <w:tcW w:w="202" w:type="pct"/>
                  <w:vMerge w:val="continue"/>
                  <w:vAlign w:val="center"/>
                </w:tcPr>
                <w:p w14:paraId="3AD2B1BA">
                  <w:pPr>
                    <w:keepNext w:val="0"/>
                    <w:keepLines w:val="0"/>
                    <w:pageBreakBefore w:val="0"/>
                    <w:kinsoku/>
                    <w:overflowPunct/>
                    <w:bidi w:val="0"/>
                    <w:adjustRightInd/>
                    <w:snapToGrid/>
                    <w:jc w:val="center"/>
                    <w:rPr>
                      <w:color w:val="auto"/>
                      <w:kern w:val="0"/>
                      <w:sz w:val="21"/>
                      <w:szCs w:val="21"/>
                    </w:rPr>
                  </w:pPr>
                </w:p>
              </w:tc>
              <w:tc>
                <w:tcPr>
                  <w:tcW w:w="392" w:type="pct"/>
                  <w:vMerge w:val="continue"/>
                  <w:vAlign w:val="center"/>
                </w:tcPr>
                <w:p w14:paraId="0ED7A63D">
                  <w:pPr>
                    <w:keepNext w:val="0"/>
                    <w:keepLines w:val="0"/>
                    <w:pageBreakBefore w:val="0"/>
                    <w:kinsoku/>
                    <w:overflowPunct/>
                    <w:bidi w:val="0"/>
                    <w:adjustRightInd/>
                    <w:snapToGrid/>
                    <w:jc w:val="center"/>
                    <w:rPr>
                      <w:color w:val="auto"/>
                      <w:kern w:val="0"/>
                      <w:sz w:val="21"/>
                      <w:szCs w:val="21"/>
                    </w:rPr>
                  </w:pPr>
                </w:p>
              </w:tc>
              <w:tc>
                <w:tcPr>
                  <w:tcW w:w="623" w:type="pct"/>
                  <w:vMerge w:val="continue"/>
                  <w:vAlign w:val="center"/>
                </w:tcPr>
                <w:p w14:paraId="577FEB3D">
                  <w:pPr>
                    <w:keepNext w:val="0"/>
                    <w:keepLines w:val="0"/>
                    <w:pageBreakBefore w:val="0"/>
                    <w:kinsoku/>
                    <w:overflowPunct/>
                    <w:bidi w:val="0"/>
                    <w:adjustRightInd/>
                    <w:snapToGrid/>
                    <w:jc w:val="center"/>
                    <w:rPr>
                      <w:color w:val="auto"/>
                      <w:kern w:val="0"/>
                      <w:sz w:val="21"/>
                      <w:szCs w:val="21"/>
                    </w:rPr>
                  </w:pPr>
                </w:p>
              </w:tc>
              <w:tc>
                <w:tcPr>
                  <w:tcW w:w="338" w:type="pct"/>
                  <w:vAlign w:val="center"/>
                </w:tcPr>
                <w:p w14:paraId="7F7738A5">
                  <w:pPr>
                    <w:keepNext w:val="0"/>
                    <w:keepLines w:val="0"/>
                    <w:pageBreakBefore w:val="0"/>
                    <w:kinsoku/>
                    <w:overflowPunct/>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NOx</w:t>
                  </w:r>
                </w:p>
              </w:tc>
              <w:tc>
                <w:tcPr>
                  <w:tcW w:w="1563" w:type="dxa"/>
                  <w:shd w:val="clear" w:color="auto" w:fill="auto"/>
                  <w:vAlign w:val="center"/>
                </w:tcPr>
                <w:p w14:paraId="708650F0">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Times New Roman" w:cs="Times New Roman"/>
                      <w:color w:val="auto"/>
                      <w:kern w:val="2"/>
                      <w:sz w:val="21"/>
                      <w:szCs w:val="21"/>
                      <w:lang w:val="en-US" w:eastAsia="zh-CN" w:bidi="ar-SA"/>
                    </w:rPr>
                    <w:t>144.87</w:t>
                  </w:r>
                </w:p>
              </w:tc>
              <w:tc>
                <w:tcPr>
                  <w:tcW w:w="1452" w:type="dxa"/>
                  <w:shd w:val="clear" w:color="auto" w:fill="auto"/>
                  <w:vAlign w:val="center"/>
                </w:tcPr>
                <w:p w14:paraId="7CE162B6">
                  <w:pPr>
                    <w:pStyle w:val="2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Times New Roman" w:cs="Times New Roman"/>
                      <w:color w:val="auto"/>
                      <w:kern w:val="2"/>
                      <w:sz w:val="21"/>
                      <w:szCs w:val="21"/>
                      <w:lang w:val="en-US" w:eastAsia="zh-CN" w:bidi="ar-SA"/>
                    </w:rPr>
                    <w:t>0.724</w:t>
                  </w:r>
                </w:p>
              </w:tc>
              <w:tc>
                <w:tcPr>
                  <w:tcW w:w="575" w:type="pct"/>
                  <w:vMerge w:val="continue"/>
                  <w:vAlign w:val="center"/>
                </w:tcPr>
                <w:p w14:paraId="6350E3E3">
                  <w:pPr>
                    <w:keepNext w:val="0"/>
                    <w:keepLines w:val="0"/>
                    <w:pageBreakBefore w:val="0"/>
                    <w:kinsoku/>
                    <w:overflowPunct/>
                    <w:bidi w:val="0"/>
                    <w:adjustRightInd/>
                    <w:snapToGrid/>
                    <w:jc w:val="center"/>
                    <w:rPr>
                      <w:color w:val="auto"/>
                      <w:kern w:val="0"/>
                      <w:sz w:val="21"/>
                      <w:szCs w:val="21"/>
                    </w:rPr>
                  </w:pPr>
                </w:p>
              </w:tc>
              <w:tc>
                <w:tcPr>
                  <w:tcW w:w="544" w:type="pct"/>
                  <w:vMerge w:val="continue"/>
                  <w:vAlign w:val="center"/>
                </w:tcPr>
                <w:p w14:paraId="08770E82">
                  <w:pPr>
                    <w:keepNext w:val="0"/>
                    <w:keepLines w:val="0"/>
                    <w:pageBreakBefore w:val="0"/>
                    <w:kinsoku/>
                    <w:overflowPunct/>
                    <w:bidi w:val="0"/>
                    <w:adjustRightInd/>
                    <w:snapToGrid/>
                    <w:jc w:val="center"/>
                    <w:rPr>
                      <w:color w:val="auto"/>
                      <w:kern w:val="0"/>
                      <w:sz w:val="21"/>
                      <w:szCs w:val="21"/>
                    </w:rPr>
                  </w:pPr>
                </w:p>
              </w:tc>
              <w:tc>
                <w:tcPr>
                  <w:tcW w:w="609" w:type="pct"/>
                  <w:vMerge w:val="continue"/>
                  <w:vAlign w:val="center"/>
                </w:tcPr>
                <w:p w14:paraId="5EBE6CEB">
                  <w:pPr>
                    <w:keepNext w:val="0"/>
                    <w:keepLines w:val="0"/>
                    <w:pageBreakBefore w:val="0"/>
                    <w:kinsoku/>
                    <w:overflowPunct/>
                    <w:bidi w:val="0"/>
                    <w:adjustRightInd/>
                    <w:snapToGrid/>
                    <w:jc w:val="center"/>
                    <w:rPr>
                      <w:color w:val="auto"/>
                      <w:kern w:val="0"/>
                      <w:sz w:val="21"/>
                      <w:szCs w:val="21"/>
                    </w:rPr>
                  </w:pPr>
                </w:p>
              </w:tc>
            </w:tr>
          </w:tbl>
          <w:p w14:paraId="0420C6A7">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非正常工况防范措施</w:t>
            </w:r>
          </w:p>
          <w:p w14:paraId="4758857D">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eastAsia"/>
                <w:color w:val="auto"/>
                <w:lang w:val="en-US" w:eastAsia="zh-CN"/>
              </w:rPr>
              <w:t>非正常工况下，废气超标排放的企业应加强日常管理，</w:t>
            </w:r>
            <w:r>
              <w:rPr>
                <w:rFonts w:hint="default" w:ascii="Times New Roman" w:hAnsi="Times New Roman" w:eastAsia="宋体" w:cs="Times New Roman"/>
                <w:color w:val="auto"/>
                <w:sz w:val="24"/>
                <w:szCs w:val="24"/>
              </w:rPr>
              <w:t>为确保项目废气处理装置正常运行，建设单位在日常运行过程中，拟采取如下措施：</w:t>
            </w:r>
          </w:p>
          <w:p w14:paraId="22850F11">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A、由公司委派专人负责每日巡检废气收集措施、处理措施，包括废气收集管道等，做好巡检记录、日常维护和定期管理。</w:t>
            </w:r>
          </w:p>
          <w:p w14:paraId="70948FBA">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B、当发现废气处理设施故障并导致废气非正常排放时，应立即停止废气产生工序生产，待废气处理装置故障排除后并可正常运行时方可恢复相关生产。</w:t>
            </w:r>
          </w:p>
          <w:p w14:paraId="2CE24265">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C、定期对</w:t>
            </w:r>
            <w:r>
              <w:rPr>
                <w:rFonts w:hint="default" w:ascii="Times New Roman" w:hAnsi="Times New Roman" w:eastAsia="宋体" w:cs="Times New Roman"/>
                <w:color w:val="auto"/>
                <w:sz w:val="24"/>
                <w:szCs w:val="24"/>
                <w:lang w:val="en-US" w:eastAsia="zh-CN"/>
              </w:rPr>
              <w:t>SCR脱硝</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高效布袋除尘器</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碱液喷淋塔</w:t>
            </w:r>
            <w:r>
              <w:rPr>
                <w:rFonts w:hint="default" w:ascii="Times New Roman" w:hAnsi="Times New Roman" w:eastAsia="宋体" w:cs="Times New Roman"/>
                <w:color w:val="auto"/>
                <w:sz w:val="24"/>
                <w:szCs w:val="24"/>
              </w:rPr>
              <w:t>装置等进行维护保养，并定期更换</w:t>
            </w:r>
            <w:r>
              <w:rPr>
                <w:rFonts w:hint="default" w:ascii="Times New Roman" w:hAnsi="Times New Roman" w:eastAsia="宋体" w:cs="Times New Roman"/>
                <w:color w:val="auto"/>
                <w:sz w:val="24"/>
                <w:szCs w:val="24"/>
                <w:lang w:val="en-US" w:eastAsia="zh-CN"/>
              </w:rPr>
              <w:t>布袋</w:t>
            </w:r>
            <w:r>
              <w:rPr>
                <w:rFonts w:hint="eastAsia" w:cs="Times New Roman"/>
                <w:color w:val="auto"/>
                <w:sz w:val="24"/>
                <w:szCs w:val="24"/>
                <w:lang w:val="en-US" w:eastAsia="zh-CN"/>
              </w:rPr>
              <w:t>、催化剂</w:t>
            </w:r>
            <w:r>
              <w:rPr>
                <w:rFonts w:hint="default" w:ascii="Times New Roman" w:hAnsi="Times New Roman" w:eastAsia="宋体" w:cs="Times New Roman"/>
                <w:color w:val="auto"/>
                <w:sz w:val="24"/>
                <w:szCs w:val="24"/>
              </w:rPr>
              <w:t>，以保证废气处理效率，并做好检修维护台账。</w:t>
            </w:r>
          </w:p>
          <w:p w14:paraId="2DE55B4E">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D、建立废气处理装置运行管理台账，由专人负责记录。</w:t>
            </w:r>
          </w:p>
          <w:p w14:paraId="228B2680">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eastAsia" w:eastAsia="宋体"/>
                <w:b/>
                <w:color w:val="auto"/>
                <w:sz w:val="24"/>
                <w:szCs w:val="24"/>
                <w:lang w:eastAsia="zh-CN"/>
              </w:rPr>
            </w:pPr>
            <w:r>
              <w:rPr>
                <w:rFonts w:hint="default" w:ascii="Times New Roman" w:hAnsi="Times New Roman" w:eastAsia="宋体" w:cs="Times New Roman"/>
                <w:color w:val="auto"/>
                <w:sz w:val="24"/>
                <w:szCs w:val="24"/>
              </w:rPr>
              <w:t>E、建立健全的环保管理机构，对环保管理人员和技术人员进行岗位培训，委托具有专业资质的环境检测单位对项目排放的各类污染物进行定期检测。</w:t>
            </w:r>
          </w:p>
          <w:p w14:paraId="7337CB20">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firstLineChars="200"/>
              <w:rPr>
                <w:rFonts w:hint="default" w:ascii="Times New Roman" w:hAnsi="Times New Roman" w:eastAsia="宋体" w:cs="Times New Roman"/>
                <w:b/>
                <w:color w:val="auto"/>
                <w:sz w:val="24"/>
                <w:szCs w:val="24"/>
                <w:lang w:val="en-US" w:eastAsia="zh-CN"/>
              </w:rPr>
            </w:pPr>
            <w:r>
              <w:rPr>
                <w:rFonts w:hint="eastAsia"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可行性分析</w:t>
            </w:r>
          </w:p>
          <w:p w14:paraId="090D9C99">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有组织废气达标性分析</w:t>
            </w:r>
          </w:p>
          <w:p w14:paraId="7C06363C">
            <w:pPr>
              <w:pStyle w:val="113"/>
              <w:keepNext w:val="0"/>
              <w:keepLines w:val="0"/>
              <w:pageBreakBefore w:val="0"/>
              <w:widowControl w:val="0"/>
              <w:numPr>
                <w:ilvl w:val="0"/>
                <w:numId w:val="0"/>
              </w:numPr>
              <w:kinsoku/>
              <w:wordWrap/>
              <w:overflowPunct/>
              <w:topLinePunct/>
              <w:autoSpaceDE/>
              <w:autoSpaceDN/>
              <w:bidi w:val="0"/>
              <w:adjustRightInd/>
              <w:snapToGrid/>
              <w:spacing w:before="0" w:beforeLines="0" w:beforeAutospacing="0" w:after="0" w:afterLines="0" w:afterAutospacing="0" w:line="360" w:lineRule="auto"/>
              <w:ind w:left="0" w:leftChars="0" w:right="0" w:rightChars="0"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4-</w:t>
            </w:r>
            <w:r>
              <w:rPr>
                <w:rFonts w:hint="eastAsia" w:cs="Times New Roman"/>
                <w:b/>
                <w:color w:val="auto"/>
                <w:sz w:val="24"/>
                <w:szCs w:val="24"/>
                <w:lang w:val="en-US" w:eastAsia="zh-CN"/>
              </w:rPr>
              <w:t>9</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color w:val="auto"/>
                <w:sz w:val="24"/>
                <w:szCs w:val="24"/>
              </w:rPr>
              <w:t>废气达标排放判断表</w:t>
            </w:r>
          </w:p>
          <w:tbl>
            <w:tblPr>
              <w:tblStyle w:val="3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00"/>
              <w:gridCol w:w="1194"/>
              <w:gridCol w:w="994"/>
              <w:gridCol w:w="959"/>
              <w:gridCol w:w="936"/>
              <w:gridCol w:w="758"/>
              <w:gridCol w:w="2501"/>
              <w:gridCol w:w="646"/>
            </w:tblGrid>
            <w:tr w14:paraId="23D5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455" w:type="pct"/>
                  <w:vMerge w:val="restart"/>
                  <w:tcBorders>
                    <w:tl2br w:val="nil"/>
                    <w:tr2bl w:val="nil"/>
                  </w:tcBorders>
                  <w:noWrap w:val="0"/>
                  <w:vAlign w:val="center"/>
                </w:tcPr>
                <w:p w14:paraId="5C430583">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679" w:type="pct"/>
                  <w:vMerge w:val="restart"/>
                  <w:tcBorders>
                    <w:tl2br w:val="nil"/>
                    <w:tr2bl w:val="nil"/>
                  </w:tcBorders>
                  <w:noWrap w:val="0"/>
                  <w:vAlign w:val="center"/>
                </w:tcPr>
                <w:p w14:paraId="07134D8C">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111" w:type="pct"/>
                  <w:gridSpan w:val="2"/>
                  <w:tcBorders>
                    <w:tl2br w:val="nil"/>
                    <w:tr2bl w:val="nil"/>
                  </w:tcBorders>
                  <w:noWrap w:val="0"/>
                  <w:vAlign w:val="center"/>
                </w:tcPr>
                <w:p w14:paraId="0560E39C">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w:t>
                  </w:r>
                </w:p>
              </w:tc>
              <w:tc>
                <w:tcPr>
                  <w:tcW w:w="963" w:type="pct"/>
                  <w:gridSpan w:val="2"/>
                  <w:tcBorders>
                    <w:tl2br w:val="nil"/>
                    <w:tr2bl w:val="nil"/>
                  </w:tcBorders>
                  <w:noWrap w:val="0"/>
                  <w:vAlign w:val="center"/>
                </w:tcPr>
                <w:p w14:paraId="40762A62">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c>
                <w:tcPr>
                  <w:tcW w:w="1422" w:type="pct"/>
                  <w:vMerge w:val="restart"/>
                  <w:tcBorders>
                    <w:tl2br w:val="nil"/>
                    <w:tr2bl w:val="nil"/>
                  </w:tcBorders>
                  <w:noWrap w:val="0"/>
                  <w:vAlign w:val="center"/>
                </w:tcPr>
                <w:p w14:paraId="7F3729CD">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367" w:type="pct"/>
                  <w:vMerge w:val="restart"/>
                  <w:tcBorders>
                    <w:tl2br w:val="nil"/>
                    <w:tr2bl w:val="nil"/>
                  </w:tcBorders>
                  <w:noWrap w:val="0"/>
                  <w:vAlign w:val="center"/>
                </w:tcPr>
                <w:p w14:paraId="16E70BDA">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是否达标</w:t>
                  </w:r>
                </w:p>
              </w:tc>
            </w:tr>
            <w:tr w14:paraId="736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455" w:type="pct"/>
                  <w:vMerge w:val="continue"/>
                  <w:tcBorders>
                    <w:tl2br w:val="nil"/>
                    <w:tr2bl w:val="nil"/>
                  </w:tcBorders>
                  <w:noWrap w:val="0"/>
                  <w:vAlign w:val="center"/>
                </w:tcPr>
                <w:p w14:paraId="432192BF">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p>
              </w:tc>
              <w:tc>
                <w:tcPr>
                  <w:tcW w:w="679" w:type="pct"/>
                  <w:vMerge w:val="continue"/>
                  <w:tcBorders>
                    <w:tl2br w:val="nil"/>
                    <w:tr2bl w:val="nil"/>
                  </w:tcBorders>
                  <w:noWrap w:val="0"/>
                  <w:vAlign w:val="center"/>
                </w:tcPr>
                <w:p w14:paraId="4570FEE3">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p>
              </w:tc>
              <w:tc>
                <w:tcPr>
                  <w:tcW w:w="565" w:type="pct"/>
                  <w:tcBorders>
                    <w:tl2br w:val="nil"/>
                    <w:tr2bl w:val="nil"/>
                  </w:tcBorders>
                  <w:noWrap w:val="0"/>
                  <w:vAlign w:val="center"/>
                </w:tcPr>
                <w:p w14:paraId="5F1AD973">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浓度，mg/m³</w:t>
                  </w:r>
                </w:p>
              </w:tc>
              <w:tc>
                <w:tcPr>
                  <w:tcW w:w="545" w:type="pct"/>
                  <w:tcBorders>
                    <w:tl2br w:val="nil"/>
                    <w:tr2bl w:val="nil"/>
                  </w:tcBorders>
                  <w:noWrap w:val="0"/>
                  <w:vAlign w:val="center"/>
                </w:tcPr>
                <w:p w14:paraId="2DE8CCBF">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532" w:type="pct"/>
                  <w:tcBorders>
                    <w:tl2br w:val="nil"/>
                    <w:tr2bl w:val="nil"/>
                  </w:tcBorders>
                  <w:noWrap w:val="0"/>
                  <w:vAlign w:val="center"/>
                </w:tcPr>
                <w:p w14:paraId="527C031F">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浓度，mg/m³</w:t>
                  </w:r>
                </w:p>
              </w:tc>
              <w:tc>
                <w:tcPr>
                  <w:tcW w:w="431" w:type="pct"/>
                  <w:tcBorders>
                    <w:tl2br w:val="nil"/>
                    <w:tr2bl w:val="nil"/>
                  </w:tcBorders>
                  <w:noWrap w:val="0"/>
                  <w:vAlign w:val="center"/>
                </w:tcPr>
                <w:p w14:paraId="02A296D9">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1422" w:type="pct"/>
                  <w:vMerge w:val="continue"/>
                  <w:tcBorders>
                    <w:tl2br w:val="nil"/>
                    <w:tr2bl w:val="nil"/>
                  </w:tcBorders>
                  <w:noWrap w:val="0"/>
                  <w:vAlign w:val="center"/>
                </w:tcPr>
                <w:p w14:paraId="32DC333F">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p>
              </w:tc>
              <w:tc>
                <w:tcPr>
                  <w:tcW w:w="367" w:type="pct"/>
                  <w:vMerge w:val="continue"/>
                  <w:tcBorders>
                    <w:tl2br w:val="nil"/>
                    <w:tr2bl w:val="nil"/>
                  </w:tcBorders>
                  <w:noWrap w:val="0"/>
                  <w:vAlign w:val="center"/>
                </w:tcPr>
                <w:p w14:paraId="0087406C">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b/>
                      <w:bCs/>
                      <w:color w:val="auto"/>
                      <w:sz w:val="21"/>
                      <w:szCs w:val="21"/>
                    </w:rPr>
                  </w:pPr>
                </w:p>
              </w:tc>
            </w:tr>
            <w:tr w14:paraId="5B92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55" w:type="pct"/>
                  <w:vMerge w:val="restart"/>
                  <w:tcBorders>
                    <w:tl2br w:val="nil"/>
                    <w:tr2bl w:val="nil"/>
                  </w:tcBorders>
                  <w:noWrap w:val="0"/>
                  <w:vAlign w:val="center"/>
                </w:tcPr>
                <w:p w14:paraId="394C7A5B">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w:t>
                  </w:r>
                  <w:r>
                    <w:rPr>
                      <w:rFonts w:hint="default" w:ascii="Times New Roman" w:hAnsi="Times New Roman" w:eastAsia="宋体" w:cs="Times New Roman"/>
                      <w:color w:val="auto"/>
                      <w:sz w:val="21"/>
                      <w:szCs w:val="21"/>
                      <w:lang w:val="en-US" w:eastAsia="zh-CN"/>
                    </w:rPr>
                    <w:t>1</w:t>
                  </w:r>
                </w:p>
              </w:tc>
              <w:tc>
                <w:tcPr>
                  <w:tcW w:w="679" w:type="pct"/>
                  <w:tcBorders>
                    <w:tl2br w:val="nil"/>
                    <w:tr2bl w:val="nil"/>
                  </w:tcBorders>
                  <w:noWrap w:val="0"/>
                  <w:vAlign w:val="center"/>
                </w:tcPr>
                <w:p w14:paraId="71851E01">
                  <w:pPr>
                    <w:keepNext w:val="0"/>
                    <w:keepLines w:val="0"/>
                    <w:pageBreakBefore w:val="0"/>
                    <w:widowControl w:val="0"/>
                    <w:kinsoku/>
                    <w:wordWrap/>
                    <w:overflowPunct/>
                    <w:topLinePunct/>
                    <w:autoSpaceDE/>
                    <w:autoSpaceDN/>
                    <w:bidi w:val="0"/>
                    <w:adjustRightInd/>
                    <w:snapToGrid/>
                    <w:spacing w:beforeAutospacing="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颗粒物</w:t>
                  </w:r>
                </w:p>
              </w:tc>
              <w:tc>
                <w:tcPr>
                  <w:tcW w:w="565" w:type="pct"/>
                  <w:tcBorders>
                    <w:tl2br w:val="nil"/>
                    <w:tr2bl w:val="nil"/>
                  </w:tcBorders>
                  <w:noWrap w:val="0"/>
                  <w:vAlign w:val="center"/>
                </w:tcPr>
                <w:p w14:paraId="6A55A0FD">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0.71 </w:t>
                  </w:r>
                </w:p>
              </w:tc>
              <w:tc>
                <w:tcPr>
                  <w:tcW w:w="545" w:type="pct"/>
                  <w:tcBorders>
                    <w:tl2br w:val="nil"/>
                    <w:tr2bl w:val="nil"/>
                  </w:tcBorders>
                  <w:noWrap w:val="0"/>
                  <w:vAlign w:val="center"/>
                </w:tcPr>
                <w:p w14:paraId="48DCFE68">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0.0035 </w:t>
                  </w:r>
                </w:p>
              </w:tc>
              <w:tc>
                <w:tcPr>
                  <w:tcW w:w="532" w:type="pct"/>
                  <w:tcBorders>
                    <w:tl2br w:val="nil"/>
                    <w:tr2bl w:val="nil"/>
                  </w:tcBorders>
                  <w:noWrap w:val="0"/>
                  <w:vAlign w:val="center"/>
                </w:tcPr>
                <w:p w14:paraId="021C88FD">
                  <w:pPr>
                    <w:pStyle w:val="24"/>
                    <w:keepNext w:val="0"/>
                    <w:keepLines w:val="0"/>
                    <w:pageBreakBefore w:val="0"/>
                    <w:kinsoku/>
                    <w:overflowPunct/>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10</w:t>
                  </w:r>
                </w:p>
              </w:tc>
              <w:tc>
                <w:tcPr>
                  <w:tcW w:w="431" w:type="pct"/>
                  <w:tcBorders>
                    <w:tl2br w:val="nil"/>
                    <w:tr2bl w:val="nil"/>
                  </w:tcBorders>
                  <w:noWrap w:val="0"/>
                  <w:vAlign w:val="center"/>
                </w:tcPr>
                <w:p w14:paraId="2A6B02CF">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422" w:type="pct"/>
                  <w:vMerge w:val="restart"/>
                  <w:tcBorders>
                    <w:tl2br w:val="nil"/>
                    <w:tr2bl w:val="nil"/>
                  </w:tcBorders>
                  <w:noWrap w:val="0"/>
                  <w:vAlign w:val="center"/>
                </w:tcPr>
                <w:p w14:paraId="75970432">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《锅炉大气污染物排放标准》（GB13271-2014）、</w:t>
                  </w:r>
                  <w:r>
                    <w:rPr>
                      <w:rFonts w:hint="default" w:ascii="Times New Roman" w:hAnsi="Times New Roman" w:eastAsia="宋体" w:cs="Times New Roman"/>
                      <w:color w:val="auto"/>
                      <w:sz w:val="21"/>
                      <w:szCs w:val="21"/>
                      <w:lang w:eastAsia="zh-CN"/>
                    </w:rPr>
                    <w:t>《安徽省空气质量持续改善行动方案》（皖政〔2024〕36号）</w:t>
                  </w:r>
                </w:p>
              </w:tc>
              <w:tc>
                <w:tcPr>
                  <w:tcW w:w="367" w:type="pct"/>
                  <w:tcBorders>
                    <w:tl2br w:val="nil"/>
                    <w:tr2bl w:val="nil"/>
                  </w:tcBorders>
                  <w:noWrap w:val="0"/>
                  <w:vAlign w:val="center"/>
                </w:tcPr>
                <w:p w14:paraId="28BAA0BE">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0B7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455" w:type="pct"/>
                  <w:vMerge w:val="continue"/>
                  <w:tcBorders>
                    <w:tl2br w:val="nil"/>
                    <w:tr2bl w:val="nil"/>
                  </w:tcBorders>
                  <w:noWrap w:val="0"/>
                  <w:vAlign w:val="center"/>
                </w:tcPr>
                <w:p w14:paraId="0A366E9E">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rPr>
                  </w:pPr>
                </w:p>
              </w:tc>
              <w:tc>
                <w:tcPr>
                  <w:tcW w:w="679" w:type="pct"/>
                  <w:tcBorders>
                    <w:tl2br w:val="nil"/>
                    <w:tr2bl w:val="nil"/>
                  </w:tcBorders>
                  <w:noWrap w:val="0"/>
                  <w:vAlign w:val="center"/>
                </w:tcPr>
                <w:p w14:paraId="00FE764E">
                  <w:pPr>
                    <w:keepNext w:val="0"/>
                    <w:keepLines w:val="0"/>
                    <w:pageBreakBefore w:val="0"/>
                    <w:widowControl w:val="0"/>
                    <w:kinsoku/>
                    <w:wordWrap/>
                    <w:overflowPunct/>
                    <w:topLinePunct/>
                    <w:autoSpaceDE/>
                    <w:autoSpaceDN/>
                    <w:bidi w:val="0"/>
                    <w:adjustRightInd/>
                    <w:snapToGrid/>
                    <w:spacing w:beforeAutospacing="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NO</w:t>
                  </w:r>
                  <w:r>
                    <w:rPr>
                      <w:rFonts w:hint="default" w:ascii="Times New Roman" w:hAnsi="Times New Roman" w:cs="Times New Roman"/>
                      <w:color w:val="auto"/>
                      <w:sz w:val="21"/>
                      <w:szCs w:val="21"/>
                      <w:vertAlign w:val="subscript"/>
                      <w:lang w:val="en-US" w:eastAsia="zh-CN"/>
                    </w:rPr>
                    <w:t>X</w:t>
                  </w:r>
                </w:p>
              </w:tc>
              <w:tc>
                <w:tcPr>
                  <w:tcW w:w="565" w:type="pct"/>
                  <w:tcBorders>
                    <w:tl2br w:val="nil"/>
                    <w:tr2bl w:val="nil"/>
                  </w:tcBorders>
                  <w:noWrap w:val="0"/>
                  <w:vAlign w:val="center"/>
                </w:tcPr>
                <w:p w14:paraId="4333884E">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14.49 </w:t>
                  </w:r>
                </w:p>
              </w:tc>
              <w:tc>
                <w:tcPr>
                  <w:tcW w:w="545" w:type="pct"/>
                  <w:tcBorders>
                    <w:tl2br w:val="nil"/>
                    <w:tr2bl w:val="nil"/>
                  </w:tcBorders>
                  <w:noWrap w:val="0"/>
                  <w:vAlign w:val="center"/>
                </w:tcPr>
                <w:p w14:paraId="34C49EEA">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0.072 </w:t>
                  </w:r>
                </w:p>
              </w:tc>
              <w:tc>
                <w:tcPr>
                  <w:tcW w:w="532" w:type="pct"/>
                  <w:tcBorders>
                    <w:tl2br w:val="nil"/>
                    <w:tr2bl w:val="nil"/>
                  </w:tcBorders>
                  <w:noWrap w:val="0"/>
                  <w:vAlign w:val="center"/>
                </w:tcPr>
                <w:p w14:paraId="61CD7992">
                  <w:pPr>
                    <w:pStyle w:val="24"/>
                    <w:keepNext w:val="0"/>
                    <w:keepLines w:val="0"/>
                    <w:pageBreakBefore w:val="0"/>
                    <w:kinsoku/>
                    <w:overflowPunct/>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35</w:t>
                  </w:r>
                </w:p>
              </w:tc>
              <w:tc>
                <w:tcPr>
                  <w:tcW w:w="431" w:type="pct"/>
                  <w:tcBorders>
                    <w:tl2br w:val="nil"/>
                    <w:tr2bl w:val="nil"/>
                  </w:tcBorders>
                  <w:noWrap w:val="0"/>
                  <w:vAlign w:val="center"/>
                </w:tcPr>
                <w:p w14:paraId="0BEDBAD0">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22" w:type="pct"/>
                  <w:vMerge w:val="continue"/>
                  <w:tcBorders>
                    <w:tl2br w:val="nil"/>
                    <w:tr2bl w:val="nil"/>
                  </w:tcBorders>
                  <w:noWrap w:val="0"/>
                  <w:vAlign w:val="center"/>
                </w:tcPr>
                <w:p w14:paraId="637C44E5">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rPr>
                  </w:pPr>
                </w:p>
              </w:tc>
              <w:tc>
                <w:tcPr>
                  <w:tcW w:w="367" w:type="pct"/>
                  <w:tcBorders>
                    <w:tl2br w:val="nil"/>
                    <w:tr2bl w:val="nil"/>
                  </w:tcBorders>
                  <w:noWrap w:val="0"/>
                  <w:vAlign w:val="center"/>
                </w:tcPr>
                <w:p w14:paraId="34F85C47">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7B7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455" w:type="pct"/>
                  <w:vMerge w:val="continue"/>
                  <w:tcBorders>
                    <w:tl2br w:val="nil"/>
                    <w:tr2bl w:val="nil"/>
                  </w:tcBorders>
                  <w:noWrap w:val="0"/>
                  <w:vAlign w:val="center"/>
                </w:tcPr>
                <w:p w14:paraId="4EB4CE30">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rPr>
                  </w:pPr>
                </w:p>
              </w:tc>
              <w:tc>
                <w:tcPr>
                  <w:tcW w:w="679" w:type="pct"/>
                  <w:tcBorders>
                    <w:tl2br w:val="nil"/>
                    <w:tr2bl w:val="nil"/>
                  </w:tcBorders>
                  <w:noWrap w:val="0"/>
                  <w:vAlign w:val="center"/>
                </w:tcPr>
                <w:p w14:paraId="044485B4">
                  <w:pPr>
                    <w:keepNext w:val="0"/>
                    <w:keepLines w:val="0"/>
                    <w:pageBreakBefore w:val="0"/>
                    <w:widowControl w:val="0"/>
                    <w:kinsoku/>
                    <w:wordWrap/>
                    <w:overflowPunct/>
                    <w:topLinePunct/>
                    <w:autoSpaceDE/>
                    <w:autoSpaceDN/>
                    <w:bidi w:val="0"/>
                    <w:adjustRightInd/>
                    <w:snapToGrid/>
                    <w:spacing w:beforeAutospacing="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SO</w:t>
                  </w:r>
                  <w:r>
                    <w:rPr>
                      <w:rFonts w:hint="default" w:ascii="Times New Roman" w:hAnsi="Times New Roman" w:cs="Times New Roman"/>
                      <w:color w:val="auto"/>
                      <w:sz w:val="21"/>
                      <w:szCs w:val="21"/>
                      <w:vertAlign w:val="subscript"/>
                      <w:lang w:val="en-US" w:eastAsia="zh-CN"/>
                    </w:rPr>
                    <w:t>2</w:t>
                  </w:r>
                </w:p>
              </w:tc>
              <w:tc>
                <w:tcPr>
                  <w:tcW w:w="565" w:type="pct"/>
                  <w:tcBorders>
                    <w:tl2br w:val="nil"/>
                    <w:tr2bl w:val="nil"/>
                  </w:tcBorders>
                  <w:noWrap w:val="0"/>
                  <w:vAlign w:val="center"/>
                </w:tcPr>
                <w:p w14:paraId="002DC1D3">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20.28 </w:t>
                  </w:r>
                </w:p>
              </w:tc>
              <w:tc>
                <w:tcPr>
                  <w:tcW w:w="545" w:type="pct"/>
                  <w:tcBorders>
                    <w:tl2br w:val="nil"/>
                    <w:tr2bl w:val="nil"/>
                  </w:tcBorders>
                  <w:noWrap w:val="0"/>
                  <w:vAlign w:val="center"/>
                </w:tcPr>
                <w:p w14:paraId="0B43321A">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0.101 </w:t>
                  </w:r>
                </w:p>
              </w:tc>
              <w:tc>
                <w:tcPr>
                  <w:tcW w:w="532" w:type="pct"/>
                  <w:tcBorders>
                    <w:tl2br w:val="nil"/>
                    <w:tr2bl w:val="nil"/>
                  </w:tcBorders>
                  <w:noWrap w:val="0"/>
                  <w:vAlign w:val="center"/>
                </w:tcPr>
                <w:p w14:paraId="4C4FCA97">
                  <w:pPr>
                    <w:pStyle w:val="24"/>
                    <w:keepNext w:val="0"/>
                    <w:keepLines w:val="0"/>
                    <w:pageBreakBefore w:val="0"/>
                    <w:kinsoku/>
                    <w:overflowPunct/>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50</w:t>
                  </w:r>
                </w:p>
              </w:tc>
              <w:tc>
                <w:tcPr>
                  <w:tcW w:w="431" w:type="pct"/>
                  <w:tcBorders>
                    <w:tl2br w:val="nil"/>
                    <w:tr2bl w:val="nil"/>
                  </w:tcBorders>
                  <w:noWrap w:val="0"/>
                  <w:vAlign w:val="center"/>
                </w:tcPr>
                <w:p w14:paraId="5893A555">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22" w:type="pct"/>
                  <w:vMerge w:val="continue"/>
                  <w:tcBorders>
                    <w:tl2br w:val="nil"/>
                    <w:tr2bl w:val="nil"/>
                  </w:tcBorders>
                  <w:noWrap w:val="0"/>
                  <w:vAlign w:val="center"/>
                </w:tcPr>
                <w:p w14:paraId="0C466339">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rPr>
                  </w:pPr>
                </w:p>
              </w:tc>
              <w:tc>
                <w:tcPr>
                  <w:tcW w:w="367" w:type="pct"/>
                  <w:tcBorders>
                    <w:tl2br w:val="nil"/>
                    <w:tr2bl w:val="nil"/>
                  </w:tcBorders>
                  <w:noWrap w:val="0"/>
                  <w:vAlign w:val="center"/>
                </w:tcPr>
                <w:p w14:paraId="1D909DF6">
                  <w:pPr>
                    <w:pStyle w:val="109"/>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140289EB">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）废气治理设施可行性分析</w:t>
            </w:r>
          </w:p>
          <w:p w14:paraId="0B3BD051">
            <w:pPr>
              <w:pStyle w:val="108"/>
              <w:keepNext w:val="0"/>
              <w:keepLines w:val="0"/>
              <w:pageBreakBefore w:val="0"/>
              <w:kinsoku/>
              <w:overflowPunct/>
              <w:bidi w:val="0"/>
              <w:adjustRightInd/>
              <w:snapToGrid/>
              <w:ind w:firstLine="480"/>
              <w:rPr>
                <w:rFonts w:hint="eastAsia" w:ascii="Times New Roman" w:hAnsi="Times New Roman" w:eastAsia="Times New Roman" w:cs="Times New Roman"/>
                <w:color w:val="auto"/>
                <w:kern w:val="2"/>
                <w:sz w:val="24"/>
                <w:szCs w:val="24"/>
                <w:lang w:val="en-US" w:eastAsia="zh-CN" w:bidi="ar-SA"/>
              </w:rPr>
            </w:pPr>
            <w:r>
              <w:rPr>
                <w:rFonts w:hint="eastAsia" w:ascii="Times New Roman" w:hAnsi="Times New Roman" w:eastAsia="Times New Roman" w:cs="Times New Roman"/>
                <w:color w:val="auto"/>
                <w:kern w:val="2"/>
                <w:sz w:val="24"/>
                <w:szCs w:val="24"/>
                <w:lang w:val="en-US" w:eastAsia="zh-CN" w:bidi="ar-SA"/>
              </w:rPr>
              <w:t>生物质锅炉燃烧废气：采用低氮燃烧器+SCR脱硝+多管旋风除尘+高效布袋除尘器+碱液喷淋塔进行脱硝、除尘、脱硫处理，根据工程分析，废气经</w:t>
            </w:r>
            <w:r>
              <w:rPr>
                <w:rFonts w:hint="eastAsia" w:ascii="Times New Roman" w:hAnsi="Times New Roman" w:eastAsia="宋体" w:cs="Times New Roman"/>
                <w:color w:val="auto"/>
                <w:kern w:val="2"/>
                <w:sz w:val="24"/>
                <w:szCs w:val="24"/>
                <w:lang w:val="en-US" w:eastAsia="zh-CN" w:bidi="ar-SA"/>
              </w:rPr>
              <w:t>处理后</w:t>
            </w:r>
            <w:r>
              <w:rPr>
                <w:rFonts w:hint="eastAsia" w:ascii="Times New Roman" w:hAnsi="Times New Roman" w:eastAsia="Times New Roman" w:cs="Times New Roman"/>
                <w:color w:val="auto"/>
                <w:kern w:val="2"/>
                <w:sz w:val="24"/>
                <w:szCs w:val="24"/>
                <w:lang w:val="en-US" w:eastAsia="zh-CN" w:bidi="ar-SA"/>
              </w:rPr>
              <w:t>可达标排放。</w:t>
            </w:r>
          </w:p>
          <w:p w14:paraId="3BDBF18E">
            <w:pPr>
              <w:pStyle w:val="108"/>
              <w:keepNext w:val="0"/>
              <w:keepLines w:val="0"/>
              <w:pageBreakBefore w:val="0"/>
              <w:kinsoku/>
              <w:overflowPunct/>
              <w:bidi w:val="0"/>
              <w:adjustRightInd/>
              <w:snapToGrid/>
              <w:ind w:firstLine="480"/>
              <w:rPr>
                <w:rFonts w:hint="eastAsia" w:eastAsia="Times New Roman" w:cs="Times New Roman"/>
                <w:color w:val="auto"/>
                <w:kern w:val="2"/>
                <w:sz w:val="24"/>
                <w:szCs w:val="24"/>
                <w:lang w:val="en-US" w:eastAsia="zh-CN" w:bidi="ar-SA"/>
              </w:rPr>
            </w:pPr>
            <w:r>
              <w:rPr>
                <w:rFonts w:hint="eastAsia" w:ascii="Times New Roman" w:hAnsi="Times New Roman" w:eastAsia="Times New Roman" w:cs="Times New Roman"/>
                <w:color w:val="auto"/>
                <w:kern w:val="2"/>
                <w:sz w:val="24"/>
                <w:szCs w:val="24"/>
                <w:lang w:val="en-US" w:eastAsia="zh-CN" w:bidi="ar-SA"/>
              </w:rPr>
              <w:t>参考《排</w:t>
            </w:r>
            <w:r>
              <w:rPr>
                <w:rFonts w:hint="eastAsia" w:eastAsia="Times New Roman" w:cs="Times New Roman"/>
                <w:color w:val="auto"/>
                <w:kern w:val="2"/>
                <w:sz w:val="24"/>
                <w:szCs w:val="24"/>
                <w:lang w:val="en-US" w:eastAsia="zh-CN" w:bidi="ar-SA"/>
              </w:rPr>
              <w:t>污</w:t>
            </w:r>
            <w:r>
              <w:rPr>
                <w:rFonts w:hint="eastAsia" w:ascii="Times New Roman" w:hAnsi="Times New Roman" w:eastAsia="Times New Roman" w:cs="Times New Roman"/>
                <w:color w:val="auto"/>
                <w:kern w:val="2"/>
                <w:sz w:val="24"/>
                <w:szCs w:val="24"/>
                <w:lang w:val="en-US" w:eastAsia="zh-CN" w:bidi="ar-SA"/>
              </w:rPr>
              <w:t>许可申请与核发技术规范 锅炉》（HJ953-2018）</w:t>
            </w:r>
            <w:r>
              <w:rPr>
                <w:color w:val="auto"/>
              </w:rPr>
              <w:t>中表</w:t>
            </w:r>
            <w:r>
              <w:rPr>
                <w:rFonts w:hint="eastAsia"/>
                <w:color w:val="auto"/>
                <w:lang w:val="en-US" w:eastAsia="zh-CN"/>
              </w:rPr>
              <w:t>3内容</w:t>
            </w:r>
            <w:r>
              <w:rPr>
                <w:rFonts w:hint="eastAsia" w:ascii="Times New Roman" w:hAnsi="Times New Roman" w:eastAsia="Times New Roman" w:cs="Times New Roman"/>
                <w:color w:val="auto"/>
                <w:kern w:val="2"/>
                <w:sz w:val="24"/>
                <w:szCs w:val="24"/>
                <w:lang w:val="en-US" w:eastAsia="zh-CN" w:bidi="ar-SA"/>
              </w:rPr>
              <w:t>，</w:t>
            </w:r>
            <w:r>
              <w:rPr>
                <w:rFonts w:hint="eastAsia" w:eastAsia="Times New Roman" w:cs="Times New Roman"/>
                <w:color w:val="auto"/>
                <w:kern w:val="2"/>
                <w:sz w:val="24"/>
                <w:szCs w:val="24"/>
                <w:lang w:val="en-US" w:eastAsia="zh-CN" w:bidi="ar-SA"/>
              </w:rPr>
              <w:t>燃生物质锅炉二氧化硫污染防治设施有：石灰石/石灰-石膏法、钠碱法、双碱法、氨法、氧化镁法、烟气循环流化床法、喷雾干燥法、炉内喷钙法、密相干塔法、其他，氮氧化物污染防治设施有：低氮燃烧、SNCR法、SNCR-SCR联合脱硝、SCR法、其他，颗粒物污染防治设施有：袋式除尘器、旋风除尘器、旋风除尘器+袋式除尘器、其他。</w:t>
            </w:r>
          </w:p>
          <w:p w14:paraId="76B80FD0">
            <w:pPr>
              <w:pStyle w:val="108"/>
              <w:keepNext w:val="0"/>
              <w:keepLines w:val="0"/>
              <w:pageBreakBefore w:val="0"/>
              <w:kinsoku/>
              <w:overflowPunct/>
              <w:bidi w:val="0"/>
              <w:adjustRightInd/>
              <w:snapToGrid/>
              <w:ind w:firstLine="480"/>
              <w:rPr>
                <w:rFonts w:hint="eastAsia" w:eastAsia="Times New Roman" w:cs="Times New Roman"/>
                <w:color w:val="auto"/>
                <w:kern w:val="2"/>
                <w:sz w:val="24"/>
                <w:szCs w:val="24"/>
                <w:lang w:val="en-US" w:eastAsia="zh-CN" w:bidi="ar-SA"/>
              </w:rPr>
            </w:pPr>
            <w:r>
              <w:rPr>
                <w:rFonts w:hint="eastAsia" w:eastAsia="Times New Roman" w:cs="Times New Roman"/>
                <w:color w:val="auto"/>
                <w:kern w:val="2"/>
                <w:sz w:val="24"/>
                <w:szCs w:val="24"/>
                <w:lang w:val="en-US" w:eastAsia="zh-CN" w:bidi="ar-SA"/>
              </w:rPr>
              <w:t>参考《</w:t>
            </w:r>
            <w:r>
              <w:rPr>
                <w:rFonts w:hint="eastAsia" w:eastAsia="Times New Roman" w:cs="Times New Roman"/>
                <w:color w:val="auto"/>
                <w:kern w:val="2"/>
                <w:sz w:val="24"/>
                <w:szCs w:val="24"/>
                <w:lang w:val="en-US" w:eastAsia="zh-CN" w:bidi="ar-SA"/>
              </w:rPr>
              <w:fldChar w:fldCharType="begin"/>
            </w:r>
            <w:r>
              <w:rPr>
                <w:rFonts w:hint="eastAsia" w:eastAsia="Times New Roman" w:cs="Times New Roman"/>
                <w:color w:val="auto"/>
                <w:kern w:val="2"/>
                <w:sz w:val="24"/>
                <w:szCs w:val="24"/>
                <w:lang w:val="en-US" w:eastAsia="zh-CN" w:bidi="ar-SA"/>
              </w:rPr>
              <w:instrText xml:space="preserve"> HYPERLINK "https://www.mee.gov.cn/ywgz/fgbz/bz/bzwb/kxxjszn/202106/W020210809526088806708.pdf" </w:instrText>
            </w:r>
            <w:r>
              <w:rPr>
                <w:rFonts w:hint="eastAsia" w:eastAsia="Times New Roman" w:cs="Times New Roman"/>
                <w:color w:val="auto"/>
                <w:kern w:val="2"/>
                <w:sz w:val="24"/>
                <w:szCs w:val="24"/>
                <w:lang w:val="en-US" w:eastAsia="zh-CN" w:bidi="ar-SA"/>
              </w:rPr>
              <w:fldChar w:fldCharType="separate"/>
            </w:r>
            <w:r>
              <w:rPr>
                <w:rFonts w:hint="eastAsia" w:eastAsia="Times New Roman" w:cs="Times New Roman"/>
                <w:color w:val="auto"/>
                <w:kern w:val="2"/>
                <w:sz w:val="24"/>
                <w:szCs w:val="24"/>
                <w:lang w:val="en-US" w:eastAsia="zh-CN" w:bidi="ar-SA"/>
              </w:rPr>
              <w:t>工业锅炉污染防治可行技术指南》（HJ 1178—2021）</w:t>
            </w:r>
            <w:r>
              <w:rPr>
                <w:rFonts w:hint="eastAsia" w:eastAsia="Times New Roman" w:cs="Times New Roman"/>
                <w:color w:val="auto"/>
                <w:kern w:val="2"/>
                <w:sz w:val="24"/>
                <w:szCs w:val="24"/>
                <w:lang w:val="en-US" w:eastAsia="zh-CN" w:bidi="ar-SA"/>
              </w:rPr>
              <w:fldChar w:fldCharType="end"/>
            </w:r>
            <w:r>
              <w:rPr>
                <w:rFonts w:hint="eastAsia" w:eastAsia="Times New Roman" w:cs="Times New Roman"/>
                <w:color w:val="auto"/>
                <w:kern w:val="2"/>
                <w:sz w:val="24"/>
                <w:szCs w:val="24"/>
                <w:lang w:val="en-US" w:eastAsia="zh-CN" w:bidi="ar-SA"/>
              </w:rPr>
              <w:t>中内容，二氧化硫治理技术有：石灰石/石灰-石膏湿法脱硫技术、镁法脱硫技术、钠碱法脱硫技术、炉内脱硫技术，氮氧化物治理技术有：SNCR 脱硝技术、SCR 脱硝技术、SNCR-SCR 联合法脱硝技术，颗粒物治理技术有：干式电除尘技术、袋式除尘器技术、湿式电除尘技术、电袋复合除尘技术。</w:t>
            </w:r>
          </w:p>
          <w:p w14:paraId="52949FBC">
            <w:pPr>
              <w:pStyle w:val="108"/>
              <w:keepNext w:val="0"/>
              <w:keepLines w:val="0"/>
              <w:pageBreakBefore w:val="0"/>
              <w:kinsoku/>
              <w:overflowPunct/>
              <w:bidi w:val="0"/>
              <w:adjustRightInd/>
              <w:snapToGrid/>
              <w:ind w:firstLine="480"/>
              <w:rPr>
                <w:color w:val="auto"/>
                <w:sz w:val="24"/>
                <w:szCs w:val="20"/>
              </w:rPr>
            </w:pPr>
            <w:r>
              <w:rPr>
                <w:color w:val="auto"/>
                <w:spacing w:val="3"/>
              </w:rPr>
              <w:t>综上所述，本项目采用的废气处理</w:t>
            </w:r>
            <w:r>
              <w:rPr>
                <w:color w:val="auto"/>
                <w:spacing w:val="2"/>
              </w:rPr>
              <w:t>措施</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eastAsia="Times New Roman" w:cs="Times New Roman"/>
                <w:color w:val="auto"/>
                <w:kern w:val="2"/>
                <w:sz w:val="24"/>
                <w:szCs w:val="24"/>
                <w:lang w:val="en-US" w:eastAsia="zh-CN" w:bidi="ar-SA"/>
              </w:rPr>
              <w:t>低氮燃烧器+SCR脱硝+多管旋风除尘+高效布袋除尘器+碱液喷淋塔</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eastAsia="Times New Roman" w:cs="Times New Roman"/>
                <w:color w:val="auto"/>
                <w:kern w:val="2"/>
                <w:sz w:val="24"/>
                <w:szCs w:val="24"/>
                <w:lang w:val="en-US" w:eastAsia="zh-CN" w:bidi="ar-SA"/>
              </w:rPr>
              <w:t>废气处理技术为可行技术。</w:t>
            </w:r>
          </w:p>
          <w:p w14:paraId="7C2807BD">
            <w:pPr>
              <w:keepNext w:val="0"/>
              <w:keepLines w:val="0"/>
              <w:pageBreakBefore w:val="0"/>
              <w:kinsoku/>
              <w:overflowPunct/>
              <w:bidi w:val="0"/>
              <w:adjustRightInd/>
              <w:snapToGrid/>
              <w:spacing w:line="360" w:lineRule="auto"/>
              <w:ind w:firstLine="480" w:firstLineChars="200"/>
              <w:rPr>
                <w:rFonts w:hAnsi="宋体"/>
                <w:color w:val="auto"/>
                <w:sz w:val="24"/>
                <w:szCs w:val="21"/>
              </w:rPr>
            </w:pPr>
            <w:r>
              <w:rPr>
                <w:rFonts w:hAnsi="宋体"/>
                <w:color w:val="auto"/>
                <w:sz w:val="24"/>
                <w:szCs w:val="21"/>
              </w:rPr>
              <w:t>本项</w:t>
            </w:r>
            <w:r>
              <w:rPr>
                <w:rFonts w:ascii="Times New Roman" w:hAnsi="宋体" w:eastAsia="宋体" w:cs="Times New Roman"/>
                <w:color w:val="auto"/>
                <w:sz w:val="24"/>
                <w:szCs w:val="21"/>
              </w:rPr>
              <w:t>目</w:t>
            </w:r>
            <w:r>
              <w:rPr>
                <w:rFonts w:hint="eastAsia" w:hAnsi="宋体" w:cs="Times New Roman"/>
                <w:color w:val="auto"/>
                <w:sz w:val="24"/>
                <w:szCs w:val="21"/>
                <w:lang w:val="en-US" w:eastAsia="zh-CN"/>
              </w:rPr>
              <w:t>废气经收集处理后均满足相关</w:t>
            </w:r>
            <w:r>
              <w:rPr>
                <w:rFonts w:hint="eastAsia"/>
                <w:color w:val="auto"/>
                <w:sz w:val="24"/>
                <w:szCs w:val="21"/>
                <w:lang w:bidi="ar"/>
              </w:rPr>
              <w:t>排放限值要求</w:t>
            </w:r>
            <w:r>
              <w:rPr>
                <w:rFonts w:hAnsi="宋体"/>
                <w:color w:val="auto"/>
                <w:sz w:val="24"/>
                <w:szCs w:val="21"/>
              </w:rPr>
              <w:t>。</w:t>
            </w:r>
          </w:p>
          <w:p w14:paraId="3ADD1253">
            <w:pPr>
              <w:pStyle w:val="107"/>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74" w:firstLineChars="200"/>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spacing w:val="-2"/>
                <w:position w:val="2"/>
                <w:sz w:val="24"/>
                <w:szCs w:val="24"/>
                <w:lang w:val="en-US" w:eastAsia="zh-CN"/>
              </w:rPr>
              <w:t>5</w:t>
            </w:r>
            <w:r>
              <w:rPr>
                <w:rFonts w:hint="default" w:ascii="Times New Roman" w:hAnsi="Times New Roman" w:eastAsia="宋体" w:cs="Times New Roman"/>
                <w:b/>
                <w:bCs/>
                <w:color w:val="auto"/>
                <w:spacing w:val="-2"/>
                <w:position w:val="2"/>
                <w:sz w:val="24"/>
                <w:szCs w:val="24"/>
              </w:rPr>
              <w:t>废气环境影响分析</w:t>
            </w:r>
          </w:p>
          <w:p w14:paraId="5A2D9F1F">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4" w:firstLineChars="200"/>
              <w:rPr>
                <w:rFonts w:hint="eastAsia" w:eastAsia="宋体"/>
                <w:b/>
                <w:bCs/>
                <w:color w:val="auto"/>
                <w:spacing w:val="-10"/>
                <w:sz w:val="24"/>
                <w:szCs w:val="24"/>
                <w:lang w:eastAsia="zh-CN"/>
              </w:rPr>
            </w:pPr>
            <w:r>
              <w:rPr>
                <w:rFonts w:hint="eastAsia" w:ascii="Times New Roman" w:hAnsi="Times New Roman" w:cs="Times New Roman"/>
                <w:color w:val="auto"/>
                <w:spacing w:val="1"/>
                <w:sz w:val="24"/>
                <w:szCs w:val="24"/>
                <w:lang w:eastAsia="zh-CN"/>
              </w:rPr>
              <w:t>本项目</w:t>
            </w:r>
            <w:r>
              <w:rPr>
                <w:rFonts w:hint="default" w:ascii="Times New Roman" w:hAnsi="Times New Roman" w:eastAsia="宋体" w:cs="Times New Roman"/>
                <w:color w:val="auto"/>
                <w:spacing w:val="1"/>
                <w:sz w:val="24"/>
                <w:szCs w:val="24"/>
              </w:rPr>
              <w:t>产生的大气污染物主要为</w:t>
            </w:r>
            <w:r>
              <w:rPr>
                <w:rFonts w:hint="default" w:ascii="Times New Roman" w:hAnsi="Times New Roman" w:eastAsia="宋体" w:cs="Times New Roman"/>
                <w:color w:val="auto"/>
                <w:spacing w:val="1"/>
                <w:sz w:val="24"/>
                <w:szCs w:val="24"/>
                <w:lang w:val="en-US" w:eastAsia="zh-CN"/>
              </w:rPr>
              <w:t>裁断、破条</w:t>
            </w:r>
            <w:r>
              <w:rPr>
                <w:rFonts w:hint="eastAsia" w:cs="Times New Roman"/>
                <w:color w:val="auto"/>
                <w:sz w:val="24"/>
                <w:szCs w:val="24"/>
                <w:lang w:val="en-US" w:eastAsia="zh-CN"/>
              </w:rPr>
              <w:t>产生的颗粒物</w:t>
            </w:r>
            <w:r>
              <w:rPr>
                <w:rFonts w:hint="eastAsia" w:ascii="Times New Roman" w:hAnsi="Times New Roman" w:eastAsia="宋体" w:cs="Times New Roman"/>
                <w:color w:val="auto"/>
                <w:sz w:val="24"/>
                <w:szCs w:val="24"/>
                <w:lang w:val="en-US" w:eastAsia="zh-CN"/>
              </w:rPr>
              <w:t>和</w:t>
            </w:r>
            <w:r>
              <w:rPr>
                <w:rFonts w:hint="eastAsia" w:ascii="Times New Roman" w:hAnsi="Times New Roman" w:eastAsia="Times New Roman" w:cs="Times New Roman"/>
                <w:color w:val="auto"/>
                <w:kern w:val="2"/>
                <w:sz w:val="24"/>
                <w:szCs w:val="24"/>
                <w:lang w:val="en-US" w:eastAsia="zh-CN" w:bidi="ar-SA"/>
              </w:rPr>
              <w:t>生物质锅炉燃烧废气</w:t>
            </w:r>
            <w:r>
              <w:rPr>
                <w:rFonts w:hint="default" w:ascii="Times New Roman" w:hAnsi="Times New Roman" w:eastAsia="宋体" w:cs="Times New Roman"/>
                <w:color w:val="auto"/>
                <w:spacing w:val="-3"/>
                <w:sz w:val="24"/>
                <w:szCs w:val="24"/>
              </w:rPr>
              <w:t>。在正常情况下，各</w:t>
            </w:r>
            <w:r>
              <w:rPr>
                <w:rFonts w:hint="default" w:ascii="Times New Roman" w:hAnsi="Times New Roman" w:eastAsia="宋体" w:cs="Times New Roman"/>
                <w:color w:val="auto"/>
                <w:spacing w:val="1"/>
                <w:sz w:val="24"/>
                <w:szCs w:val="24"/>
              </w:rPr>
              <w:t>项废气经处理后均能达标排放，对周边环境影响可接</w:t>
            </w:r>
            <w:r>
              <w:rPr>
                <w:rFonts w:hint="default" w:ascii="Times New Roman" w:hAnsi="Times New Roman" w:eastAsia="宋体" w:cs="Times New Roman"/>
                <w:color w:val="auto"/>
                <w:sz w:val="24"/>
                <w:szCs w:val="24"/>
              </w:rPr>
              <w:t>受。在非正常情况下，</w:t>
            </w:r>
            <w:r>
              <w:rPr>
                <w:rFonts w:hint="eastAsia" w:ascii="Times New Roman" w:hAnsi="Times New Roman" w:eastAsia="Times New Roman" w:cs="Times New Roman"/>
                <w:color w:val="auto"/>
                <w:kern w:val="2"/>
                <w:sz w:val="24"/>
                <w:szCs w:val="24"/>
                <w:lang w:val="en-US" w:eastAsia="zh-CN" w:bidi="ar-SA"/>
              </w:rPr>
              <w:t>生物质锅炉燃烧废气</w:t>
            </w:r>
            <w:r>
              <w:rPr>
                <w:rFonts w:hint="default" w:ascii="Times New Roman" w:hAnsi="Times New Roman" w:eastAsia="宋体" w:cs="Times New Roman"/>
                <w:color w:val="auto"/>
                <w:spacing w:val="1"/>
                <w:sz w:val="24"/>
                <w:szCs w:val="24"/>
              </w:rPr>
              <w:t>排放速率将显著增大，为防止废气事故排放，</w:t>
            </w:r>
            <w:r>
              <w:rPr>
                <w:rFonts w:hint="default" w:ascii="Times New Roman" w:hAnsi="Times New Roman" w:eastAsia="宋体" w:cs="Times New Roman"/>
                <w:color w:val="auto"/>
                <w:sz w:val="24"/>
                <w:szCs w:val="24"/>
              </w:rPr>
              <w:t>企业应在生产过程中加强管理，一</w:t>
            </w:r>
            <w:r>
              <w:rPr>
                <w:rFonts w:hint="default" w:ascii="Times New Roman" w:hAnsi="Times New Roman" w:eastAsia="宋体" w:cs="Times New Roman"/>
                <w:color w:val="auto"/>
                <w:spacing w:val="1"/>
                <w:sz w:val="24"/>
                <w:szCs w:val="24"/>
              </w:rPr>
              <w:t>旦废气治理系统故障，立即停产检修，防止事</w:t>
            </w:r>
            <w:r>
              <w:rPr>
                <w:rFonts w:hint="default" w:ascii="Times New Roman" w:hAnsi="Times New Roman" w:eastAsia="宋体" w:cs="Times New Roman"/>
                <w:color w:val="auto"/>
                <w:sz w:val="24"/>
                <w:szCs w:val="24"/>
              </w:rPr>
              <w:t>故废气排放。同时，企业应加强生产管理，根据设备性质和要求做相应的点检和</w:t>
            </w:r>
            <w:r>
              <w:rPr>
                <w:rFonts w:hint="default" w:ascii="Times New Roman" w:hAnsi="Times New Roman" w:eastAsia="宋体" w:cs="Times New Roman"/>
                <w:color w:val="auto"/>
                <w:spacing w:val="-1"/>
                <w:sz w:val="24"/>
                <w:szCs w:val="24"/>
              </w:rPr>
              <w:t>检修，预防事故的产生。</w:t>
            </w:r>
          </w:p>
          <w:p w14:paraId="07CD920F">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42" w:firstLineChars="200"/>
              <w:rPr>
                <w:rFonts w:hint="default" w:ascii="Times New Roman" w:hAnsi="Times New Roman" w:eastAsia="宋体" w:cs="Times New Roman"/>
                <w:b/>
                <w:bCs/>
                <w:color w:val="auto"/>
                <w:spacing w:val="-10"/>
                <w:sz w:val="24"/>
                <w:szCs w:val="24"/>
              </w:rPr>
            </w:pPr>
            <w:r>
              <w:rPr>
                <w:rFonts w:hint="eastAsia" w:cs="Times New Roman"/>
                <w:b/>
                <w:bCs/>
                <w:color w:val="auto"/>
                <w:spacing w:val="-10"/>
                <w:sz w:val="24"/>
                <w:szCs w:val="24"/>
                <w:lang w:val="en-US" w:eastAsia="zh-CN"/>
              </w:rPr>
              <w:t>6</w:t>
            </w:r>
            <w:r>
              <w:rPr>
                <w:rFonts w:hint="default" w:ascii="Times New Roman" w:hAnsi="Times New Roman" w:eastAsia="宋体" w:cs="Times New Roman"/>
                <w:b/>
                <w:bCs/>
                <w:color w:val="auto"/>
                <w:spacing w:val="-10"/>
                <w:sz w:val="24"/>
                <w:szCs w:val="24"/>
              </w:rPr>
              <w:t>自行监测</w:t>
            </w:r>
          </w:p>
          <w:p w14:paraId="77DB0520">
            <w:pPr>
              <w:keepNext w:val="0"/>
              <w:keepLines w:val="0"/>
              <w:pageBreakBefore w:val="0"/>
              <w:kinsoku/>
              <w:overflowPunct/>
              <w:bidi w:val="0"/>
              <w:adjustRightInd/>
              <w:snapToGrid/>
              <w:spacing w:line="360" w:lineRule="auto"/>
              <w:ind w:firstLine="480" w:firstLineChars="200"/>
              <w:rPr>
                <w:bCs/>
                <w:color w:val="auto"/>
                <w:sz w:val="24"/>
                <w:szCs w:val="24"/>
              </w:rPr>
            </w:pPr>
            <w:r>
              <w:rPr>
                <w:bCs/>
                <w:color w:val="auto"/>
                <w:sz w:val="24"/>
                <w:szCs w:val="24"/>
              </w:rPr>
              <w:t>本项目监测要求参照</w:t>
            </w:r>
            <w:r>
              <w:rPr>
                <w:rFonts w:hint="eastAsia" w:ascii="Times New Roman" w:hAnsi="Times New Roman" w:eastAsia="宋体" w:cs="Times New Roman"/>
                <w:color w:val="auto"/>
                <w:sz w:val="24"/>
                <w:szCs w:val="24"/>
                <w:lang w:bidi="ar"/>
              </w:rPr>
              <w:t>《排污单位自行监测技术指南 总则》（HJ819-2016）</w:t>
            </w:r>
            <w:r>
              <w:rPr>
                <w:rFonts w:hint="eastAsia" w:cs="Times New Roman"/>
                <w:color w:val="auto"/>
                <w:sz w:val="24"/>
                <w:szCs w:val="24"/>
                <w:lang w:eastAsia="zh-CN" w:bidi="ar"/>
              </w:rPr>
              <w:t>、《排污单位自行监测技术指南 火力发电及锅炉》（HJ 820-2017）</w:t>
            </w:r>
            <w:r>
              <w:rPr>
                <w:rFonts w:hint="eastAsia" w:ascii="Times New Roman" w:hAnsi="Times New Roman" w:eastAsia="宋体" w:cs="Times New Roman"/>
                <w:color w:val="auto"/>
                <w:sz w:val="24"/>
                <w:szCs w:val="24"/>
                <w:lang w:bidi="ar"/>
              </w:rPr>
              <w:t>制定本项目大气监测计划如</w:t>
            </w:r>
            <w:r>
              <w:rPr>
                <w:bCs/>
                <w:color w:val="auto"/>
                <w:sz w:val="24"/>
                <w:szCs w:val="24"/>
              </w:rPr>
              <w:t>下：</w:t>
            </w:r>
          </w:p>
          <w:p w14:paraId="70D6FAB4">
            <w:pPr>
              <w:pStyle w:val="113"/>
              <w:keepNext w:val="0"/>
              <w:keepLines w:val="0"/>
              <w:pageBreakBefore w:val="0"/>
              <w:widowControl w:val="0"/>
              <w:numPr>
                <w:ilvl w:val="0"/>
                <w:numId w:val="0"/>
              </w:numPr>
              <w:kinsoku/>
              <w:wordWrap/>
              <w:overflowPunct/>
              <w:topLinePunct/>
              <w:autoSpaceDE/>
              <w:autoSpaceDN/>
              <w:bidi w:val="0"/>
              <w:adjustRightInd/>
              <w:snapToGrid/>
              <w:spacing w:before="0" w:beforeLines="0" w:beforeAutospacing="0" w:after="0" w:afterLines="0" w:afterAutospacing="0" w:line="360" w:lineRule="auto"/>
              <w:ind w:left="0" w:leftChars="0" w:right="0" w:rightChars="0"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eastAsia" w:ascii="Times New Roman" w:hAnsi="Times New Roman" w:eastAsia="宋体" w:cs="Times New Roman"/>
                <w:b/>
                <w:color w:val="auto"/>
                <w:sz w:val="24"/>
                <w:szCs w:val="24"/>
              </w:rPr>
              <w:t>1</w:t>
            </w:r>
            <w:r>
              <w:rPr>
                <w:rFonts w:hint="eastAsia" w:ascii="Times New Roman" w:hAnsi="Times New Roman" w:eastAsia="宋体" w:cs="Times New Roman"/>
                <w:b/>
                <w:color w:val="auto"/>
                <w:sz w:val="24"/>
                <w:szCs w:val="24"/>
                <w:lang w:val="en-US" w:eastAsia="zh-CN"/>
              </w:rPr>
              <w:t>0</w:t>
            </w:r>
            <w:r>
              <w:rPr>
                <w:rFonts w:hint="eastAsia"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项目排气口设置及大气污染物监测计划</w:t>
            </w:r>
          </w:p>
          <w:tbl>
            <w:tblPr>
              <w:tblStyle w:val="31"/>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2"/>
              <w:gridCol w:w="878"/>
              <w:gridCol w:w="796"/>
              <w:gridCol w:w="750"/>
              <w:gridCol w:w="819"/>
              <w:gridCol w:w="973"/>
              <w:gridCol w:w="639"/>
              <w:gridCol w:w="1126"/>
              <w:gridCol w:w="653"/>
              <w:gridCol w:w="853"/>
              <w:gridCol w:w="639"/>
            </w:tblGrid>
            <w:tr w14:paraId="64A5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jc w:val="center"/>
              </w:trPr>
              <w:tc>
                <w:tcPr>
                  <w:tcW w:w="732" w:type="dxa"/>
                  <w:vMerge w:val="restart"/>
                  <w:shd w:val="clear" w:color="auto" w:fill="auto"/>
                  <w:vAlign w:val="center"/>
                </w:tcPr>
                <w:p w14:paraId="2FA4BF04">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污染源类别</w:t>
                  </w:r>
                </w:p>
              </w:tc>
              <w:tc>
                <w:tcPr>
                  <w:tcW w:w="878" w:type="dxa"/>
                  <w:vMerge w:val="restart"/>
                  <w:shd w:val="clear" w:color="auto" w:fill="auto"/>
                  <w:vAlign w:val="center"/>
                </w:tcPr>
                <w:p w14:paraId="5AADBAA3">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排污口编号及名称</w:t>
                  </w:r>
                </w:p>
              </w:tc>
              <w:tc>
                <w:tcPr>
                  <w:tcW w:w="3977" w:type="dxa"/>
                  <w:gridSpan w:val="5"/>
                  <w:shd w:val="clear" w:color="auto" w:fill="auto"/>
                  <w:vAlign w:val="center"/>
                </w:tcPr>
                <w:p w14:paraId="17722DC3">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排放口基本情况</w:t>
                  </w:r>
                </w:p>
              </w:tc>
              <w:tc>
                <w:tcPr>
                  <w:tcW w:w="1126" w:type="dxa"/>
                  <w:shd w:val="clear" w:color="auto" w:fill="auto"/>
                  <w:vAlign w:val="center"/>
                </w:tcPr>
                <w:p w14:paraId="2B0D960B">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排放标准</w:t>
                  </w:r>
                </w:p>
              </w:tc>
              <w:tc>
                <w:tcPr>
                  <w:tcW w:w="2145" w:type="dxa"/>
                  <w:gridSpan w:val="3"/>
                  <w:shd w:val="clear" w:color="auto" w:fill="auto"/>
                  <w:vAlign w:val="center"/>
                </w:tcPr>
                <w:p w14:paraId="1FDEB6D0">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监测要求</w:t>
                  </w:r>
                </w:p>
              </w:tc>
            </w:tr>
            <w:tr w14:paraId="22A7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32" w:type="dxa"/>
                  <w:vMerge w:val="continue"/>
                  <w:shd w:val="clear" w:color="auto" w:fill="auto"/>
                  <w:vAlign w:val="center"/>
                </w:tcPr>
                <w:p w14:paraId="29490307">
                  <w:pPr>
                    <w:keepNext w:val="0"/>
                    <w:keepLines w:val="0"/>
                    <w:pageBreakBefore w:val="0"/>
                    <w:widowControl/>
                    <w:kinsoku/>
                    <w:wordWrap/>
                    <w:overflowPunct/>
                    <w:topLinePunct w:val="0"/>
                    <w:autoSpaceDE/>
                    <w:autoSpaceDN/>
                    <w:bidi w:val="0"/>
                    <w:adjustRightInd/>
                    <w:snapToGrid/>
                    <w:spacing w:line="240" w:lineRule="exact"/>
                    <w:jc w:val="left"/>
                    <w:textAlignment w:val="auto"/>
                    <w:rPr>
                      <w:b/>
                      <w:bCs/>
                      <w:color w:val="auto"/>
                      <w:kern w:val="0"/>
                      <w:sz w:val="21"/>
                      <w:szCs w:val="21"/>
                    </w:rPr>
                  </w:pPr>
                </w:p>
              </w:tc>
              <w:tc>
                <w:tcPr>
                  <w:tcW w:w="878" w:type="dxa"/>
                  <w:vMerge w:val="continue"/>
                  <w:shd w:val="clear" w:color="auto" w:fill="auto"/>
                  <w:vAlign w:val="center"/>
                </w:tcPr>
                <w:p w14:paraId="77098652">
                  <w:pPr>
                    <w:keepNext w:val="0"/>
                    <w:keepLines w:val="0"/>
                    <w:pageBreakBefore w:val="0"/>
                    <w:widowControl/>
                    <w:kinsoku/>
                    <w:wordWrap/>
                    <w:overflowPunct/>
                    <w:topLinePunct w:val="0"/>
                    <w:autoSpaceDE/>
                    <w:autoSpaceDN/>
                    <w:bidi w:val="0"/>
                    <w:adjustRightInd/>
                    <w:snapToGrid/>
                    <w:spacing w:line="240" w:lineRule="exact"/>
                    <w:jc w:val="left"/>
                    <w:textAlignment w:val="auto"/>
                    <w:rPr>
                      <w:b/>
                      <w:bCs/>
                      <w:color w:val="auto"/>
                      <w:kern w:val="0"/>
                      <w:sz w:val="21"/>
                      <w:szCs w:val="21"/>
                    </w:rPr>
                  </w:pPr>
                </w:p>
              </w:tc>
              <w:tc>
                <w:tcPr>
                  <w:tcW w:w="796" w:type="dxa"/>
                  <w:shd w:val="clear" w:color="auto" w:fill="auto"/>
                  <w:vAlign w:val="center"/>
                </w:tcPr>
                <w:p w14:paraId="57781197">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高度（m）</w:t>
                  </w:r>
                </w:p>
              </w:tc>
              <w:tc>
                <w:tcPr>
                  <w:tcW w:w="750" w:type="dxa"/>
                  <w:shd w:val="clear" w:color="auto" w:fill="auto"/>
                  <w:vAlign w:val="center"/>
                </w:tcPr>
                <w:p w14:paraId="1CC80027">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内径（m）</w:t>
                  </w:r>
                </w:p>
              </w:tc>
              <w:tc>
                <w:tcPr>
                  <w:tcW w:w="819" w:type="dxa"/>
                  <w:shd w:val="clear" w:color="auto" w:fill="auto"/>
                  <w:vAlign w:val="center"/>
                </w:tcPr>
                <w:p w14:paraId="505061F7">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温度（℃）</w:t>
                  </w:r>
                </w:p>
              </w:tc>
              <w:tc>
                <w:tcPr>
                  <w:tcW w:w="973" w:type="dxa"/>
                  <w:shd w:val="clear" w:color="auto" w:fill="auto"/>
                  <w:vAlign w:val="center"/>
                </w:tcPr>
                <w:p w14:paraId="5D6B1643">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坐标</w:t>
                  </w:r>
                </w:p>
              </w:tc>
              <w:tc>
                <w:tcPr>
                  <w:tcW w:w="639" w:type="dxa"/>
                  <w:shd w:val="clear" w:color="auto" w:fill="auto"/>
                  <w:vAlign w:val="center"/>
                </w:tcPr>
                <w:p w14:paraId="2AE3A652">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类型</w:t>
                  </w:r>
                </w:p>
              </w:tc>
              <w:tc>
                <w:tcPr>
                  <w:tcW w:w="1126" w:type="dxa"/>
                  <w:shd w:val="clear" w:color="auto" w:fill="auto"/>
                  <w:vAlign w:val="center"/>
                </w:tcPr>
                <w:p w14:paraId="49C99B38">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浓度限值mg/m</w:t>
                  </w:r>
                  <w:r>
                    <w:rPr>
                      <w:b/>
                      <w:bCs/>
                      <w:color w:val="auto"/>
                      <w:kern w:val="0"/>
                      <w:sz w:val="21"/>
                      <w:szCs w:val="21"/>
                      <w:vertAlign w:val="superscript"/>
                    </w:rPr>
                    <w:t>3</w:t>
                  </w:r>
                </w:p>
              </w:tc>
              <w:tc>
                <w:tcPr>
                  <w:tcW w:w="653" w:type="dxa"/>
                  <w:shd w:val="clear" w:color="auto" w:fill="auto"/>
                  <w:vAlign w:val="center"/>
                </w:tcPr>
                <w:p w14:paraId="73247B1A">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监测点位</w:t>
                  </w:r>
                </w:p>
              </w:tc>
              <w:tc>
                <w:tcPr>
                  <w:tcW w:w="853" w:type="dxa"/>
                  <w:shd w:val="clear" w:color="auto" w:fill="auto"/>
                  <w:vAlign w:val="center"/>
                </w:tcPr>
                <w:p w14:paraId="021F25F1">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监测</w:t>
                  </w:r>
                </w:p>
                <w:p w14:paraId="7EA76CDB">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因子</w:t>
                  </w:r>
                </w:p>
              </w:tc>
              <w:tc>
                <w:tcPr>
                  <w:tcW w:w="639" w:type="dxa"/>
                  <w:shd w:val="clear" w:color="auto" w:fill="auto"/>
                  <w:vAlign w:val="center"/>
                </w:tcPr>
                <w:p w14:paraId="5437059A">
                  <w:pPr>
                    <w:keepNext w:val="0"/>
                    <w:keepLines w:val="0"/>
                    <w:pageBreakBefore w:val="0"/>
                    <w:widowControl/>
                    <w:kinsoku/>
                    <w:wordWrap/>
                    <w:overflowPunct/>
                    <w:topLinePunct w:val="0"/>
                    <w:autoSpaceDE/>
                    <w:autoSpaceDN/>
                    <w:bidi w:val="0"/>
                    <w:adjustRightInd/>
                    <w:snapToGrid/>
                    <w:spacing w:line="240" w:lineRule="exact"/>
                    <w:jc w:val="center"/>
                    <w:textAlignment w:val="auto"/>
                    <w:rPr>
                      <w:b/>
                      <w:bCs/>
                      <w:color w:val="auto"/>
                      <w:kern w:val="0"/>
                      <w:sz w:val="21"/>
                      <w:szCs w:val="21"/>
                    </w:rPr>
                  </w:pPr>
                  <w:r>
                    <w:rPr>
                      <w:b/>
                      <w:bCs/>
                      <w:color w:val="auto"/>
                      <w:kern w:val="0"/>
                      <w:sz w:val="21"/>
                      <w:szCs w:val="21"/>
                    </w:rPr>
                    <w:t>监测频次</w:t>
                  </w:r>
                </w:p>
              </w:tc>
            </w:tr>
            <w:tr w14:paraId="7192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 w:hRule="atLeast"/>
                <w:jc w:val="center"/>
              </w:trPr>
              <w:tc>
                <w:tcPr>
                  <w:tcW w:w="732" w:type="dxa"/>
                  <w:vMerge w:val="restart"/>
                  <w:shd w:val="clear" w:color="auto" w:fill="auto"/>
                  <w:vAlign w:val="center"/>
                </w:tcPr>
                <w:p w14:paraId="00D9E877">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有组织</w:t>
                  </w:r>
                </w:p>
              </w:tc>
              <w:tc>
                <w:tcPr>
                  <w:tcW w:w="878" w:type="dxa"/>
                  <w:vMerge w:val="restart"/>
                  <w:shd w:val="clear" w:color="auto" w:fill="auto"/>
                  <w:vAlign w:val="center"/>
                </w:tcPr>
                <w:p w14:paraId="0A2480FC">
                  <w:pPr>
                    <w:keepNext w:val="0"/>
                    <w:keepLines w:val="0"/>
                    <w:pageBreakBefore w:val="0"/>
                    <w:widowControl/>
                    <w:kinsoku/>
                    <w:overflowPunct/>
                    <w:bidi w:val="0"/>
                    <w:adjustRightInd/>
                    <w:snapToGrid/>
                    <w:jc w:val="center"/>
                    <w:rPr>
                      <w:rFonts w:hint="default"/>
                      <w:color w:val="auto"/>
                      <w:kern w:val="0"/>
                      <w:sz w:val="21"/>
                      <w:szCs w:val="21"/>
                      <w:lang w:val="en-US"/>
                    </w:rPr>
                  </w:pPr>
                  <w:r>
                    <w:rPr>
                      <w:rFonts w:hint="eastAsia" w:ascii="Times New Roman" w:hAnsi="Times New Roman"/>
                      <w:color w:val="auto"/>
                      <w:sz w:val="21"/>
                      <w:szCs w:val="21"/>
                      <w:highlight w:val="none"/>
                      <w:lang w:val="en-US" w:eastAsia="zh-CN"/>
                    </w:rPr>
                    <w:t>生物质锅炉燃烧废气排气筒</w:t>
                  </w:r>
                </w:p>
              </w:tc>
              <w:tc>
                <w:tcPr>
                  <w:tcW w:w="796" w:type="dxa"/>
                  <w:vMerge w:val="restart"/>
                  <w:shd w:val="clear" w:color="auto" w:fill="auto"/>
                  <w:vAlign w:val="center"/>
                </w:tcPr>
                <w:p w14:paraId="2B1252C9">
                  <w:pPr>
                    <w:keepNext w:val="0"/>
                    <w:keepLines w:val="0"/>
                    <w:pageBreakBefore w:val="0"/>
                    <w:widowControl/>
                    <w:kinsoku/>
                    <w:overflowPunct/>
                    <w:bidi w:val="0"/>
                    <w:adjustRightInd/>
                    <w:snapToGrid/>
                    <w:jc w:val="center"/>
                    <w:rPr>
                      <w:rFonts w:hint="default"/>
                      <w:color w:val="auto"/>
                      <w:kern w:val="0"/>
                      <w:sz w:val="21"/>
                      <w:szCs w:val="21"/>
                      <w:lang w:val="en-US"/>
                    </w:rPr>
                  </w:pPr>
                  <w:r>
                    <w:rPr>
                      <w:rFonts w:hint="eastAsia"/>
                      <w:color w:val="auto"/>
                      <w:kern w:val="0"/>
                      <w:sz w:val="21"/>
                      <w:szCs w:val="21"/>
                    </w:rPr>
                    <w:t>15</w:t>
                  </w:r>
                </w:p>
              </w:tc>
              <w:tc>
                <w:tcPr>
                  <w:tcW w:w="750" w:type="dxa"/>
                  <w:vMerge w:val="restart"/>
                  <w:shd w:val="clear" w:color="auto" w:fill="auto"/>
                  <w:vAlign w:val="center"/>
                </w:tcPr>
                <w:p w14:paraId="09D56F29">
                  <w:pPr>
                    <w:keepNext w:val="0"/>
                    <w:keepLines w:val="0"/>
                    <w:pageBreakBefore w:val="0"/>
                    <w:widowControl/>
                    <w:kinsoku/>
                    <w:overflowPunct/>
                    <w:bidi w:val="0"/>
                    <w:adjustRightInd/>
                    <w:snapToGrid/>
                    <w:jc w:val="center"/>
                    <w:rPr>
                      <w:rFonts w:hint="default" w:eastAsia="宋体"/>
                      <w:color w:val="auto"/>
                      <w:kern w:val="0"/>
                      <w:sz w:val="21"/>
                      <w:szCs w:val="21"/>
                      <w:lang w:val="en-US" w:eastAsia="zh-CN"/>
                    </w:rPr>
                  </w:pPr>
                  <w:r>
                    <w:rPr>
                      <w:rFonts w:hint="eastAsia"/>
                      <w:color w:val="auto"/>
                      <w:kern w:val="0"/>
                      <w:sz w:val="21"/>
                      <w:szCs w:val="21"/>
                      <w:lang w:val="en-US" w:eastAsia="zh-CN"/>
                    </w:rPr>
                    <w:t>0.4</w:t>
                  </w:r>
                </w:p>
              </w:tc>
              <w:tc>
                <w:tcPr>
                  <w:tcW w:w="819" w:type="dxa"/>
                  <w:vMerge w:val="restart"/>
                  <w:shd w:val="clear" w:color="auto" w:fill="auto"/>
                  <w:vAlign w:val="center"/>
                </w:tcPr>
                <w:p w14:paraId="75E92871">
                  <w:pPr>
                    <w:keepNext w:val="0"/>
                    <w:keepLines w:val="0"/>
                    <w:pageBreakBefore w:val="0"/>
                    <w:widowControl/>
                    <w:kinsoku/>
                    <w:overflowPunct/>
                    <w:bidi w:val="0"/>
                    <w:adjustRightInd/>
                    <w:snapToGrid/>
                    <w:jc w:val="center"/>
                    <w:rPr>
                      <w:rFonts w:hint="default" w:eastAsia="宋体"/>
                      <w:color w:val="auto"/>
                      <w:kern w:val="0"/>
                      <w:sz w:val="21"/>
                      <w:szCs w:val="21"/>
                      <w:lang w:val="en-US" w:eastAsia="zh-CN"/>
                    </w:rPr>
                  </w:pPr>
                  <w:r>
                    <w:rPr>
                      <w:rFonts w:hint="eastAsia"/>
                      <w:color w:val="auto"/>
                      <w:kern w:val="0"/>
                      <w:sz w:val="21"/>
                      <w:szCs w:val="21"/>
                      <w:lang w:val="en-US" w:eastAsia="zh-CN"/>
                    </w:rPr>
                    <w:t>100</w:t>
                  </w:r>
                </w:p>
              </w:tc>
              <w:tc>
                <w:tcPr>
                  <w:tcW w:w="973" w:type="dxa"/>
                  <w:vMerge w:val="restart"/>
                  <w:shd w:val="clear" w:color="auto" w:fill="auto"/>
                  <w:vAlign w:val="center"/>
                </w:tcPr>
                <w:p w14:paraId="7F6CE36A">
                  <w:pPr>
                    <w:keepNext w:val="0"/>
                    <w:keepLines w:val="0"/>
                    <w:pageBreakBefore w:val="0"/>
                    <w:kinsoku/>
                    <w:overflowPunct/>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olor w:val="auto"/>
                      <w:sz w:val="18"/>
                      <w:szCs w:val="18"/>
                      <w:lang w:val="en-US" w:eastAsia="zh-CN"/>
                    </w:rPr>
                    <w:t>E</w:t>
                  </w:r>
                  <w:r>
                    <w:rPr>
                      <w:rFonts w:hint="eastAsia"/>
                      <w:color w:val="auto"/>
                      <w:sz w:val="18"/>
                      <w:szCs w:val="18"/>
                    </w:rPr>
                    <w:t>115°54'56.142"，</w:t>
                  </w:r>
                  <w:r>
                    <w:rPr>
                      <w:rFonts w:hint="eastAsia"/>
                      <w:color w:val="auto"/>
                      <w:sz w:val="18"/>
                      <w:szCs w:val="18"/>
                      <w:lang w:val="en-US" w:eastAsia="zh-CN"/>
                    </w:rPr>
                    <w:t>N</w:t>
                  </w:r>
                  <w:r>
                    <w:rPr>
                      <w:rFonts w:hint="eastAsia"/>
                      <w:color w:val="auto"/>
                      <w:sz w:val="18"/>
                      <w:szCs w:val="18"/>
                    </w:rPr>
                    <w:t>31°27'6.556"</w:t>
                  </w:r>
                </w:p>
              </w:tc>
              <w:tc>
                <w:tcPr>
                  <w:tcW w:w="639" w:type="dxa"/>
                  <w:vMerge w:val="restart"/>
                  <w:shd w:val="clear" w:color="auto" w:fill="auto"/>
                  <w:vAlign w:val="center"/>
                </w:tcPr>
                <w:p w14:paraId="1F8ED5A1">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一般排放口</w:t>
                  </w:r>
                </w:p>
              </w:tc>
              <w:tc>
                <w:tcPr>
                  <w:tcW w:w="1126" w:type="dxa"/>
                  <w:shd w:val="clear" w:color="auto" w:fill="auto"/>
                  <w:noWrap/>
                  <w:vAlign w:val="center"/>
                </w:tcPr>
                <w:p w14:paraId="77E83F29">
                  <w:pPr>
                    <w:keepNext w:val="0"/>
                    <w:keepLines w:val="0"/>
                    <w:pageBreakBefore w:val="0"/>
                    <w:kinsoku/>
                    <w:overflowPunct/>
                    <w:bidi w:val="0"/>
                    <w:adjustRightInd/>
                    <w:snapToGrid/>
                    <w:jc w:val="center"/>
                    <w:rPr>
                      <w:rFonts w:hint="default" w:eastAsia="宋体"/>
                      <w:color w:val="auto"/>
                      <w:kern w:val="0"/>
                      <w:sz w:val="21"/>
                      <w:szCs w:val="21"/>
                      <w:lang w:val="en-US" w:eastAsia="zh-CN"/>
                    </w:rPr>
                  </w:pPr>
                  <w:r>
                    <w:rPr>
                      <w:rFonts w:hint="eastAsia"/>
                      <w:color w:val="auto"/>
                      <w:sz w:val="21"/>
                      <w:szCs w:val="21"/>
                      <w:lang w:val="en-US" w:eastAsia="zh-CN"/>
                    </w:rPr>
                    <w:t>10</w:t>
                  </w:r>
                </w:p>
              </w:tc>
              <w:tc>
                <w:tcPr>
                  <w:tcW w:w="653" w:type="dxa"/>
                  <w:vMerge w:val="restart"/>
                  <w:shd w:val="clear" w:color="auto" w:fill="auto"/>
                  <w:vAlign w:val="center"/>
                </w:tcPr>
                <w:p w14:paraId="079DCC87">
                  <w:pPr>
                    <w:keepNext w:val="0"/>
                    <w:keepLines w:val="0"/>
                    <w:pageBreakBefore w:val="0"/>
                    <w:widowControl/>
                    <w:kinsoku/>
                    <w:overflowPunct/>
                    <w:bidi w:val="0"/>
                    <w:adjustRightInd/>
                    <w:snapToGrid/>
                    <w:jc w:val="center"/>
                    <w:rPr>
                      <w:rFonts w:hint="default" w:eastAsia="宋体"/>
                      <w:color w:val="auto"/>
                      <w:kern w:val="0"/>
                      <w:sz w:val="21"/>
                      <w:szCs w:val="21"/>
                      <w:lang w:val="en-US" w:eastAsia="zh-CN"/>
                    </w:rPr>
                  </w:pPr>
                  <w:r>
                    <w:rPr>
                      <w:rFonts w:hint="eastAsia"/>
                      <w:color w:val="auto"/>
                      <w:kern w:val="0"/>
                      <w:sz w:val="21"/>
                      <w:szCs w:val="21"/>
                    </w:rPr>
                    <w:t>DA00</w:t>
                  </w:r>
                  <w:r>
                    <w:rPr>
                      <w:rFonts w:hint="eastAsia"/>
                      <w:color w:val="auto"/>
                      <w:kern w:val="0"/>
                      <w:sz w:val="21"/>
                      <w:szCs w:val="21"/>
                      <w:lang w:val="en-US" w:eastAsia="zh-CN"/>
                    </w:rPr>
                    <w:t>1</w:t>
                  </w:r>
                </w:p>
              </w:tc>
              <w:tc>
                <w:tcPr>
                  <w:tcW w:w="853" w:type="dxa"/>
                  <w:shd w:val="clear" w:color="auto" w:fill="auto"/>
                  <w:vAlign w:val="center"/>
                </w:tcPr>
                <w:p w14:paraId="41B9B43C">
                  <w:pPr>
                    <w:keepNext w:val="0"/>
                    <w:keepLines w:val="0"/>
                    <w:pageBreakBefore w:val="0"/>
                    <w:widowControl/>
                    <w:kinsoku/>
                    <w:overflowPunct/>
                    <w:bidi w:val="0"/>
                    <w:adjustRightInd/>
                    <w:snapToGrid/>
                    <w:jc w:val="center"/>
                    <w:rPr>
                      <w:rFonts w:hint="default"/>
                      <w:color w:val="auto"/>
                      <w:kern w:val="0"/>
                      <w:sz w:val="21"/>
                      <w:szCs w:val="21"/>
                      <w:lang w:val="en-US"/>
                    </w:rPr>
                  </w:pPr>
                  <w:r>
                    <w:rPr>
                      <w:rFonts w:hint="eastAsia"/>
                      <w:color w:val="auto"/>
                      <w:kern w:val="0"/>
                      <w:sz w:val="21"/>
                      <w:szCs w:val="21"/>
                    </w:rPr>
                    <w:t>颗粒物</w:t>
                  </w:r>
                </w:p>
              </w:tc>
              <w:tc>
                <w:tcPr>
                  <w:tcW w:w="639" w:type="dxa"/>
                  <w:vMerge w:val="restart"/>
                  <w:shd w:val="clear" w:color="auto" w:fill="auto"/>
                  <w:vAlign w:val="center"/>
                </w:tcPr>
                <w:p w14:paraId="59732208">
                  <w:pPr>
                    <w:keepNext w:val="0"/>
                    <w:keepLines w:val="0"/>
                    <w:pageBreakBefore w:val="0"/>
                    <w:widowControl/>
                    <w:kinsoku/>
                    <w:overflowPunct/>
                    <w:bidi w:val="0"/>
                    <w:adjustRightInd/>
                    <w:snapToGrid/>
                    <w:jc w:val="center"/>
                    <w:rPr>
                      <w:rFonts w:hint="eastAsia"/>
                      <w:color w:val="auto"/>
                      <w:sz w:val="21"/>
                      <w:szCs w:val="21"/>
                      <w:lang w:val="en-US" w:eastAsia="zh-CN"/>
                    </w:rPr>
                  </w:pPr>
                  <w:r>
                    <w:rPr>
                      <w:color w:val="auto"/>
                      <w:kern w:val="0"/>
                      <w:sz w:val="21"/>
                      <w:szCs w:val="21"/>
                    </w:rPr>
                    <w:t>1次/</w:t>
                  </w:r>
                  <w:r>
                    <w:rPr>
                      <w:rFonts w:hint="eastAsia"/>
                      <w:color w:val="auto"/>
                      <w:kern w:val="0"/>
                      <w:sz w:val="21"/>
                      <w:szCs w:val="21"/>
                    </w:rPr>
                    <w:t>年</w:t>
                  </w:r>
                </w:p>
              </w:tc>
            </w:tr>
            <w:tr w14:paraId="6323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 w:hRule="atLeast"/>
                <w:jc w:val="center"/>
              </w:trPr>
              <w:tc>
                <w:tcPr>
                  <w:tcW w:w="732" w:type="dxa"/>
                  <w:vMerge w:val="continue"/>
                  <w:shd w:val="clear" w:color="auto" w:fill="auto"/>
                  <w:vAlign w:val="center"/>
                </w:tcPr>
                <w:p w14:paraId="62F0CFE1">
                  <w:pPr>
                    <w:keepNext w:val="0"/>
                    <w:keepLines w:val="0"/>
                    <w:pageBreakBefore w:val="0"/>
                    <w:widowControl/>
                    <w:kinsoku/>
                    <w:overflowPunct/>
                    <w:bidi w:val="0"/>
                    <w:adjustRightInd/>
                    <w:snapToGrid/>
                    <w:jc w:val="center"/>
                    <w:rPr>
                      <w:color w:val="auto"/>
                    </w:rPr>
                  </w:pPr>
                </w:p>
              </w:tc>
              <w:tc>
                <w:tcPr>
                  <w:tcW w:w="878" w:type="dxa"/>
                  <w:vMerge w:val="continue"/>
                  <w:shd w:val="clear" w:color="auto" w:fill="auto"/>
                  <w:vAlign w:val="center"/>
                </w:tcPr>
                <w:p w14:paraId="3BE39CD9">
                  <w:pPr>
                    <w:keepNext w:val="0"/>
                    <w:keepLines w:val="0"/>
                    <w:pageBreakBefore w:val="0"/>
                    <w:widowControl/>
                    <w:kinsoku/>
                    <w:overflowPunct/>
                    <w:bidi w:val="0"/>
                    <w:adjustRightInd/>
                    <w:snapToGrid/>
                    <w:jc w:val="center"/>
                    <w:rPr>
                      <w:color w:val="auto"/>
                    </w:rPr>
                  </w:pPr>
                </w:p>
              </w:tc>
              <w:tc>
                <w:tcPr>
                  <w:tcW w:w="796" w:type="dxa"/>
                  <w:vMerge w:val="continue"/>
                  <w:shd w:val="clear" w:color="auto" w:fill="auto"/>
                  <w:vAlign w:val="center"/>
                </w:tcPr>
                <w:p w14:paraId="754A15AF">
                  <w:pPr>
                    <w:keepNext w:val="0"/>
                    <w:keepLines w:val="0"/>
                    <w:pageBreakBefore w:val="0"/>
                    <w:widowControl/>
                    <w:kinsoku/>
                    <w:overflowPunct/>
                    <w:bidi w:val="0"/>
                    <w:adjustRightInd/>
                    <w:snapToGrid/>
                    <w:jc w:val="center"/>
                    <w:rPr>
                      <w:color w:val="auto"/>
                    </w:rPr>
                  </w:pPr>
                </w:p>
              </w:tc>
              <w:tc>
                <w:tcPr>
                  <w:tcW w:w="750" w:type="dxa"/>
                  <w:vMerge w:val="continue"/>
                  <w:shd w:val="clear" w:color="auto" w:fill="auto"/>
                  <w:vAlign w:val="center"/>
                </w:tcPr>
                <w:p w14:paraId="40D6E85B">
                  <w:pPr>
                    <w:keepNext w:val="0"/>
                    <w:keepLines w:val="0"/>
                    <w:pageBreakBefore w:val="0"/>
                    <w:widowControl/>
                    <w:kinsoku/>
                    <w:overflowPunct/>
                    <w:bidi w:val="0"/>
                    <w:adjustRightInd/>
                    <w:snapToGrid/>
                    <w:jc w:val="center"/>
                    <w:rPr>
                      <w:color w:val="auto"/>
                    </w:rPr>
                  </w:pPr>
                </w:p>
              </w:tc>
              <w:tc>
                <w:tcPr>
                  <w:tcW w:w="819" w:type="dxa"/>
                  <w:vMerge w:val="continue"/>
                  <w:shd w:val="clear" w:color="auto" w:fill="auto"/>
                  <w:vAlign w:val="center"/>
                </w:tcPr>
                <w:p w14:paraId="110ED9C7">
                  <w:pPr>
                    <w:keepNext w:val="0"/>
                    <w:keepLines w:val="0"/>
                    <w:pageBreakBefore w:val="0"/>
                    <w:widowControl/>
                    <w:kinsoku/>
                    <w:overflowPunct/>
                    <w:bidi w:val="0"/>
                    <w:adjustRightInd/>
                    <w:snapToGrid/>
                    <w:jc w:val="center"/>
                    <w:rPr>
                      <w:color w:val="auto"/>
                    </w:rPr>
                  </w:pPr>
                </w:p>
              </w:tc>
              <w:tc>
                <w:tcPr>
                  <w:tcW w:w="973" w:type="dxa"/>
                  <w:vMerge w:val="continue"/>
                  <w:shd w:val="clear" w:color="auto" w:fill="auto"/>
                  <w:vAlign w:val="center"/>
                </w:tcPr>
                <w:p w14:paraId="3CC9ABE4">
                  <w:pPr>
                    <w:keepNext w:val="0"/>
                    <w:keepLines w:val="0"/>
                    <w:pageBreakBefore w:val="0"/>
                    <w:widowControl/>
                    <w:kinsoku/>
                    <w:overflowPunct/>
                    <w:bidi w:val="0"/>
                    <w:adjustRightInd/>
                    <w:snapToGrid/>
                    <w:jc w:val="center"/>
                    <w:rPr>
                      <w:color w:val="auto"/>
                    </w:rPr>
                  </w:pPr>
                </w:p>
              </w:tc>
              <w:tc>
                <w:tcPr>
                  <w:tcW w:w="639" w:type="dxa"/>
                  <w:vMerge w:val="continue"/>
                  <w:shd w:val="clear" w:color="auto" w:fill="auto"/>
                  <w:vAlign w:val="center"/>
                </w:tcPr>
                <w:p w14:paraId="222AB3D8">
                  <w:pPr>
                    <w:keepNext w:val="0"/>
                    <w:keepLines w:val="0"/>
                    <w:pageBreakBefore w:val="0"/>
                    <w:widowControl/>
                    <w:kinsoku/>
                    <w:overflowPunct/>
                    <w:bidi w:val="0"/>
                    <w:adjustRightInd/>
                    <w:snapToGrid/>
                    <w:jc w:val="center"/>
                    <w:rPr>
                      <w:color w:val="auto"/>
                    </w:rPr>
                  </w:pPr>
                </w:p>
              </w:tc>
              <w:tc>
                <w:tcPr>
                  <w:tcW w:w="1126" w:type="dxa"/>
                  <w:shd w:val="clear" w:color="auto" w:fill="auto"/>
                  <w:noWrap/>
                  <w:vAlign w:val="center"/>
                </w:tcPr>
                <w:p w14:paraId="788E4D69">
                  <w:pPr>
                    <w:keepNext w:val="0"/>
                    <w:keepLines w:val="0"/>
                    <w:pageBreakBefore w:val="0"/>
                    <w:kinsoku/>
                    <w:overflowPunct/>
                    <w:bidi w:val="0"/>
                    <w:adjustRightInd/>
                    <w:snapToGrid/>
                    <w:jc w:val="center"/>
                    <w:rPr>
                      <w:rFonts w:hint="eastAsia"/>
                      <w:color w:val="auto"/>
                      <w:sz w:val="21"/>
                      <w:szCs w:val="21"/>
                      <w:lang w:val="en-US" w:eastAsia="zh-CN"/>
                    </w:rPr>
                  </w:pPr>
                  <w:r>
                    <w:rPr>
                      <w:rFonts w:hint="eastAsia" w:cs="Times New Roman"/>
                      <w:color w:val="auto"/>
                      <w:sz w:val="21"/>
                      <w:szCs w:val="21"/>
                      <w:lang w:val="en-US" w:eastAsia="zh-CN"/>
                    </w:rPr>
                    <w:t>35</w:t>
                  </w:r>
                </w:p>
              </w:tc>
              <w:tc>
                <w:tcPr>
                  <w:tcW w:w="653" w:type="dxa"/>
                  <w:vMerge w:val="continue"/>
                  <w:shd w:val="clear" w:color="auto" w:fill="auto"/>
                  <w:vAlign w:val="center"/>
                </w:tcPr>
                <w:p w14:paraId="0F7407B0">
                  <w:pPr>
                    <w:keepNext w:val="0"/>
                    <w:keepLines w:val="0"/>
                    <w:pageBreakBefore w:val="0"/>
                    <w:widowControl/>
                    <w:kinsoku/>
                    <w:overflowPunct/>
                    <w:bidi w:val="0"/>
                    <w:adjustRightInd/>
                    <w:snapToGrid/>
                    <w:jc w:val="center"/>
                    <w:rPr>
                      <w:rFonts w:hint="eastAsia"/>
                      <w:color w:val="auto"/>
                      <w:sz w:val="21"/>
                      <w:szCs w:val="21"/>
                      <w:lang w:val="en-US" w:eastAsia="zh-CN"/>
                    </w:rPr>
                  </w:pPr>
                </w:p>
              </w:tc>
              <w:tc>
                <w:tcPr>
                  <w:tcW w:w="853" w:type="dxa"/>
                  <w:shd w:val="clear" w:color="auto" w:fill="auto"/>
                  <w:vAlign w:val="center"/>
                </w:tcPr>
                <w:p w14:paraId="231F670C">
                  <w:pPr>
                    <w:keepNext w:val="0"/>
                    <w:keepLines w:val="0"/>
                    <w:pageBreakBefore w:val="0"/>
                    <w:kinsoku/>
                    <w:overflowPunct/>
                    <w:bidi w:val="0"/>
                    <w:adjustRightInd/>
                    <w:snapToGrid/>
                    <w:jc w:val="center"/>
                    <w:rPr>
                      <w:rFonts w:hint="eastAsia"/>
                      <w:color w:val="auto"/>
                      <w:sz w:val="21"/>
                      <w:szCs w:val="21"/>
                      <w:lang w:val="en-US" w:eastAsia="zh-CN"/>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639" w:type="dxa"/>
                  <w:vMerge w:val="continue"/>
                  <w:shd w:val="clear" w:color="auto" w:fill="auto"/>
                  <w:vAlign w:val="center"/>
                </w:tcPr>
                <w:p w14:paraId="1CB0F53D">
                  <w:pPr>
                    <w:keepNext w:val="0"/>
                    <w:keepLines w:val="0"/>
                    <w:pageBreakBefore w:val="0"/>
                    <w:widowControl/>
                    <w:kinsoku/>
                    <w:overflowPunct/>
                    <w:bidi w:val="0"/>
                    <w:adjustRightInd/>
                    <w:snapToGrid/>
                    <w:jc w:val="center"/>
                    <w:rPr>
                      <w:rFonts w:hint="eastAsia"/>
                      <w:color w:val="auto"/>
                      <w:sz w:val="21"/>
                      <w:szCs w:val="21"/>
                      <w:lang w:val="en-US" w:eastAsia="zh-CN"/>
                    </w:rPr>
                  </w:pPr>
                </w:p>
              </w:tc>
            </w:tr>
            <w:tr w14:paraId="7466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 w:hRule="atLeast"/>
                <w:jc w:val="center"/>
              </w:trPr>
              <w:tc>
                <w:tcPr>
                  <w:tcW w:w="732" w:type="dxa"/>
                  <w:vMerge w:val="continue"/>
                  <w:shd w:val="clear" w:color="auto" w:fill="auto"/>
                  <w:vAlign w:val="center"/>
                </w:tcPr>
                <w:p w14:paraId="4B51FF98">
                  <w:pPr>
                    <w:keepNext w:val="0"/>
                    <w:keepLines w:val="0"/>
                    <w:pageBreakBefore w:val="0"/>
                    <w:widowControl/>
                    <w:kinsoku/>
                    <w:overflowPunct/>
                    <w:bidi w:val="0"/>
                    <w:adjustRightInd/>
                    <w:snapToGrid/>
                    <w:jc w:val="center"/>
                    <w:rPr>
                      <w:rFonts w:hint="eastAsia"/>
                      <w:color w:val="auto"/>
                      <w:sz w:val="21"/>
                      <w:szCs w:val="21"/>
                      <w:lang w:val="en-US" w:eastAsia="zh-CN"/>
                    </w:rPr>
                  </w:pPr>
                </w:p>
              </w:tc>
              <w:tc>
                <w:tcPr>
                  <w:tcW w:w="878" w:type="dxa"/>
                  <w:vMerge w:val="continue"/>
                  <w:shd w:val="clear" w:color="auto" w:fill="auto"/>
                  <w:vAlign w:val="center"/>
                </w:tcPr>
                <w:p w14:paraId="21B9C954">
                  <w:pPr>
                    <w:keepNext w:val="0"/>
                    <w:keepLines w:val="0"/>
                    <w:pageBreakBefore w:val="0"/>
                    <w:widowControl/>
                    <w:kinsoku/>
                    <w:overflowPunct/>
                    <w:bidi w:val="0"/>
                    <w:adjustRightInd/>
                    <w:snapToGrid/>
                    <w:jc w:val="center"/>
                    <w:rPr>
                      <w:rFonts w:hint="eastAsia"/>
                      <w:color w:val="auto"/>
                      <w:sz w:val="21"/>
                      <w:szCs w:val="21"/>
                      <w:lang w:val="en-US" w:eastAsia="zh-CN"/>
                    </w:rPr>
                  </w:pPr>
                </w:p>
              </w:tc>
              <w:tc>
                <w:tcPr>
                  <w:tcW w:w="796" w:type="dxa"/>
                  <w:vMerge w:val="continue"/>
                  <w:shd w:val="clear" w:color="auto" w:fill="auto"/>
                  <w:vAlign w:val="center"/>
                </w:tcPr>
                <w:p w14:paraId="34B770E2">
                  <w:pPr>
                    <w:keepNext w:val="0"/>
                    <w:keepLines w:val="0"/>
                    <w:pageBreakBefore w:val="0"/>
                    <w:widowControl/>
                    <w:kinsoku/>
                    <w:overflowPunct/>
                    <w:bidi w:val="0"/>
                    <w:adjustRightInd/>
                    <w:snapToGrid/>
                    <w:jc w:val="center"/>
                    <w:rPr>
                      <w:rFonts w:hint="eastAsia"/>
                      <w:color w:val="auto"/>
                      <w:sz w:val="21"/>
                      <w:szCs w:val="21"/>
                      <w:lang w:val="en-US" w:eastAsia="zh-CN"/>
                    </w:rPr>
                  </w:pPr>
                </w:p>
              </w:tc>
              <w:tc>
                <w:tcPr>
                  <w:tcW w:w="750" w:type="dxa"/>
                  <w:vMerge w:val="continue"/>
                  <w:shd w:val="clear" w:color="auto" w:fill="auto"/>
                  <w:vAlign w:val="center"/>
                </w:tcPr>
                <w:p w14:paraId="193D31F3">
                  <w:pPr>
                    <w:keepNext w:val="0"/>
                    <w:keepLines w:val="0"/>
                    <w:pageBreakBefore w:val="0"/>
                    <w:widowControl/>
                    <w:kinsoku/>
                    <w:overflowPunct/>
                    <w:bidi w:val="0"/>
                    <w:adjustRightInd/>
                    <w:snapToGrid/>
                    <w:jc w:val="center"/>
                    <w:rPr>
                      <w:rFonts w:hint="eastAsia"/>
                      <w:color w:val="auto"/>
                      <w:sz w:val="21"/>
                      <w:szCs w:val="21"/>
                      <w:lang w:val="en-US" w:eastAsia="zh-CN"/>
                    </w:rPr>
                  </w:pPr>
                </w:p>
              </w:tc>
              <w:tc>
                <w:tcPr>
                  <w:tcW w:w="819" w:type="dxa"/>
                  <w:vMerge w:val="continue"/>
                  <w:shd w:val="clear" w:color="auto" w:fill="auto"/>
                  <w:vAlign w:val="center"/>
                </w:tcPr>
                <w:p w14:paraId="64ECE57A">
                  <w:pPr>
                    <w:keepNext w:val="0"/>
                    <w:keepLines w:val="0"/>
                    <w:pageBreakBefore w:val="0"/>
                    <w:widowControl/>
                    <w:kinsoku/>
                    <w:overflowPunct/>
                    <w:bidi w:val="0"/>
                    <w:adjustRightInd/>
                    <w:snapToGrid/>
                    <w:jc w:val="center"/>
                    <w:rPr>
                      <w:rFonts w:hint="eastAsia"/>
                      <w:color w:val="auto"/>
                      <w:sz w:val="21"/>
                      <w:szCs w:val="21"/>
                      <w:lang w:val="en-US" w:eastAsia="zh-CN"/>
                    </w:rPr>
                  </w:pPr>
                </w:p>
              </w:tc>
              <w:tc>
                <w:tcPr>
                  <w:tcW w:w="973" w:type="dxa"/>
                  <w:vMerge w:val="continue"/>
                  <w:shd w:val="clear" w:color="auto" w:fill="auto"/>
                  <w:vAlign w:val="center"/>
                </w:tcPr>
                <w:p w14:paraId="14560A47">
                  <w:pPr>
                    <w:keepNext w:val="0"/>
                    <w:keepLines w:val="0"/>
                    <w:pageBreakBefore w:val="0"/>
                    <w:widowControl/>
                    <w:kinsoku/>
                    <w:overflowPunct/>
                    <w:bidi w:val="0"/>
                    <w:adjustRightInd/>
                    <w:snapToGrid/>
                    <w:jc w:val="center"/>
                    <w:rPr>
                      <w:rFonts w:hint="eastAsia"/>
                      <w:color w:val="auto"/>
                      <w:sz w:val="21"/>
                      <w:szCs w:val="21"/>
                      <w:lang w:val="en-US" w:eastAsia="zh-CN"/>
                    </w:rPr>
                  </w:pPr>
                </w:p>
              </w:tc>
              <w:tc>
                <w:tcPr>
                  <w:tcW w:w="639" w:type="dxa"/>
                  <w:vMerge w:val="continue"/>
                  <w:shd w:val="clear" w:color="auto" w:fill="auto"/>
                  <w:vAlign w:val="center"/>
                </w:tcPr>
                <w:p w14:paraId="60453F48">
                  <w:pPr>
                    <w:keepNext w:val="0"/>
                    <w:keepLines w:val="0"/>
                    <w:pageBreakBefore w:val="0"/>
                    <w:widowControl/>
                    <w:kinsoku/>
                    <w:overflowPunct/>
                    <w:bidi w:val="0"/>
                    <w:adjustRightInd/>
                    <w:snapToGrid/>
                    <w:jc w:val="center"/>
                    <w:rPr>
                      <w:rFonts w:hint="eastAsia"/>
                      <w:color w:val="auto"/>
                      <w:sz w:val="21"/>
                      <w:szCs w:val="21"/>
                      <w:lang w:val="en-US" w:eastAsia="zh-CN"/>
                    </w:rPr>
                  </w:pPr>
                </w:p>
              </w:tc>
              <w:tc>
                <w:tcPr>
                  <w:tcW w:w="1126" w:type="dxa"/>
                  <w:shd w:val="clear" w:color="auto" w:fill="auto"/>
                  <w:noWrap/>
                  <w:vAlign w:val="center"/>
                </w:tcPr>
                <w:p w14:paraId="49AA7718">
                  <w:pPr>
                    <w:keepNext w:val="0"/>
                    <w:keepLines w:val="0"/>
                    <w:pageBreakBefore w:val="0"/>
                    <w:kinsoku/>
                    <w:overflowPunct/>
                    <w:bidi w:val="0"/>
                    <w:adjustRightInd/>
                    <w:snapToGrid/>
                    <w:jc w:val="center"/>
                    <w:rPr>
                      <w:rFonts w:hint="eastAsia"/>
                      <w:color w:val="auto"/>
                      <w:sz w:val="21"/>
                      <w:szCs w:val="21"/>
                      <w:lang w:val="en-US" w:eastAsia="zh-CN"/>
                    </w:rPr>
                  </w:pPr>
                  <w:r>
                    <w:rPr>
                      <w:rFonts w:hint="eastAsia" w:cs="Times New Roman"/>
                      <w:color w:val="auto"/>
                      <w:sz w:val="21"/>
                      <w:szCs w:val="21"/>
                      <w:lang w:val="en-US" w:eastAsia="zh-CN"/>
                    </w:rPr>
                    <w:t>50</w:t>
                  </w:r>
                </w:p>
              </w:tc>
              <w:tc>
                <w:tcPr>
                  <w:tcW w:w="653" w:type="dxa"/>
                  <w:vMerge w:val="continue"/>
                  <w:shd w:val="clear" w:color="auto" w:fill="auto"/>
                  <w:vAlign w:val="center"/>
                </w:tcPr>
                <w:p w14:paraId="6CE104A3">
                  <w:pPr>
                    <w:keepNext w:val="0"/>
                    <w:keepLines w:val="0"/>
                    <w:pageBreakBefore w:val="0"/>
                    <w:widowControl/>
                    <w:kinsoku/>
                    <w:overflowPunct/>
                    <w:bidi w:val="0"/>
                    <w:adjustRightInd/>
                    <w:snapToGrid/>
                    <w:jc w:val="center"/>
                    <w:rPr>
                      <w:rFonts w:hint="eastAsia"/>
                      <w:color w:val="auto"/>
                      <w:sz w:val="21"/>
                      <w:szCs w:val="21"/>
                      <w:lang w:val="en-US" w:eastAsia="zh-CN"/>
                    </w:rPr>
                  </w:pPr>
                </w:p>
              </w:tc>
              <w:tc>
                <w:tcPr>
                  <w:tcW w:w="853" w:type="dxa"/>
                  <w:shd w:val="clear" w:color="auto" w:fill="auto"/>
                  <w:vAlign w:val="center"/>
                </w:tcPr>
                <w:p w14:paraId="60F13612">
                  <w:pPr>
                    <w:keepNext w:val="0"/>
                    <w:keepLines w:val="0"/>
                    <w:pageBreakBefore w:val="0"/>
                    <w:kinsoku/>
                    <w:overflowPunct/>
                    <w:bidi w:val="0"/>
                    <w:adjustRightInd/>
                    <w:snapToGrid/>
                    <w:jc w:val="center"/>
                    <w:rPr>
                      <w:rFonts w:hint="eastAsia"/>
                      <w:color w:val="auto"/>
                      <w:sz w:val="21"/>
                      <w:szCs w:val="21"/>
                      <w:lang w:val="en-US" w:eastAsia="zh-CN"/>
                    </w:rPr>
                  </w:pPr>
                  <w:r>
                    <w:rPr>
                      <w:rFonts w:hint="eastAsia" w:cs="Times New Roman"/>
                      <w:color w:val="auto"/>
                      <w:sz w:val="21"/>
                      <w:szCs w:val="21"/>
                      <w:lang w:val="en-US" w:eastAsia="zh-CN"/>
                    </w:rPr>
                    <w:t>NOx</w:t>
                  </w:r>
                </w:p>
              </w:tc>
              <w:tc>
                <w:tcPr>
                  <w:tcW w:w="639" w:type="dxa"/>
                  <w:shd w:val="clear" w:color="auto" w:fill="auto"/>
                  <w:vAlign w:val="center"/>
                </w:tcPr>
                <w:p w14:paraId="73A6DF59">
                  <w:pPr>
                    <w:keepNext w:val="0"/>
                    <w:keepLines w:val="0"/>
                    <w:pageBreakBefore w:val="0"/>
                    <w:widowControl/>
                    <w:kinsoku/>
                    <w:overflowPunct/>
                    <w:bidi w:val="0"/>
                    <w:adjustRightInd/>
                    <w:snapToGrid/>
                    <w:jc w:val="center"/>
                    <w:rPr>
                      <w:rFonts w:hint="eastAsia"/>
                      <w:color w:val="auto"/>
                      <w:sz w:val="21"/>
                      <w:szCs w:val="21"/>
                      <w:lang w:val="en-US" w:eastAsia="zh-CN"/>
                    </w:rPr>
                  </w:pPr>
                  <w:r>
                    <w:rPr>
                      <w:color w:val="auto"/>
                      <w:kern w:val="0"/>
                      <w:sz w:val="21"/>
                      <w:szCs w:val="21"/>
                    </w:rPr>
                    <w:t>1次/</w:t>
                  </w:r>
                  <w:r>
                    <w:rPr>
                      <w:rFonts w:hint="eastAsia"/>
                      <w:color w:val="auto"/>
                      <w:kern w:val="0"/>
                      <w:sz w:val="21"/>
                      <w:szCs w:val="21"/>
                      <w:lang w:eastAsia="zh-CN"/>
                    </w:rPr>
                    <w:t>月</w:t>
                  </w:r>
                </w:p>
              </w:tc>
            </w:tr>
            <w:tr w14:paraId="78F2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9" w:hRule="atLeast"/>
                <w:jc w:val="center"/>
              </w:trPr>
              <w:tc>
                <w:tcPr>
                  <w:tcW w:w="732" w:type="dxa"/>
                  <w:shd w:val="clear" w:color="auto" w:fill="auto"/>
                  <w:vAlign w:val="center"/>
                </w:tcPr>
                <w:p w14:paraId="4654C1B8">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无组织</w:t>
                  </w:r>
                </w:p>
              </w:tc>
              <w:tc>
                <w:tcPr>
                  <w:tcW w:w="878" w:type="dxa"/>
                  <w:shd w:val="clear" w:color="auto" w:fill="auto"/>
                  <w:vAlign w:val="center"/>
                </w:tcPr>
                <w:p w14:paraId="7EDDA50C">
                  <w:pPr>
                    <w:keepNext w:val="0"/>
                    <w:keepLines w:val="0"/>
                    <w:pageBreakBefore w:val="0"/>
                    <w:widowControl/>
                    <w:kinsoku/>
                    <w:overflowPunct/>
                    <w:bidi w:val="0"/>
                    <w:adjustRightInd/>
                    <w:snapToGrid/>
                    <w:jc w:val="center"/>
                    <w:rPr>
                      <w:rFonts w:hint="eastAsia" w:eastAsia="宋体"/>
                      <w:color w:val="auto"/>
                      <w:kern w:val="0"/>
                      <w:sz w:val="21"/>
                      <w:szCs w:val="21"/>
                      <w:lang w:eastAsia="zh-CN"/>
                    </w:rPr>
                  </w:pPr>
                  <w:r>
                    <w:rPr>
                      <w:rFonts w:hint="eastAsia"/>
                      <w:color w:val="auto"/>
                      <w:kern w:val="0"/>
                      <w:sz w:val="21"/>
                      <w:szCs w:val="21"/>
                      <w:lang w:eastAsia="zh-CN"/>
                    </w:rPr>
                    <w:t>厂界</w:t>
                  </w:r>
                </w:p>
              </w:tc>
              <w:tc>
                <w:tcPr>
                  <w:tcW w:w="796" w:type="dxa"/>
                  <w:shd w:val="clear" w:color="auto" w:fill="auto"/>
                  <w:vAlign w:val="center"/>
                </w:tcPr>
                <w:p w14:paraId="75790CFF">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w:t>
                  </w:r>
                </w:p>
              </w:tc>
              <w:tc>
                <w:tcPr>
                  <w:tcW w:w="750" w:type="dxa"/>
                  <w:shd w:val="clear" w:color="auto" w:fill="auto"/>
                  <w:vAlign w:val="center"/>
                </w:tcPr>
                <w:p w14:paraId="6452FFA9">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w:t>
                  </w:r>
                </w:p>
              </w:tc>
              <w:tc>
                <w:tcPr>
                  <w:tcW w:w="819" w:type="dxa"/>
                  <w:shd w:val="clear" w:color="auto" w:fill="auto"/>
                  <w:vAlign w:val="center"/>
                </w:tcPr>
                <w:p w14:paraId="6F17661A">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w:t>
                  </w:r>
                </w:p>
              </w:tc>
              <w:tc>
                <w:tcPr>
                  <w:tcW w:w="973" w:type="dxa"/>
                  <w:shd w:val="clear" w:color="auto" w:fill="auto"/>
                  <w:vAlign w:val="center"/>
                </w:tcPr>
                <w:p w14:paraId="6AAFB515">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w:t>
                  </w:r>
                </w:p>
              </w:tc>
              <w:tc>
                <w:tcPr>
                  <w:tcW w:w="639" w:type="dxa"/>
                  <w:shd w:val="clear" w:color="auto" w:fill="auto"/>
                  <w:vAlign w:val="center"/>
                </w:tcPr>
                <w:p w14:paraId="670A6135">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w:t>
                  </w:r>
                </w:p>
              </w:tc>
              <w:tc>
                <w:tcPr>
                  <w:tcW w:w="1126" w:type="dxa"/>
                  <w:shd w:val="clear" w:color="auto" w:fill="auto"/>
                  <w:noWrap/>
                  <w:vAlign w:val="center"/>
                </w:tcPr>
                <w:p w14:paraId="473A63E6">
                  <w:pPr>
                    <w:keepNext w:val="0"/>
                    <w:keepLines w:val="0"/>
                    <w:pageBreakBefore w:val="0"/>
                    <w:kinsoku/>
                    <w:overflowPunct/>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w:t>
                  </w:r>
                </w:p>
              </w:tc>
              <w:tc>
                <w:tcPr>
                  <w:tcW w:w="653" w:type="dxa"/>
                  <w:shd w:val="clear" w:color="auto" w:fill="auto"/>
                  <w:vAlign w:val="center"/>
                </w:tcPr>
                <w:p w14:paraId="73236EB4">
                  <w:pPr>
                    <w:keepNext w:val="0"/>
                    <w:keepLines w:val="0"/>
                    <w:pageBreakBefore w:val="0"/>
                    <w:widowControl/>
                    <w:kinsoku/>
                    <w:overflowPunct/>
                    <w:bidi w:val="0"/>
                    <w:adjustRightInd/>
                    <w:snapToGrid/>
                    <w:jc w:val="center"/>
                    <w:rPr>
                      <w:rFonts w:hint="eastAsia" w:eastAsia="宋体"/>
                      <w:color w:val="auto"/>
                      <w:kern w:val="0"/>
                      <w:sz w:val="21"/>
                      <w:szCs w:val="21"/>
                      <w:lang w:eastAsia="zh-CN"/>
                    </w:rPr>
                  </w:pPr>
                  <w:r>
                    <w:rPr>
                      <w:rFonts w:hint="eastAsia"/>
                      <w:color w:val="auto"/>
                      <w:kern w:val="0"/>
                      <w:sz w:val="21"/>
                      <w:szCs w:val="21"/>
                      <w:lang w:eastAsia="zh-CN"/>
                    </w:rPr>
                    <w:t>厂界外</w:t>
                  </w:r>
                </w:p>
              </w:tc>
              <w:tc>
                <w:tcPr>
                  <w:tcW w:w="853" w:type="dxa"/>
                  <w:shd w:val="clear" w:color="auto" w:fill="auto"/>
                  <w:vAlign w:val="center"/>
                </w:tcPr>
                <w:p w14:paraId="5A7A4498">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颗粒物</w:t>
                  </w:r>
                </w:p>
              </w:tc>
              <w:tc>
                <w:tcPr>
                  <w:tcW w:w="639" w:type="dxa"/>
                  <w:shd w:val="clear" w:color="auto" w:fill="auto"/>
                  <w:vAlign w:val="center"/>
                </w:tcPr>
                <w:p w14:paraId="22722790">
                  <w:pPr>
                    <w:keepNext w:val="0"/>
                    <w:keepLines w:val="0"/>
                    <w:pageBreakBefore w:val="0"/>
                    <w:widowControl/>
                    <w:kinsoku/>
                    <w:overflowPunct/>
                    <w:bidi w:val="0"/>
                    <w:adjustRightInd/>
                    <w:snapToGrid/>
                    <w:jc w:val="center"/>
                    <w:rPr>
                      <w:color w:val="auto"/>
                      <w:kern w:val="0"/>
                      <w:sz w:val="21"/>
                      <w:szCs w:val="21"/>
                    </w:rPr>
                  </w:pPr>
                  <w:r>
                    <w:rPr>
                      <w:color w:val="auto"/>
                      <w:kern w:val="0"/>
                      <w:sz w:val="21"/>
                      <w:szCs w:val="21"/>
                    </w:rPr>
                    <w:t>1次/</w:t>
                  </w:r>
                  <w:r>
                    <w:rPr>
                      <w:rFonts w:hint="eastAsia"/>
                      <w:color w:val="auto"/>
                      <w:kern w:val="0"/>
                      <w:sz w:val="21"/>
                      <w:szCs w:val="21"/>
                    </w:rPr>
                    <w:t>年</w:t>
                  </w:r>
                </w:p>
              </w:tc>
            </w:tr>
          </w:tbl>
          <w:p w14:paraId="4AFA962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kern w:val="2"/>
                <w:sz w:val="24"/>
                <w:szCs w:val="24"/>
                <w:lang w:val="en-US" w:eastAsia="zh-CN" w:bidi="zh-CN"/>
              </w:rPr>
            </w:pPr>
            <w:r>
              <w:rPr>
                <w:rFonts w:ascii="Times New Roman" w:hAnsi="Times New Roman" w:eastAsia="宋体" w:cs="Times New Roman"/>
                <w:b/>
                <w:bCs/>
                <w:color w:val="auto"/>
                <w:kern w:val="2"/>
                <w:sz w:val="24"/>
                <w:szCs w:val="24"/>
                <w:lang w:val="en-US" w:eastAsia="zh-CN" w:bidi="zh-CN"/>
              </w:rPr>
              <w:t>二、废水</w:t>
            </w:r>
          </w:p>
          <w:p w14:paraId="532A7749">
            <w:pPr>
              <w:pStyle w:val="70"/>
              <w:keepNext w:val="0"/>
              <w:keepLines w:val="0"/>
              <w:pageBreakBefore w:val="0"/>
              <w:tabs>
                <w:tab w:val="left" w:pos="1421"/>
              </w:tabs>
              <w:kinsoku/>
              <w:overflowPunct/>
              <w:bidi w:val="0"/>
              <w:adjustRightInd/>
              <w:snapToGrid/>
              <w:spacing w:line="360" w:lineRule="auto"/>
              <w:ind w:left="480" w:leftChars="200" w:firstLine="0"/>
              <w:rPr>
                <w:rFonts w:ascii="Times New Roman" w:hAnsi="Times New Roman" w:cs="Times New Roman"/>
                <w:b/>
                <w:bCs/>
                <w:color w:val="auto"/>
                <w:sz w:val="24"/>
                <w:lang w:val="en-US"/>
              </w:rPr>
            </w:pPr>
            <w:r>
              <w:rPr>
                <w:rFonts w:ascii="Times New Roman" w:hAnsi="Times New Roman" w:cs="Times New Roman"/>
                <w:b/>
                <w:bCs/>
                <w:color w:val="auto"/>
                <w:sz w:val="24"/>
                <w:lang w:val="en-US"/>
              </w:rPr>
              <w:t>1、废水源强</w:t>
            </w:r>
          </w:p>
          <w:p w14:paraId="139E0CD2">
            <w:pPr>
              <w:keepNext w:val="0"/>
              <w:keepLines w:val="0"/>
              <w:pageBreakBefore w:val="0"/>
              <w:kinsoku/>
              <w:overflowPunct/>
              <w:bidi w:val="0"/>
              <w:adjustRightInd/>
              <w:snapToGrid/>
              <w:spacing w:line="360" w:lineRule="auto"/>
              <w:ind w:firstLine="480" w:firstLineChars="200"/>
              <w:rPr>
                <w:rFonts w:hint="eastAsia" w:eastAsia="宋体"/>
                <w:color w:val="auto"/>
                <w:kern w:val="0"/>
                <w:sz w:val="24"/>
                <w:lang w:eastAsia="zh-CN"/>
              </w:rPr>
            </w:pPr>
            <w:r>
              <w:rPr>
                <w:rFonts w:hint="eastAsia"/>
                <w:color w:val="auto"/>
                <w:kern w:val="0"/>
                <w:sz w:val="24"/>
              </w:rPr>
              <w:t>①生活</w:t>
            </w:r>
            <w:r>
              <w:rPr>
                <w:rFonts w:hint="eastAsia"/>
                <w:color w:val="auto"/>
                <w:kern w:val="0"/>
                <w:sz w:val="24"/>
                <w:lang w:eastAsia="zh-CN"/>
              </w:rPr>
              <w:t>污水</w:t>
            </w:r>
          </w:p>
          <w:p w14:paraId="583CB462">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rPr>
                <w:color w:val="auto"/>
                <w:kern w:val="0"/>
                <w:sz w:val="24"/>
              </w:rPr>
            </w:pPr>
            <w:r>
              <w:rPr>
                <w:color w:val="auto"/>
                <w:kern w:val="0"/>
                <w:sz w:val="24"/>
              </w:rPr>
              <w:t>本项目</w:t>
            </w:r>
            <w:r>
              <w:rPr>
                <w:rFonts w:hint="eastAsia"/>
                <w:color w:val="auto"/>
                <w:kern w:val="0"/>
                <w:sz w:val="24"/>
              </w:rPr>
              <w:t>新增</w:t>
            </w:r>
            <w:r>
              <w:rPr>
                <w:color w:val="auto"/>
                <w:kern w:val="0"/>
                <w:sz w:val="24"/>
              </w:rPr>
              <w:t>生活污水排放总量为</w:t>
            </w:r>
            <w:r>
              <w:rPr>
                <w:rFonts w:hint="eastAsia"/>
                <w:color w:val="auto"/>
                <w:kern w:val="0"/>
                <w:sz w:val="24"/>
                <w:lang w:val="en-US" w:eastAsia="zh-CN"/>
              </w:rPr>
              <w:t>240</w:t>
            </w:r>
            <w:r>
              <w:rPr>
                <w:rFonts w:hint="eastAsia"/>
                <w:color w:val="auto"/>
                <w:kern w:val="0"/>
                <w:sz w:val="24"/>
              </w:rPr>
              <w:t>t/a</w:t>
            </w:r>
            <w:r>
              <w:rPr>
                <w:color w:val="auto"/>
                <w:kern w:val="0"/>
                <w:sz w:val="24"/>
              </w:rPr>
              <w:t>（</w:t>
            </w:r>
            <w:r>
              <w:rPr>
                <w:rFonts w:hint="eastAsia"/>
                <w:color w:val="auto"/>
                <w:kern w:val="0"/>
                <w:sz w:val="24"/>
                <w:lang w:val="en-US" w:eastAsia="zh-CN"/>
              </w:rPr>
              <w:t>0.8</w:t>
            </w:r>
            <w:r>
              <w:rPr>
                <w:rFonts w:hint="eastAsia"/>
                <w:color w:val="auto"/>
                <w:kern w:val="0"/>
                <w:sz w:val="24"/>
              </w:rPr>
              <w:t>t</w:t>
            </w:r>
            <w:r>
              <w:rPr>
                <w:color w:val="auto"/>
                <w:kern w:val="0"/>
                <w:sz w:val="24"/>
              </w:rPr>
              <w:t>/</w:t>
            </w:r>
            <w:r>
              <w:rPr>
                <w:rFonts w:hint="eastAsia"/>
                <w:color w:val="auto"/>
                <w:kern w:val="0"/>
                <w:sz w:val="24"/>
              </w:rPr>
              <w:t>d</w:t>
            </w:r>
            <w:r>
              <w:rPr>
                <w:color w:val="auto"/>
                <w:kern w:val="0"/>
                <w:sz w:val="24"/>
              </w:rPr>
              <w:t>）。</w:t>
            </w:r>
            <w:r>
              <w:rPr>
                <w:rFonts w:hint="eastAsia"/>
                <w:color w:val="auto"/>
                <w:kern w:val="0"/>
                <w:sz w:val="24"/>
              </w:rPr>
              <w:t>生活污水经化粪池处理后，</w:t>
            </w:r>
            <w:r>
              <w:rPr>
                <w:rFonts w:hint="eastAsia"/>
                <w:color w:val="auto"/>
                <w:kern w:val="0"/>
                <w:sz w:val="24"/>
                <w:lang w:eastAsia="zh-CN"/>
              </w:rPr>
              <w:t>定期清掏处置，用于周边农田施肥</w:t>
            </w:r>
            <w:r>
              <w:rPr>
                <w:rFonts w:hint="eastAsia"/>
                <w:color w:val="auto"/>
                <w:kern w:val="0"/>
                <w:sz w:val="24"/>
              </w:rPr>
              <w:t>。</w:t>
            </w:r>
          </w:p>
          <w:p w14:paraId="2904A156">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②锅炉</w:t>
            </w:r>
            <w:r>
              <w:rPr>
                <w:rFonts w:hint="eastAsia" w:cs="Times New Roman"/>
                <w:color w:val="auto"/>
                <w:kern w:val="0"/>
                <w:sz w:val="24"/>
                <w:lang w:eastAsia="zh-CN"/>
              </w:rPr>
              <w:t>废</w:t>
            </w:r>
            <w:r>
              <w:rPr>
                <w:rFonts w:hint="eastAsia" w:ascii="Times New Roman" w:hAnsi="Times New Roman" w:eastAsia="宋体" w:cs="Times New Roman"/>
                <w:color w:val="auto"/>
                <w:kern w:val="0"/>
                <w:sz w:val="24"/>
              </w:rPr>
              <w:t>水</w:t>
            </w:r>
          </w:p>
          <w:p w14:paraId="2F4982B3">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rPr>
                <w:rFonts w:hint="eastAsia"/>
                <w:color w:val="auto"/>
                <w:kern w:val="0"/>
                <w:sz w:val="24"/>
              </w:rPr>
            </w:pPr>
            <w:r>
              <w:rPr>
                <w:rFonts w:hint="eastAsia"/>
                <w:color w:val="auto"/>
                <w:kern w:val="0"/>
                <w:sz w:val="24"/>
              </w:rPr>
              <w:t>本项目生物质锅炉配备了封闭式蒸汽回收系统，通过加压装置将废蒸汽和高温冷凝水进行压缩，</w:t>
            </w:r>
            <w:r>
              <w:rPr>
                <w:rFonts w:hint="eastAsia"/>
                <w:color w:val="auto"/>
                <w:kern w:val="0"/>
                <w:sz w:val="24"/>
                <w:lang w:val="en-US" w:eastAsia="zh-CN"/>
              </w:rPr>
              <w:t>回到锅炉，</w:t>
            </w:r>
            <w:r>
              <w:rPr>
                <w:rFonts w:hint="eastAsia"/>
                <w:color w:val="auto"/>
                <w:kern w:val="0"/>
                <w:sz w:val="24"/>
              </w:rPr>
              <w:t>最终形成二次蒸汽再进行利用，如此循环</w:t>
            </w:r>
            <w:r>
              <w:rPr>
                <w:rFonts w:hint="eastAsia"/>
                <w:color w:val="auto"/>
                <w:kern w:val="0"/>
                <w:sz w:val="24"/>
                <w:lang w:eastAsia="zh-CN"/>
              </w:rPr>
              <w:t>，不产生废水</w:t>
            </w:r>
            <w:r>
              <w:rPr>
                <w:rFonts w:hint="eastAsia"/>
                <w:color w:val="auto"/>
                <w:kern w:val="0"/>
                <w:sz w:val="24"/>
              </w:rPr>
              <w:t>。</w:t>
            </w:r>
          </w:p>
          <w:p w14:paraId="270BC20C">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③喷淋塔</w:t>
            </w:r>
            <w:r>
              <w:rPr>
                <w:rFonts w:hint="eastAsia" w:cs="Times New Roman"/>
                <w:color w:val="auto"/>
                <w:kern w:val="0"/>
                <w:sz w:val="24"/>
                <w:lang w:val="en-US" w:eastAsia="zh-CN"/>
              </w:rPr>
              <w:t>废</w:t>
            </w:r>
            <w:r>
              <w:rPr>
                <w:rFonts w:hint="eastAsia" w:ascii="Times New Roman" w:hAnsi="Times New Roman" w:eastAsia="宋体" w:cs="Times New Roman"/>
                <w:color w:val="auto"/>
                <w:kern w:val="0"/>
                <w:sz w:val="24"/>
                <w:lang w:val="en-US" w:eastAsia="zh-CN"/>
              </w:rPr>
              <w:t>水</w:t>
            </w:r>
          </w:p>
          <w:p w14:paraId="22DDF65A">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rPr>
                <w:rFonts w:hint="eastAsia"/>
                <w:color w:val="auto"/>
                <w:kern w:val="0"/>
                <w:sz w:val="24"/>
                <w:lang w:val="en-US" w:eastAsia="zh-CN"/>
              </w:rPr>
            </w:pPr>
            <w:r>
              <w:rPr>
                <w:rFonts w:hint="eastAsia" w:ascii="Times New Roman" w:hAnsi="Times New Roman" w:eastAsia="宋体" w:cs="Times New Roman"/>
                <w:color w:val="auto"/>
                <w:kern w:val="0"/>
                <w:sz w:val="24"/>
                <w:lang w:val="en-US" w:eastAsia="zh-CN"/>
              </w:rPr>
              <w:t>本项目生物质锅炉烟</w:t>
            </w:r>
            <w:r>
              <w:rPr>
                <w:rFonts w:hint="eastAsia"/>
                <w:color w:val="auto"/>
                <w:kern w:val="0"/>
                <w:sz w:val="24"/>
                <w:lang w:val="en-US" w:eastAsia="zh-CN"/>
              </w:rPr>
              <w:t>气处理采用碱液喷淋塔进行除尘、脱硫，喷淋水循环使用不外排，定期补充碱度和捞渣处理。</w:t>
            </w:r>
          </w:p>
          <w:p w14:paraId="6F64EF56">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rPr>
                <w:color w:val="auto"/>
                <w:sz w:val="24"/>
                <w:szCs w:val="24"/>
              </w:rPr>
            </w:pPr>
            <w:r>
              <w:rPr>
                <w:color w:val="auto"/>
                <w:sz w:val="24"/>
                <w:szCs w:val="24"/>
              </w:rPr>
              <w:t>本项目废水产生及排放排放情况见下表：</w:t>
            </w:r>
          </w:p>
          <w:p w14:paraId="48457236">
            <w:pPr>
              <w:keepNext w:val="0"/>
              <w:keepLines w:val="0"/>
              <w:pageBreakBefore w:val="0"/>
              <w:widowControl/>
              <w:kinsoku/>
              <w:wordWrap/>
              <w:overflowPunct/>
              <w:topLinePunct w:val="0"/>
              <w:autoSpaceDE/>
              <w:autoSpaceDN/>
              <w:bidi w:val="0"/>
              <w:adjustRightInd/>
              <w:snapToGrid/>
              <w:spacing w:line="360" w:lineRule="auto"/>
              <w:jc w:val="center"/>
              <w:textAlignment w:val="auto"/>
              <w:rPr>
                <w:b/>
                <w:color w:val="auto"/>
                <w:kern w:val="0"/>
                <w:sz w:val="24"/>
              </w:rPr>
            </w:pPr>
            <w:r>
              <w:rPr>
                <w:b/>
                <w:color w:val="auto"/>
                <w:kern w:val="0"/>
                <w:sz w:val="24"/>
              </w:rPr>
              <w:t>表4-</w:t>
            </w:r>
            <w:r>
              <w:rPr>
                <w:rFonts w:hint="eastAsia"/>
                <w:b/>
                <w:color w:val="auto"/>
                <w:kern w:val="0"/>
                <w:sz w:val="24"/>
              </w:rPr>
              <w:t>1</w:t>
            </w:r>
            <w:r>
              <w:rPr>
                <w:rFonts w:hint="eastAsia"/>
                <w:b/>
                <w:color w:val="auto"/>
                <w:kern w:val="0"/>
                <w:sz w:val="24"/>
                <w:lang w:val="en-US" w:eastAsia="zh-CN"/>
              </w:rPr>
              <w:t xml:space="preserve">1  </w:t>
            </w:r>
            <w:r>
              <w:rPr>
                <w:b/>
                <w:color w:val="auto"/>
                <w:kern w:val="0"/>
                <w:sz w:val="24"/>
              </w:rPr>
              <w:t>本项目废水处理水质情况一览表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0"/>
              <w:gridCol w:w="481"/>
              <w:gridCol w:w="781"/>
              <w:gridCol w:w="526"/>
              <w:gridCol w:w="582"/>
              <w:gridCol w:w="605"/>
              <w:gridCol w:w="445"/>
              <w:gridCol w:w="501"/>
              <w:gridCol w:w="494"/>
              <w:gridCol w:w="642"/>
              <w:gridCol w:w="554"/>
              <w:gridCol w:w="572"/>
              <w:gridCol w:w="637"/>
              <w:gridCol w:w="601"/>
              <w:gridCol w:w="650"/>
            </w:tblGrid>
            <w:tr w14:paraId="39CE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9" w:type="pct"/>
                  <w:vMerge w:val="restart"/>
                  <w:shd w:val="clear" w:color="auto" w:fill="auto"/>
                  <w:noWrap w:val="0"/>
                  <w:vAlign w:val="center"/>
                </w:tcPr>
                <w:p w14:paraId="62DD3AAA">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产污环节</w:t>
                  </w:r>
                </w:p>
              </w:tc>
              <w:tc>
                <w:tcPr>
                  <w:tcW w:w="273" w:type="pct"/>
                  <w:vMerge w:val="restart"/>
                  <w:shd w:val="clear" w:color="auto" w:fill="auto"/>
                  <w:noWrap w:val="0"/>
                  <w:vAlign w:val="center"/>
                </w:tcPr>
                <w:p w14:paraId="515918B5">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类别</w:t>
                  </w:r>
                </w:p>
              </w:tc>
              <w:tc>
                <w:tcPr>
                  <w:tcW w:w="444" w:type="pct"/>
                  <w:vMerge w:val="restart"/>
                  <w:shd w:val="clear" w:color="auto" w:fill="auto"/>
                  <w:noWrap w:val="0"/>
                  <w:vAlign w:val="center"/>
                </w:tcPr>
                <w:p w14:paraId="32888892">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污染物种类</w:t>
                  </w:r>
                </w:p>
              </w:tc>
              <w:tc>
                <w:tcPr>
                  <w:tcW w:w="974" w:type="pct"/>
                  <w:gridSpan w:val="3"/>
                  <w:shd w:val="clear" w:color="auto" w:fill="auto"/>
                  <w:noWrap w:val="0"/>
                  <w:vAlign w:val="center"/>
                </w:tcPr>
                <w:p w14:paraId="7B0F3410">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污染物产生情况</w:t>
                  </w:r>
                </w:p>
              </w:tc>
              <w:tc>
                <w:tcPr>
                  <w:tcW w:w="1184" w:type="pct"/>
                  <w:gridSpan w:val="4"/>
                  <w:shd w:val="clear" w:color="auto" w:fill="auto"/>
                  <w:noWrap w:val="0"/>
                  <w:vAlign w:val="center"/>
                </w:tcPr>
                <w:p w14:paraId="3EC264F2">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主要污染治理设施</w:t>
                  </w:r>
                </w:p>
              </w:tc>
              <w:tc>
                <w:tcPr>
                  <w:tcW w:w="1002" w:type="pct"/>
                  <w:gridSpan w:val="3"/>
                  <w:shd w:val="clear" w:color="auto" w:fill="auto"/>
                  <w:noWrap w:val="0"/>
                  <w:vAlign w:val="center"/>
                </w:tcPr>
                <w:p w14:paraId="6E74D83F">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污染物排放情况</w:t>
                  </w:r>
                </w:p>
              </w:tc>
              <w:tc>
                <w:tcPr>
                  <w:tcW w:w="341" w:type="pct"/>
                  <w:vMerge w:val="restart"/>
                  <w:shd w:val="clear" w:color="auto" w:fill="auto"/>
                  <w:noWrap w:val="0"/>
                  <w:vAlign w:val="center"/>
                </w:tcPr>
                <w:p w14:paraId="49639AFE">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排放口编号</w:t>
                  </w:r>
                </w:p>
              </w:tc>
              <w:tc>
                <w:tcPr>
                  <w:tcW w:w="369" w:type="pct"/>
                  <w:shd w:val="clear" w:color="auto" w:fill="auto"/>
                  <w:noWrap w:val="0"/>
                  <w:vAlign w:val="center"/>
                </w:tcPr>
                <w:p w14:paraId="5669DE11">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排放标准</w:t>
                  </w:r>
                </w:p>
              </w:tc>
            </w:tr>
            <w:tr w14:paraId="6A76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09" w:type="pct"/>
                  <w:vMerge w:val="continue"/>
                  <w:shd w:val="clear" w:color="auto" w:fill="auto"/>
                  <w:noWrap w:val="0"/>
                  <w:vAlign w:val="center"/>
                </w:tcPr>
                <w:p w14:paraId="1FB8EBC4">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p>
              </w:tc>
              <w:tc>
                <w:tcPr>
                  <w:tcW w:w="273" w:type="pct"/>
                  <w:vMerge w:val="continue"/>
                  <w:shd w:val="clear" w:color="auto" w:fill="auto"/>
                  <w:noWrap w:val="0"/>
                  <w:vAlign w:val="center"/>
                </w:tcPr>
                <w:p w14:paraId="3284849B">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p>
              </w:tc>
              <w:tc>
                <w:tcPr>
                  <w:tcW w:w="444" w:type="pct"/>
                  <w:vMerge w:val="continue"/>
                  <w:shd w:val="clear" w:color="auto" w:fill="auto"/>
                  <w:noWrap w:val="0"/>
                  <w:vAlign w:val="center"/>
                </w:tcPr>
                <w:p w14:paraId="3BDE1FBB">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p>
              </w:tc>
              <w:tc>
                <w:tcPr>
                  <w:tcW w:w="299" w:type="pct"/>
                  <w:shd w:val="clear" w:color="auto" w:fill="auto"/>
                  <w:noWrap w:val="0"/>
                  <w:vAlign w:val="center"/>
                </w:tcPr>
                <w:p w14:paraId="0582870F">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废水产生量</w:t>
                  </w:r>
                  <w:r>
                    <w:rPr>
                      <w:rFonts w:hint="eastAsia" w:cs="Times New Roman"/>
                      <w:b/>
                      <w:bCs/>
                      <w:color w:val="auto"/>
                      <w:kern w:val="0"/>
                      <w:sz w:val="21"/>
                      <w:szCs w:val="21"/>
                      <w:lang w:val="en-US" w:eastAsia="zh-CN"/>
                    </w:rPr>
                    <w:t>t</w:t>
                  </w:r>
                  <w:r>
                    <w:rPr>
                      <w:rFonts w:hint="default" w:ascii="Times New Roman" w:hAnsi="Times New Roman" w:cs="Times New Roman"/>
                      <w:b/>
                      <w:bCs/>
                      <w:color w:val="auto"/>
                      <w:kern w:val="0"/>
                      <w:sz w:val="21"/>
                      <w:szCs w:val="21"/>
                    </w:rPr>
                    <w:t>/a</w:t>
                  </w:r>
                </w:p>
              </w:tc>
              <w:tc>
                <w:tcPr>
                  <w:tcW w:w="331" w:type="pct"/>
                  <w:shd w:val="clear" w:color="auto" w:fill="auto"/>
                  <w:noWrap w:val="0"/>
                  <w:vAlign w:val="center"/>
                </w:tcPr>
                <w:p w14:paraId="6D780125">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产生浓度mg/L</w:t>
                  </w:r>
                </w:p>
              </w:tc>
              <w:tc>
                <w:tcPr>
                  <w:tcW w:w="344" w:type="pct"/>
                  <w:shd w:val="clear" w:color="auto" w:fill="auto"/>
                  <w:noWrap w:val="0"/>
                  <w:vAlign w:val="center"/>
                </w:tcPr>
                <w:p w14:paraId="1AB068B7">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产生量t/a</w:t>
                  </w:r>
                </w:p>
              </w:tc>
              <w:tc>
                <w:tcPr>
                  <w:tcW w:w="253" w:type="pct"/>
                  <w:shd w:val="clear" w:color="auto" w:fill="auto"/>
                  <w:noWrap w:val="0"/>
                  <w:vAlign w:val="center"/>
                </w:tcPr>
                <w:p w14:paraId="466652C9">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处理工艺</w:t>
                  </w:r>
                </w:p>
              </w:tc>
              <w:tc>
                <w:tcPr>
                  <w:tcW w:w="284" w:type="pct"/>
                  <w:shd w:val="clear" w:color="auto" w:fill="auto"/>
                  <w:noWrap w:val="0"/>
                  <w:vAlign w:val="center"/>
                </w:tcPr>
                <w:p w14:paraId="0E8F68DB">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处理能力</w:t>
                  </w:r>
                  <w:r>
                    <w:rPr>
                      <w:rFonts w:hint="eastAsia" w:cs="Times New Roman"/>
                      <w:b/>
                      <w:bCs/>
                      <w:color w:val="auto"/>
                      <w:kern w:val="0"/>
                      <w:sz w:val="21"/>
                      <w:szCs w:val="21"/>
                      <w:lang w:val="en-US" w:eastAsia="zh-CN"/>
                    </w:rPr>
                    <w:t>t</w:t>
                  </w:r>
                  <w:r>
                    <w:rPr>
                      <w:rFonts w:hint="default" w:ascii="Times New Roman" w:hAnsi="Times New Roman" w:cs="Times New Roman"/>
                      <w:b/>
                      <w:bCs/>
                      <w:color w:val="auto"/>
                      <w:kern w:val="0"/>
                      <w:sz w:val="21"/>
                      <w:szCs w:val="21"/>
                    </w:rPr>
                    <w:t>/d</w:t>
                  </w:r>
                </w:p>
              </w:tc>
              <w:tc>
                <w:tcPr>
                  <w:tcW w:w="280" w:type="pct"/>
                  <w:shd w:val="clear" w:color="auto" w:fill="auto"/>
                  <w:noWrap w:val="0"/>
                  <w:vAlign w:val="center"/>
                </w:tcPr>
                <w:p w14:paraId="7B287E1F">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治理效率%</w:t>
                  </w:r>
                </w:p>
              </w:tc>
              <w:tc>
                <w:tcPr>
                  <w:tcW w:w="365" w:type="pct"/>
                  <w:shd w:val="clear" w:color="auto" w:fill="auto"/>
                  <w:noWrap w:val="0"/>
                  <w:vAlign w:val="center"/>
                </w:tcPr>
                <w:p w14:paraId="75199B05">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是否为可行技术</w:t>
                  </w:r>
                </w:p>
              </w:tc>
              <w:tc>
                <w:tcPr>
                  <w:tcW w:w="315" w:type="pct"/>
                  <w:shd w:val="clear" w:color="auto" w:fill="auto"/>
                  <w:noWrap w:val="0"/>
                  <w:vAlign w:val="center"/>
                </w:tcPr>
                <w:p w14:paraId="38BB5517">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废水排放量</w:t>
                  </w:r>
                  <w:r>
                    <w:rPr>
                      <w:rFonts w:hint="eastAsia" w:cs="Times New Roman"/>
                      <w:b/>
                      <w:bCs/>
                      <w:color w:val="auto"/>
                      <w:kern w:val="0"/>
                      <w:sz w:val="21"/>
                      <w:szCs w:val="21"/>
                      <w:lang w:val="en-US" w:eastAsia="zh-CN"/>
                    </w:rPr>
                    <w:t>t</w:t>
                  </w:r>
                  <w:r>
                    <w:rPr>
                      <w:rFonts w:hint="default" w:ascii="Times New Roman" w:hAnsi="Times New Roman" w:cs="Times New Roman"/>
                      <w:b/>
                      <w:bCs/>
                      <w:color w:val="auto"/>
                      <w:kern w:val="0"/>
                      <w:sz w:val="21"/>
                      <w:szCs w:val="21"/>
                    </w:rPr>
                    <w:t>/a</w:t>
                  </w:r>
                </w:p>
              </w:tc>
              <w:tc>
                <w:tcPr>
                  <w:tcW w:w="325" w:type="pct"/>
                  <w:shd w:val="clear" w:color="auto" w:fill="auto"/>
                  <w:noWrap w:val="0"/>
                  <w:vAlign w:val="center"/>
                </w:tcPr>
                <w:p w14:paraId="309F2579">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排放浓度mg/</w:t>
                  </w:r>
                  <w:r>
                    <w:rPr>
                      <w:rFonts w:hint="default" w:ascii="Times New Roman" w:hAnsi="Times New Roman" w:cs="Times New Roman"/>
                      <w:b/>
                      <w:bCs/>
                      <w:color w:val="auto"/>
                      <w:kern w:val="0"/>
                      <w:sz w:val="21"/>
                      <w:szCs w:val="21"/>
                      <w:lang w:val="en-US" w:eastAsia="zh-CN"/>
                    </w:rPr>
                    <w:t>L</w:t>
                  </w:r>
                </w:p>
              </w:tc>
              <w:tc>
                <w:tcPr>
                  <w:tcW w:w="362" w:type="pct"/>
                  <w:shd w:val="clear" w:color="auto" w:fill="auto"/>
                  <w:noWrap w:val="0"/>
                  <w:vAlign w:val="center"/>
                </w:tcPr>
                <w:p w14:paraId="16B888A6">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排放量t/a</w:t>
                  </w:r>
                </w:p>
              </w:tc>
              <w:tc>
                <w:tcPr>
                  <w:tcW w:w="341" w:type="pct"/>
                  <w:vMerge w:val="continue"/>
                  <w:shd w:val="clear" w:color="auto" w:fill="auto"/>
                  <w:noWrap w:val="0"/>
                  <w:vAlign w:val="center"/>
                </w:tcPr>
                <w:p w14:paraId="1C5169D2">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p>
              </w:tc>
              <w:tc>
                <w:tcPr>
                  <w:tcW w:w="369" w:type="pct"/>
                  <w:shd w:val="clear" w:color="auto" w:fill="auto"/>
                  <w:noWrap w:val="0"/>
                  <w:vAlign w:val="center"/>
                </w:tcPr>
                <w:p w14:paraId="5187D553">
                  <w:pPr>
                    <w:keepNext w:val="0"/>
                    <w:keepLines w:val="0"/>
                    <w:pageBreakBefore w:val="0"/>
                    <w:widowControl/>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浓度限值mg/L</w:t>
                  </w:r>
                </w:p>
              </w:tc>
            </w:tr>
            <w:tr w14:paraId="62F9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3" w:hRule="atLeast"/>
                <w:jc w:val="center"/>
              </w:trPr>
              <w:tc>
                <w:tcPr>
                  <w:tcW w:w="409" w:type="pct"/>
                  <w:vMerge w:val="restart"/>
                  <w:shd w:val="clear" w:color="auto" w:fill="auto"/>
                  <w:noWrap/>
                  <w:vAlign w:val="center"/>
                </w:tcPr>
                <w:p w14:paraId="078570EC">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办公生活</w:t>
                  </w:r>
                </w:p>
              </w:tc>
              <w:tc>
                <w:tcPr>
                  <w:tcW w:w="273" w:type="pct"/>
                  <w:vMerge w:val="restart"/>
                  <w:shd w:val="clear" w:color="auto" w:fill="auto"/>
                  <w:noWrap/>
                  <w:vAlign w:val="center"/>
                </w:tcPr>
                <w:p w14:paraId="544198CF">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生活污水</w:t>
                  </w:r>
                </w:p>
              </w:tc>
              <w:tc>
                <w:tcPr>
                  <w:tcW w:w="444" w:type="pct"/>
                  <w:shd w:val="clear" w:color="auto" w:fill="auto"/>
                  <w:noWrap w:val="0"/>
                  <w:vAlign w:val="center"/>
                </w:tcPr>
                <w:p w14:paraId="680D28D9">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299" w:type="pct"/>
                  <w:vMerge w:val="restart"/>
                  <w:shd w:val="clear" w:color="auto" w:fill="auto"/>
                  <w:noWrap w:val="0"/>
                  <w:vAlign w:val="center"/>
                </w:tcPr>
                <w:p w14:paraId="3FD1B7C3">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240</w:t>
                  </w:r>
                </w:p>
              </w:tc>
              <w:tc>
                <w:tcPr>
                  <w:tcW w:w="331" w:type="pct"/>
                  <w:shd w:val="clear" w:color="auto" w:fill="auto"/>
                  <w:noWrap w:val="0"/>
                  <w:vAlign w:val="center"/>
                </w:tcPr>
                <w:p w14:paraId="481E7A9B">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344" w:type="pct"/>
                  <w:shd w:val="clear" w:color="auto" w:fill="auto"/>
                  <w:noWrap/>
                  <w:vAlign w:val="center"/>
                </w:tcPr>
                <w:p w14:paraId="5FE00617">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r>
                    <w:rPr>
                      <w:rFonts w:hint="eastAsia" w:eastAsia="等线" w:cs="Times New Roman"/>
                      <w:i w:val="0"/>
                      <w:color w:val="auto"/>
                      <w:kern w:val="0"/>
                      <w:sz w:val="21"/>
                      <w:szCs w:val="21"/>
                      <w:u w:val="none"/>
                      <w:lang w:val="en-US" w:eastAsia="zh-CN" w:bidi="ar"/>
                    </w:rPr>
                    <w:t xml:space="preserve"> </w:t>
                  </w:r>
                </w:p>
              </w:tc>
              <w:tc>
                <w:tcPr>
                  <w:tcW w:w="253" w:type="pct"/>
                  <w:vMerge w:val="restart"/>
                  <w:shd w:val="clear" w:color="auto" w:fill="auto"/>
                  <w:noWrap w:val="0"/>
                  <w:vAlign w:val="center"/>
                </w:tcPr>
                <w:p w14:paraId="465D4A83">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化粪池</w:t>
                  </w:r>
                </w:p>
              </w:tc>
              <w:tc>
                <w:tcPr>
                  <w:tcW w:w="284" w:type="pct"/>
                  <w:vMerge w:val="restart"/>
                  <w:shd w:val="clear" w:color="auto" w:fill="auto"/>
                  <w:noWrap/>
                  <w:vAlign w:val="center"/>
                </w:tcPr>
                <w:p w14:paraId="40742943">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c>
                <w:tcPr>
                  <w:tcW w:w="280" w:type="pct"/>
                  <w:shd w:val="clear" w:color="auto" w:fill="auto"/>
                  <w:noWrap/>
                  <w:vAlign w:val="center"/>
                </w:tcPr>
                <w:p w14:paraId="0270B025">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365" w:type="pct"/>
                  <w:vMerge w:val="restart"/>
                  <w:shd w:val="clear" w:color="auto" w:fill="auto"/>
                  <w:noWrap/>
                  <w:vAlign w:val="center"/>
                </w:tcPr>
                <w:p w14:paraId="4DB650B7">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c>
                <w:tcPr>
                  <w:tcW w:w="315" w:type="pct"/>
                  <w:vMerge w:val="restart"/>
                  <w:shd w:val="clear" w:color="auto" w:fill="auto"/>
                  <w:noWrap/>
                  <w:vAlign w:val="center"/>
                </w:tcPr>
                <w:p w14:paraId="34CC18AE">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c>
                <w:tcPr>
                  <w:tcW w:w="325" w:type="pct"/>
                  <w:shd w:val="clear" w:color="auto" w:fill="auto"/>
                  <w:noWrap/>
                  <w:vAlign w:val="center"/>
                </w:tcPr>
                <w:p w14:paraId="11F3AD21">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r>
                    <w:rPr>
                      <w:rFonts w:hint="eastAsia" w:cs="Times New Roman"/>
                      <w:color w:val="auto"/>
                      <w:kern w:val="0"/>
                      <w:sz w:val="21"/>
                      <w:szCs w:val="21"/>
                      <w:lang w:val="en-US" w:eastAsia="zh-CN"/>
                    </w:rPr>
                    <w:t>/</w:t>
                  </w:r>
                </w:p>
              </w:tc>
              <w:tc>
                <w:tcPr>
                  <w:tcW w:w="362" w:type="pct"/>
                  <w:shd w:val="clear" w:color="auto" w:fill="auto"/>
                  <w:noWrap/>
                  <w:vAlign w:val="center"/>
                </w:tcPr>
                <w:p w14:paraId="2E767EAA">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r>
                    <w:rPr>
                      <w:rFonts w:hint="eastAsia" w:cs="Times New Roman"/>
                      <w:color w:val="auto"/>
                      <w:kern w:val="0"/>
                      <w:sz w:val="21"/>
                      <w:szCs w:val="21"/>
                      <w:lang w:val="en-US" w:eastAsia="zh-CN"/>
                    </w:rPr>
                    <w:t>/</w:t>
                  </w:r>
                </w:p>
              </w:tc>
              <w:tc>
                <w:tcPr>
                  <w:tcW w:w="341" w:type="pct"/>
                  <w:vMerge w:val="restart"/>
                  <w:shd w:val="clear" w:color="auto" w:fill="auto"/>
                  <w:noWrap/>
                  <w:vAlign w:val="center"/>
                </w:tcPr>
                <w:p w14:paraId="315FFDB1">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369" w:type="pct"/>
                  <w:shd w:val="clear" w:color="auto" w:fill="auto"/>
                  <w:noWrap/>
                  <w:vAlign w:val="center"/>
                </w:tcPr>
                <w:p w14:paraId="7D298450">
                  <w:pPr>
                    <w:keepNext w:val="0"/>
                    <w:keepLines w:val="0"/>
                    <w:pageBreakBefore w:val="0"/>
                    <w:widowControl/>
                    <w:kinsoku/>
                    <w:overflowPunct/>
                    <w:bidi w:val="0"/>
                    <w:adjustRightInd/>
                    <w:snapToGrid/>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14:paraId="6AF7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409" w:type="pct"/>
                  <w:vMerge w:val="continue"/>
                  <w:shd w:val="clear" w:color="auto" w:fill="auto"/>
                  <w:noWrap w:val="0"/>
                  <w:vAlign w:val="center"/>
                </w:tcPr>
                <w:p w14:paraId="5E68A6CB">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273" w:type="pct"/>
                  <w:vMerge w:val="continue"/>
                  <w:shd w:val="clear" w:color="auto" w:fill="auto"/>
                  <w:noWrap w:val="0"/>
                  <w:vAlign w:val="center"/>
                </w:tcPr>
                <w:p w14:paraId="744EA8C0">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444" w:type="pct"/>
                  <w:shd w:val="clear" w:color="auto" w:fill="auto"/>
                  <w:noWrap w:val="0"/>
                  <w:vAlign w:val="center"/>
                </w:tcPr>
                <w:p w14:paraId="57922353">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299" w:type="pct"/>
                  <w:vMerge w:val="continue"/>
                  <w:shd w:val="clear" w:color="auto" w:fill="auto"/>
                  <w:noWrap w:val="0"/>
                  <w:vAlign w:val="center"/>
                </w:tcPr>
                <w:p w14:paraId="0EEBD8E0">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31" w:type="pct"/>
                  <w:shd w:val="clear" w:color="auto" w:fill="auto"/>
                  <w:noWrap w:val="0"/>
                  <w:vAlign w:val="center"/>
                </w:tcPr>
                <w:p w14:paraId="74F19C3E">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w:t>
                  </w:r>
                </w:p>
              </w:tc>
              <w:tc>
                <w:tcPr>
                  <w:tcW w:w="344" w:type="pct"/>
                  <w:shd w:val="clear" w:color="auto" w:fill="auto"/>
                  <w:noWrap/>
                  <w:vAlign w:val="center"/>
                </w:tcPr>
                <w:p w14:paraId="5F5D7589">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p>
              </w:tc>
              <w:tc>
                <w:tcPr>
                  <w:tcW w:w="253" w:type="pct"/>
                  <w:vMerge w:val="continue"/>
                  <w:shd w:val="clear" w:color="auto" w:fill="auto"/>
                  <w:noWrap w:val="0"/>
                  <w:vAlign w:val="center"/>
                </w:tcPr>
                <w:p w14:paraId="65C18720">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284" w:type="pct"/>
                  <w:vMerge w:val="continue"/>
                  <w:shd w:val="clear" w:color="auto" w:fill="auto"/>
                  <w:noWrap w:val="0"/>
                  <w:vAlign w:val="center"/>
                </w:tcPr>
                <w:p w14:paraId="2C3C4F17">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280" w:type="pct"/>
                  <w:shd w:val="clear" w:color="auto" w:fill="auto"/>
                  <w:noWrap/>
                  <w:vAlign w:val="center"/>
                </w:tcPr>
                <w:p w14:paraId="25285190">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365" w:type="pct"/>
                  <w:vMerge w:val="continue"/>
                  <w:shd w:val="clear" w:color="auto" w:fill="auto"/>
                  <w:noWrap w:val="0"/>
                  <w:vAlign w:val="center"/>
                </w:tcPr>
                <w:p w14:paraId="3DC70BC6">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15" w:type="pct"/>
                  <w:vMerge w:val="continue"/>
                  <w:shd w:val="clear" w:color="auto" w:fill="auto"/>
                  <w:noWrap w:val="0"/>
                  <w:vAlign w:val="center"/>
                </w:tcPr>
                <w:p w14:paraId="32CF823B">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25" w:type="pct"/>
                  <w:shd w:val="clear" w:color="auto" w:fill="auto"/>
                  <w:noWrap/>
                  <w:vAlign w:val="center"/>
                </w:tcPr>
                <w:p w14:paraId="0B8E47E9">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r>
                    <w:rPr>
                      <w:rFonts w:hint="eastAsia" w:cs="Times New Roman"/>
                      <w:color w:val="auto"/>
                      <w:kern w:val="0"/>
                      <w:sz w:val="21"/>
                      <w:szCs w:val="21"/>
                      <w:lang w:val="en-US" w:eastAsia="zh-CN"/>
                    </w:rPr>
                    <w:t>/</w:t>
                  </w:r>
                </w:p>
              </w:tc>
              <w:tc>
                <w:tcPr>
                  <w:tcW w:w="362" w:type="pct"/>
                  <w:shd w:val="clear" w:color="auto" w:fill="auto"/>
                  <w:noWrap/>
                  <w:vAlign w:val="center"/>
                </w:tcPr>
                <w:p w14:paraId="247AA5B2">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r>
                    <w:rPr>
                      <w:rFonts w:hint="eastAsia" w:cs="Times New Roman"/>
                      <w:color w:val="auto"/>
                      <w:kern w:val="0"/>
                      <w:sz w:val="21"/>
                      <w:szCs w:val="21"/>
                      <w:lang w:val="en-US" w:eastAsia="zh-CN"/>
                    </w:rPr>
                    <w:t>/</w:t>
                  </w:r>
                </w:p>
              </w:tc>
              <w:tc>
                <w:tcPr>
                  <w:tcW w:w="341" w:type="pct"/>
                  <w:vMerge w:val="continue"/>
                  <w:shd w:val="clear" w:color="auto" w:fill="auto"/>
                  <w:noWrap/>
                  <w:vAlign w:val="center"/>
                </w:tcPr>
                <w:p w14:paraId="5EF94B7A">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69" w:type="pct"/>
                  <w:shd w:val="clear" w:color="auto" w:fill="auto"/>
                  <w:noWrap/>
                  <w:vAlign w:val="center"/>
                </w:tcPr>
                <w:p w14:paraId="2E27163F">
                  <w:pPr>
                    <w:keepNext w:val="0"/>
                    <w:keepLines w:val="0"/>
                    <w:pageBreakBefore w:val="0"/>
                    <w:widowControl/>
                    <w:kinsoku/>
                    <w:overflowPunct/>
                    <w:bidi w:val="0"/>
                    <w:adjustRightInd/>
                    <w:snapToGrid/>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14:paraId="322E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9" w:type="pct"/>
                  <w:vMerge w:val="continue"/>
                  <w:shd w:val="clear" w:color="auto" w:fill="auto"/>
                  <w:noWrap w:val="0"/>
                  <w:vAlign w:val="center"/>
                </w:tcPr>
                <w:p w14:paraId="4E8E985D">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273" w:type="pct"/>
                  <w:vMerge w:val="continue"/>
                  <w:shd w:val="clear" w:color="auto" w:fill="auto"/>
                  <w:noWrap w:val="0"/>
                  <w:vAlign w:val="center"/>
                </w:tcPr>
                <w:p w14:paraId="1DD41586">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444" w:type="pct"/>
                  <w:shd w:val="clear" w:color="auto" w:fill="auto"/>
                  <w:noWrap w:val="0"/>
                  <w:vAlign w:val="center"/>
                </w:tcPr>
                <w:p w14:paraId="0D227F25">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SS</w:t>
                  </w:r>
                </w:p>
              </w:tc>
              <w:tc>
                <w:tcPr>
                  <w:tcW w:w="299" w:type="pct"/>
                  <w:vMerge w:val="continue"/>
                  <w:shd w:val="clear" w:color="auto" w:fill="auto"/>
                  <w:noWrap w:val="0"/>
                  <w:vAlign w:val="center"/>
                </w:tcPr>
                <w:p w14:paraId="4B531BDA">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31" w:type="pct"/>
                  <w:shd w:val="clear" w:color="auto" w:fill="auto"/>
                  <w:noWrap w:val="0"/>
                  <w:vAlign w:val="center"/>
                </w:tcPr>
                <w:p w14:paraId="3A993327">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200</w:t>
                  </w:r>
                </w:p>
              </w:tc>
              <w:tc>
                <w:tcPr>
                  <w:tcW w:w="344" w:type="pct"/>
                  <w:shd w:val="clear" w:color="auto" w:fill="auto"/>
                  <w:noWrap/>
                  <w:vAlign w:val="center"/>
                </w:tcPr>
                <w:p w14:paraId="2076C6AE">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p>
              </w:tc>
              <w:tc>
                <w:tcPr>
                  <w:tcW w:w="253" w:type="pct"/>
                  <w:vMerge w:val="continue"/>
                  <w:shd w:val="clear" w:color="auto" w:fill="auto"/>
                  <w:noWrap w:val="0"/>
                  <w:vAlign w:val="center"/>
                </w:tcPr>
                <w:p w14:paraId="7647F4B2">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284" w:type="pct"/>
                  <w:vMerge w:val="continue"/>
                  <w:shd w:val="clear" w:color="auto" w:fill="auto"/>
                  <w:noWrap w:val="0"/>
                  <w:vAlign w:val="center"/>
                </w:tcPr>
                <w:p w14:paraId="2B4B1AD1">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280" w:type="pct"/>
                  <w:shd w:val="clear" w:color="auto" w:fill="auto"/>
                  <w:noWrap/>
                  <w:vAlign w:val="center"/>
                </w:tcPr>
                <w:p w14:paraId="1AA99597">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365" w:type="pct"/>
                  <w:vMerge w:val="continue"/>
                  <w:shd w:val="clear" w:color="auto" w:fill="auto"/>
                  <w:noWrap w:val="0"/>
                  <w:vAlign w:val="center"/>
                </w:tcPr>
                <w:p w14:paraId="0EB4C8C4">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15" w:type="pct"/>
                  <w:vMerge w:val="continue"/>
                  <w:shd w:val="clear" w:color="auto" w:fill="auto"/>
                  <w:noWrap w:val="0"/>
                  <w:vAlign w:val="center"/>
                </w:tcPr>
                <w:p w14:paraId="2CA625CB">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25" w:type="pct"/>
                  <w:shd w:val="clear" w:color="auto" w:fill="auto"/>
                  <w:noWrap/>
                  <w:vAlign w:val="center"/>
                </w:tcPr>
                <w:p w14:paraId="43EF2391">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r>
                    <w:rPr>
                      <w:rFonts w:hint="eastAsia" w:cs="Times New Roman"/>
                      <w:color w:val="auto"/>
                      <w:kern w:val="0"/>
                      <w:sz w:val="21"/>
                      <w:szCs w:val="21"/>
                      <w:lang w:val="en-US" w:eastAsia="zh-CN"/>
                    </w:rPr>
                    <w:t>/</w:t>
                  </w:r>
                </w:p>
              </w:tc>
              <w:tc>
                <w:tcPr>
                  <w:tcW w:w="362" w:type="pct"/>
                  <w:shd w:val="clear" w:color="auto" w:fill="auto"/>
                  <w:noWrap/>
                  <w:vAlign w:val="center"/>
                </w:tcPr>
                <w:p w14:paraId="6B9B3698">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r>
                    <w:rPr>
                      <w:rFonts w:hint="eastAsia" w:cs="Times New Roman"/>
                      <w:color w:val="auto"/>
                      <w:kern w:val="0"/>
                      <w:sz w:val="21"/>
                      <w:szCs w:val="21"/>
                      <w:lang w:val="en-US" w:eastAsia="zh-CN"/>
                    </w:rPr>
                    <w:t>/</w:t>
                  </w:r>
                </w:p>
              </w:tc>
              <w:tc>
                <w:tcPr>
                  <w:tcW w:w="341" w:type="pct"/>
                  <w:vMerge w:val="continue"/>
                  <w:shd w:val="clear" w:color="auto" w:fill="auto"/>
                  <w:noWrap/>
                  <w:vAlign w:val="center"/>
                </w:tcPr>
                <w:p w14:paraId="5A8F0259">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69" w:type="pct"/>
                  <w:shd w:val="clear" w:color="auto" w:fill="auto"/>
                  <w:noWrap/>
                  <w:vAlign w:val="center"/>
                </w:tcPr>
                <w:p w14:paraId="5AFBBB74">
                  <w:pPr>
                    <w:keepNext w:val="0"/>
                    <w:keepLines w:val="0"/>
                    <w:pageBreakBefore w:val="0"/>
                    <w:widowControl/>
                    <w:kinsoku/>
                    <w:overflowPunct/>
                    <w:bidi w:val="0"/>
                    <w:adjustRightInd/>
                    <w:snapToGrid/>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14:paraId="034E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09" w:type="pct"/>
                  <w:vMerge w:val="continue"/>
                  <w:shd w:val="clear" w:color="auto" w:fill="auto"/>
                  <w:noWrap w:val="0"/>
                  <w:vAlign w:val="center"/>
                </w:tcPr>
                <w:p w14:paraId="3BD390CC">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273" w:type="pct"/>
                  <w:vMerge w:val="continue"/>
                  <w:shd w:val="clear" w:color="auto" w:fill="auto"/>
                  <w:noWrap w:val="0"/>
                  <w:vAlign w:val="center"/>
                </w:tcPr>
                <w:p w14:paraId="71365FD0">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444" w:type="pct"/>
                  <w:shd w:val="clear" w:color="auto" w:fill="auto"/>
                  <w:noWrap w:val="0"/>
                  <w:vAlign w:val="center"/>
                </w:tcPr>
                <w:p w14:paraId="5F68C362">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氨氮</w:t>
                  </w:r>
                </w:p>
              </w:tc>
              <w:tc>
                <w:tcPr>
                  <w:tcW w:w="299" w:type="pct"/>
                  <w:vMerge w:val="continue"/>
                  <w:shd w:val="clear" w:color="auto" w:fill="auto"/>
                  <w:noWrap w:val="0"/>
                  <w:vAlign w:val="center"/>
                </w:tcPr>
                <w:p w14:paraId="6CC2D889">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31" w:type="pct"/>
                  <w:shd w:val="clear" w:color="auto" w:fill="auto"/>
                  <w:noWrap w:val="0"/>
                  <w:vAlign w:val="center"/>
                </w:tcPr>
                <w:p w14:paraId="561338B3">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344" w:type="pct"/>
                  <w:shd w:val="clear" w:color="auto" w:fill="auto"/>
                  <w:noWrap/>
                  <w:vAlign w:val="center"/>
                </w:tcPr>
                <w:p w14:paraId="4D529535">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p>
              </w:tc>
              <w:tc>
                <w:tcPr>
                  <w:tcW w:w="253" w:type="pct"/>
                  <w:vMerge w:val="continue"/>
                  <w:shd w:val="clear" w:color="auto" w:fill="auto"/>
                  <w:noWrap w:val="0"/>
                  <w:vAlign w:val="center"/>
                </w:tcPr>
                <w:p w14:paraId="079819EE">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284" w:type="pct"/>
                  <w:vMerge w:val="continue"/>
                  <w:shd w:val="clear" w:color="auto" w:fill="auto"/>
                  <w:noWrap w:val="0"/>
                  <w:vAlign w:val="center"/>
                </w:tcPr>
                <w:p w14:paraId="77CAC03B">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280" w:type="pct"/>
                  <w:shd w:val="clear" w:color="auto" w:fill="auto"/>
                  <w:noWrap/>
                  <w:vAlign w:val="center"/>
                </w:tcPr>
                <w:p w14:paraId="42903BD5">
                  <w:pPr>
                    <w:keepNext w:val="0"/>
                    <w:keepLines w:val="0"/>
                    <w:pageBreakBefore w:val="0"/>
                    <w:widowControl/>
                    <w:kinsoku/>
                    <w:wordWrap/>
                    <w:overflowPunct/>
                    <w:topLinePunct w:val="0"/>
                    <w:autoSpaceDE/>
                    <w:autoSpaceDN/>
                    <w:bidi w:val="0"/>
                    <w:adjustRightInd/>
                    <w:snapToGrid/>
                    <w:ind w:left="0" w:leftChars="0" w:right="0" w:right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5</w:t>
                  </w:r>
                </w:p>
              </w:tc>
              <w:tc>
                <w:tcPr>
                  <w:tcW w:w="365" w:type="pct"/>
                  <w:vMerge w:val="continue"/>
                  <w:shd w:val="clear" w:color="auto" w:fill="auto"/>
                  <w:noWrap w:val="0"/>
                  <w:vAlign w:val="center"/>
                </w:tcPr>
                <w:p w14:paraId="27633E37">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15" w:type="pct"/>
                  <w:vMerge w:val="continue"/>
                  <w:shd w:val="clear" w:color="auto" w:fill="auto"/>
                  <w:noWrap w:val="0"/>
                  <w:vAlign w:val="center"/>
                </w:tcPr>
                <w:p w14:paraId="393E8B71">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25" w:type="pct"/>
                  <w:shd w:val="clear" w:color="auto" w:fill="auto"/>
                  <w:noWrap/>
                  <w:vAlign w:val="center"/>
                </w:tcPr>
                <w:p w14:paraId="71985187">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r>
                    <w:rPr>
                      <w:rFonts w:hint="eastAsia" w:cs="Times New Roman"/>
                      <w:color w:val="auto"/>
                      <w:kern w:val="0"/>
                      <w:sz w:val="21"/>
                      <w:szCs w:val="21"/>
                      <w:lang w:val="en-US" w:eastAsia="zh-CN"/>
                    </w:rPr>
                    <w:t>/</w:t>
                  </w:r>
                </w:p>
              </w:tc>
              <w:tc>
                <w:tcPr>
                  <w:tcW w:w="362" w:type="pct"/>
                  <w:shd w:val="clear" w:color="auto" w:fill="auto"/>
                  <w:noWrap/>
                  <w:vAlign w:val="center"/>
                </w:tcPr>
                <w:p w14:paraId="00737373">
                  <w:pPr>
                    <w:keepNext w:val="0"/>
                    <w:keepLines w:val="0"/>
                    <w:pageBreakBefore w:val="0"/>
                    <w:widowControl/>
                    <w:suppressLineNumbers w:val="0"/>
                    <w:kinsoku/>
                    <w:overflowPunct/>
                    <w:bidi w:val="0"/>
                    <w:adjustRightInd/>
                    <w:snapToGrid/>
                    <w:jc w:val="center"/>
                    <w:textAlignment w:val="center"/>
                    <w:rPr>
                      <w:rFonts w:hint="default" w:ascii="Times New Roman" w:hAnsi="Times New Roman" w:cs="Times New Roman"/>
                      <w:color w:val="auto"/>
                      <w:sz w:val="21"/>
                      <w:szCs w:val="21"/>
                      <w:lang w:val="en-US"/>
                    </w:rPr>
                  </w:pPr>
                  <w:r>
                    <w:rPr>
                      <w:rFonts w:hint="eastAsia" w:cs="Times New Roman"/>
                      <w:color w:val="auto"/>
                      <w:kern w:val="0"/>
                      <w:sz w:val="21"/>
                      <w:szCs w:val="21"/>
                      <w:lang w:val="en-US" w:eastAsia="zh-CN"/>
                    </w:rPr>
                    <w:t>/</w:t>
                  </w:r>
                </w:p>
              </w:tc>
              <w:tc>
                <w:tcPr>
                  <w:tcW w:w="341" w:type="pct"/>
                  <w:vMerge w:val="continue"/>
                  <w:shd w:val="clear" w:color="auto" w:fill="auto"/>
                  <w:noWrap/>
                  <w:vAlign w:val="center"/>
                </w:tcPr>
                <w:p w14:paraId="469A9A25">
                  <w:pPr>
                    <w:keepNext w:val="0"/>
                    <w:keepLines w:val="0"/>
                    <w:pageBreakBefore w:val="0"/>
                    <w:widowControl/>
                    <w:kinsoku/>
                    <w:wordWrap/>
                    <w:overflowPunct/>
                    <w:topLinePunct w:val="0"/>
                    <w:autoSpaceDE/>
                    <w:autoSpaceDN/>
                    <w:bidi w:val="0"/>
                    <w:adjustRightInd/>
                    <w:snapToGrid/>
                    <w:ind w:left="0" w:leftChars="0" w:right="0" w:rightChars="0"/>
                    <w:jc w:val="center"/>
                    <w:rPr>
                      <w:rFonts w:hint="default" w:ascii="Times New Roman" w:hAnsi="Times New Roman" w:cs="Times New Roman"/>
                      <w:color w:val="auto"/>
                      <w:kern w:val="0"/>
                      <w:sz w:val="21"/>
                      <w:szCs w:val="21"/>
                    </w:rPr>
                  </w:pPr>
                </w:p>
              </w:tc>
              <w:tc>
                <w:tcPr>
                  <w:tcW w:w="369" w:type="pct"/>
                  <w:shd w:val="clear" w:color="auto" w:fill="auto"/>
                  <w:noWrap/>
                  <w:vAlign w:val="center"/>
                </w:tcPr>
                <w:p w14:paraId="7922463A">
                  <w:pPr>
                    <w:keepNext w:val="0"/>
                    <w:keepLines w:val="0"/>
                    <w:pageBreakBefore w:val="0"/>
                    <w:widowControl/>
                    <w:kinsoku/>
                    <w:overflowPunct/>
                    <w:bidi w:val="0"/>
                    <w:adjustRightInd/>
                    <w:snapToGrid/>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bl>
          <w:p w14:paraId="24E99CA5">
            <w:pPr>
              <w:keepNext w:val="0"/>
              <w:keepLines w:val="0"/>
              <w:pageBreakBefore w:val="0"/>
              <w:numPr>
                <w:ilvl w:val="0"/>
                <w:numId w:val="5"/>
              </w:numPr>
              <w:kinsoku/>
              <w:overflowPunct/>
              <w:bidi w:val="0"/>
              <w:adjustRightInd/>
              <w:snapToGrid/>
              <w:spacing w:line="360" w:lineRule="auto"/>
              <w:ind w:firstLine="482" w:firstLineChars="200"/>
              <w:rPr>
                <w:b/>
                <w:color w:val="auto"/>
                <w:kern w:val="0"/>
                <w:sz w:val="24"/>
              </w:rPr>
            </w:pPr>
            <w:r>
              <w:rPr>
                <w:b/>
                <w:color w:val="auto"/>
                <w:kern w:val="0"/>
                <w:sz w:val="24"/>
              </w:rPr>
              <w:t>措施可行性及影响分析</w:t>
            </w:r>
          </w:p>
          <w:p w14:paraId="2E0AC17D">
            <w:pPr>
              <w:keepNext w:val="0"/>
              <w:keepLines w:val="0"/>
              <w:pageBreakBefore w:val="0"/>
              <w:kinsoku/>
              <w:wordWrap/>
              <w:overflowPunct/>
              <w:topLinePunct w:val="0"/>
              <w:autoSpaceDE w:val="0"/>
              <w:autoSpaceDN w:val="0"/>
              <w:bidi w:val="0"/>
              <w:adjustRightInd/>
              <w:snapToGrid/>
              <w:spacing w:line="360" w:lineRule="auto"/>
              <w:ind w:firstLine="482"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val="en-US" w:eastAsia="zh-CN"/>
              </w:rPr>
              <w:t>锅炉</w:t>
            </w:r>
            <w:r>
              <w:rPr>
                <w:rFonts w:hint="default" w:ascii="Times New Roman" w:hAnsi="Times New Roman" w:eastAsia="宋体" w:cs="Times New Roman"/>
                <w:b/>
                <w:bCs/>
                <w:color w:val="auto"/>
                <w:sz w:val="24"/>
                <w:szCs w:val="24"/>
              </w:rPr>
              <w:t>用水</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szCs w:val="24"/>
                <w:lang w:val="en-US" w:eastAsia="zh-CN"/>
              </w:rPr>
              <w:t>项目锅炉设置水循环系统，循环水利用率达90％，循环利用</w:t>
            </w:r>
            <w:r>
              <w:rPr>
                <w:rFonts w:hint="default" w:ascii="Times New Roman" w:hAnsi="Times New Roman" w:eastAsia="宋体" w:cs="Times New Roman"/>
                <w:color w:val="auto"/>
                <w:sz w:val="24"/>
                <w:szCs w:val="24"/>
              </w:rPr>
              <w:t>不外排</w:t>
            </w:r>
            <w:r>
              <w:rPr>
                <w:rFonts w:hint="eastAsia" w:ascii="Times New Roman" w:hAnsi="Times New Roman" w:eastAsia="宋体" w:cs="Times New Roman"/>
                <w:color w:val="auto"/>
                <w:sz w:val="24"/>
                <w:szCs w:val="24"/>
                <w:lang w:val="en-US" w:eastAsia="zh-CN"/>
              </w:rPr>
              <w:t>，只需定期补充即可</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不会对环境造成影响。</w:t>
            </w:r>
          </w:p>
          <w:p w14:paraId="12F3EF7D">
            <w:pPr>
              <w:keepNext w:val="0"/>
              <w:keepLines w:val="0"/>
              <w:pageBreakBefore w:val="0"/>
              <w:kinsoku/>
              <w:wordWrap/>
              <w:overflowPunct/>
              <w:topLinePunct w:val="0"/>
              <w:autoSpaceDE w:val="0"/>
              <w:autoSpaceDN w:val="0"/>
              <w:bidi w:val="0"/>
              <w:adjustRightInd/>
              <w:snapToGrid/>
              <w:spacing w:line="360" w:lineRule="auto"/>
              <w:ind w:firstLine="482" w:firstLineChars="200"/>
              <w:jc w:val="left"/>
              <w:textAlignment w:val="auto"/>
              <w:rPr>
                <w:rFonts w:hint="eastAsia" w:ascii="Times New Roman" w:hAnsi="Times New Roman" w:eastAsia="宋体" w:cs="Times New Roman"/>
                <w:bCs/>
                <w:color w:val="auto"/>
                <w:w w:val="100"/>
                <w:kern w:val="2"/>
                <w:sz w:val="24"/>
                <w:szCs w:val="24"/>
                <w:highlight w:val="none"/>
                <w:lang w:val="en-US" w:eastAsia="zh-CN"/>
              </w:rPr>
            </w:pPr>
            <w:r>
              <w:rPr>
                <w:rFonts w:hint="eastAsia" w:ascii="Times New Roman" w:hAnsi="Times New Roman" w:eastAsia="宋体" w:cs="Times New Roman"/>
                <w:b/>
                <w:bCs/>
                <w:color w:val="auto"/>
                <w:sz w:val="24"/>
                <w:szCs w:val="24"/>
                <w:lang w:val="en-US" w:eastAsia="zh-CN"/>
              </w:rPr>
              <w:t>喷淋塔</w:t>
            </w:r>
            <w:r>
              <w:rPr>
                <w:rFonts w:hint="default" w:ascii="Times New Roman" w:hAnsi="Times New Roman" w:eastAsia="宋体" w:cs="Times New Roman"/>
                <w:b/>
                <w:bCs/>
                <w:color w:val="auto"/>
                <w:sz w:val="24"/>
                <w:szCs w:val="24"/>
              </w:rPr>
              <w:t>用水</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Cs/>
                <w:color w:val="auto"/>
                <w:w w:val="100"/>
                <w:kern w:val="2"/>
                <w:sz w:val="24"/>
                <w:szCs w:val="24"/>
                <w:highlight w:val="none"/>
                <w:lang w:val="en-US" w:eastAsia="zh-CN"/>
              </w:rPr>
              <w:t>喷淋塔废水循环使用，定期补充碱度和捞渣处理。</w:t>
            </w:r>
          </w:p>
          <w:p w14:paraId="662A57E6">
            <w:pPr>
              <w:keepNext w:val="0"/>
              <w:keepLines w:val="0"/>
              <w:pageBreakBefore w:val="0"/>
              <w:kinsoku/>
              <w:wordWrap/>
              <w:overflowPunct/>
              <w:topLinePunct w:val="0"/>
              <w:autoSpaceDE w:val="0"/>
              <w:autoSpaceDN w:val="0"/>
              <w:bidi w:val="0"/>
              <w:adjustRightInd/>
              <w:snapToGrid/>
              <w:spacing w:line="360" w:lineRule="auto"/>
              <w:ind w:firstLine="482"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生活污水</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lang w:eastAsia="zh-CN"/>
              </w:rPr>
              <w:t>生活污水经</w:t>
            </w:r>
            <w:r>
              <w:rPr>
                <w:rFonts w:hint="eastAsia" w:cs="Times New Roman"/>
                <w:color w:val="auto"/>
                <w:sz w:val="24"/>
                <w:lang w:eastAsia="zh-CN"/>
              </w:rPr>
              <w:t>粪池</w:t>
            </w:r>
            <w:r>
              <w:rPr>
                <w:rFonts w:hint="default" w:ascii="Times New Roman" w:hAnsi="Times New Roman" w:eastAsia="宋体" w:cs="Times New Roman"/>
                <w:color w:val="auto"/>
                <w:sz w:val="24"/>
              </w:rPr>
              <w:t>处理后，定期清掏用作农肥</w:t>
            </w:r>
            <w:r>
              <w:rPr>
                <w:rFonts w:hint="eastAsia" w:cs="Times New Roman"/>
                <w:color w:val="auto"/>
                <w:sz w:val="24"/>
                <w:lang w:eastAsia="zh-CN"/>
              </w:rPr>
              <w:t>，</w:t>
            </w:r>
            <w:r>
              <w:rPr>
                <w:rFonts w:hint="eastAsia" w:ascii="Times New Roman" w:hAnsi="Times New Roman" w:eastAsia="宋体" w:cs="Times New Roman"/>
                <w:color w:val="auto"/>
                <w:sz w:val="24"/>
                <w:lang w:eastAsia="zh-CN"/>
              </w:rPr>
              <w:t>不外排</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不会对环境造成影响。</w:t>
            </w:r>
          </w:p>
          <w:p w14:paraId="5C15C001">
            <w:pPr>
              <w:keepNext w:val="0"/>
              <w:keepLines w:val="0"/>
              <w:pageBreakBefore w:val="0"/>
              <w:kinsoku/>
              <w:overflowPunct/>
              <w:bidi w:val="0"/>
              <w:adjustRightInd/>
              <w:snapToGrid/>
              <w:spacing w:line="360" w:lineRule="auto"/>
              <w:ind w:firstLine="442" w:firstLineChars="200"/>
              <w:rPr>
                <w:b/>
                <w:bCs/>
                <w:color w:val="auto"/>
                <w:spacing w:val="-10"/>
                <w:sz w:val="24"/>
              </w:rPr>
            </w:pPr>
            <w:r>
              <w:rPr>
                <w:rFonts w:hint="eastAsia"/>
                <w:b/>
                <w:bCs/>
                <w:color w:val="auto"/>
                <w:spacing w:val="-10"/>
                <w:sz w:val="24"/>
              </w:rPr>
              <w:t>3</w:t>
            </w:r>
            <w:r>
              <w:rPr>
                <w:b/>
                <w:bCs/>
                <w:color w:val="auto"/>
                <w:spacing w:val="-10"/>
                <w:sz w:val="24"/>
              </w:rPr>
              <w:t>、排污口设置及监测计划</w:t>
            </w:r>
          </w:p>
          <w:p w14:paraId="71693652">
            <w:pPr>
              <w:pStyle w:val="16"/>
              <w:keepNext w:val="0"/>
              <w:keepLines w:val="0"/>
              <w:pageBreakBefore w:val="0"/>
              <w:kinsoku/>
              <w:overflowPunct/>
              <w:bidi w:val="0"/>
              <w:adjustRightInd/>
              <w:snapToGrid/>
              <w:ind w:left="0" w:leftChars="0" w:firstLine="480" w:firstLineChars="200"/>
              <w:rPr>
                <w:rFonts w:hint="eastAsia"/>
                <w:bCs/>
                <w:color w:val="auto"/>
                <w:sz w:val="24"/>
                <w:lang w:val="en-US" w:eastAsia="zh-CN"/>
              </w:rPr>
            </w:pPr>
            <w:r>
              <w:rPr>
                <w:rFonts w:hint="eastAsia"/>
                <w:bCs/>
                <w:color w:val="auto"/>
                <w:sz w:val="24"/>
                <w:lang w:val="en-US" w:eastAsia="zh-CN"/>
              </w:rPr>
              <w:t>本项目废水不外排。</w:t>
            </w:r>
          </w:p>
          <w:p w14:paraId="7A4B87E3">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firstLine="482" w:firstLineChars="200"/>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eastAsia="zh-CN"/>
              </w:rPr>
              <w:t>三</w:t>
            </w:r>
            <w:r>
              <w:rPr>
                <w:rFonts w:hint="default" w:ascii="Times New Roman" w:hAnsi="Times New Roman" w:eastAsia="宋体" w:cs="Times New Roman"/>
                <w:b/>
                <w:color w:val="auto"/>
                <w:sz w:val="24"/>
                <w:szCs w:val="24"/>
              </w:rPr>
              <w:t>、噪声</w:t>
            </w:r>
          </w:p>
          <w:p w14:paraId="34981B7E">
            <w:pPr>
              <w:pStyle w:val="110"/>
              <w:keepNext w:val="0"/>
              <w:keepLines w:val="0"/>
              <w:pageBreakBefore w:val="0"/>
              <w:widowControl w:val="0"/>
              <w:tabs>
                <w:tab w:val="left" w:pos="431"/>
              </w:tabs>
              <w:kinsoku/>
              <w:wordWrap/>
              <w:overflowPunct/>
              <w:topLinePunct/>
              <w:autoSpaceDE/>
              <w:autoSpaceDN/>
              <w:bidi w:val="0"/>
              <w:adjustRightInd/>
              <w:snapToGrid/>
              <w:spacing w:beforeAutospacing="0" w:afterAutospacing="0" w:line="360" w:lineRule="auto"/>
              <w:ind w:left="0" w:leftChars="0" w:right="0"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1、项目噪声源强及降噪措施</w:t>
            </w:r>
          </w:p>
          <w:p w14:paraId="32729A74">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Cs/>
                <w:color w:val="auto"/>
                <w:sz w:val="24"/>
                <w:szCs w:val="24"/>
              </w:rPr>
              <w:t>本项目营运期噪声主要来源于生产设备，建</w:t>
            </w:r>
            <w:r>
              <w:rPr>
                <w:rFonts w:hint="eastAsia" w:ascii="Times New Roman" w:hAnsi="Times New Roman" w:eastAsia="宋体" w:cs="Times New Roman"/>
                <w:bCs/>
                <w:color w:val="auto"/>
                <w:sz w:val="24"/>
                <w:szCs w:val="24"/>
                <w:lang w:eastAsia="zh-CN"/>
              </w:rPr>
              <w:t>成</w:t>
            </w:r>
            <w:r>
              <w:rPr>
                <w:rFonts w:hint="default" w:ascii="Times New Roman" w:hAnsi="Times New Roman" w:eastAsia="宋体" w:cs="Times New Roman"/>
                <w:bCs/>
                <w:color w:val="auto"/>
                <w:sz w:val="24"/>
                <w:szCs w:val="24"/>
              </w:rPr>
              <w:t>后全厂源强如下。</w:t>
            </w:r>
          </w:p>
          <w:p w14:paraId="41D30F44">
            <w:pPr>
              <w:pStyle w:val="5"/>
              <w:rPr>
                <w:rFonts w:hint="default"/>
                <w:color w:val="auto"/>
              </w:rPr>
            </w:pPr>
          </w:p>
          <w:p w14:paraId="5DEC912A">
            <w:pPr>
              <w:keepNext w:val="0"/>
              <w:keepLines w:val="0"/>
              <w:pageBreakBefore w:val="0"/>
              <w:widowControl w:val="0"/>
              <w:kinsoku/>
              <w:wordWrap/>
              <w:overflowPunct/>
              <w:topLinePunct/>
              <w:autoSpaceDE/>
              <w:autoSpaceDN/>
              <w:bidi w:val="0"/>
              <w:adjustRightInd/>
              <w:snapToGrid/>
              <w:spacing w:beforeAutospacing="0" w:afterAutospacing="0" w:line="360" w:lineRule="auto"/>
              <w:ind w:right="0" w:firstLine="482" w:firstLineChars="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表4-1</w:t>
            </w:r>
            <w:r>
              <w:rPr>
                <w:rFonts w:hint="eastAsia" w:ascii="Times New Roman" w:hAnsi="Times New Roman" w:eastAsia="宋体" w:cs="Times New Roman"/>
                <w:b/>
                <w:color w:val="auto"/>
                <w:sz w:val="24"/>
                <w:szCs w:val="24"/>
                <w:lang w:val="en-US" w:eastAsia="zh-CN"/>
              </w:rPr>
              <w:t xml:space="preserve">2  </w:t>
            </w:r>
            <w:r>
              <w:rPr>
                <w:rFonts w:hint="default" w:ascii="Times New Roman" w:hAnsi="Times New Roman" w:eastAsia="宋体" w:cs="Times New Roman"/>
                <w:b/>
                <w:color w:val="auto"/>
                <w:sz w:val="24"/>
                <w:szCs w:val="24"/>
              </w:rPr>
              <w:t>主要设备噪声防治措施</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0"/>
              <w:gridCol w:w="475"/>
              <w:gridCol w:w="1415"/>
              <w:gridCol w:w="700"/>
              <w:gridCol w:w="665"/>
              <w:gridCol w:w="856"/>
              <w:gridCol w:w="623"/>
              <w:gridCol w:w="456"/>
              <w:gridCol w:w="669"/>
              <w:gridCol w:w="669"/>
              <w:gridCol w:w="479"/>
              <w:gridCol w:w="785"/>
              <w:gridCol w:w="669"/>
            </w:tblGrid>
            <w:tr w14:paraId="612B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vMerge w:val="restart"/>
                  <w:noWrap w:val="0"/>
                  <w:tcMar>
                    <w:top w:w="0" w:type="dxa"/>
                    <w:left w:w="0" w:type="dxa"/>
                    <w:right w:w="0" w:type="dxa"/>
                  </w:tcMar>
                  <w:vAlign w:val="center"/>
                </w:tcPr>
                <w:p w14:paraId="17C8CFE8">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kern w:val="0"/>
                      <w:sz w:val="21"/>
                      <w:szCs w:val="21"/>
                      <w:lang w:bidi="ar"/>
                    </w:rPr>
                    <w:t>序号</w:t>
                  </w:r>
                </w:p>
              </w:tc>
              <w:tc>
                <w:tcPr>
                  <w:tcW w:w="270" w:type="pct"/>
                  <w:vMerge w:val="restart"/>
                  <w:noWrap w:val="0"/>
                  <w:vAlign w:val="center"/>
                </w:tcPr>
                <w:p w14:paraId="085C4FA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kern w:val="0"/>
                      <w:sz w:val="21"/>
                      <w:szCs w:val="21"/>
                      <w:lang w:bidi="ar"/>
                    </w:rPr>
                    <w:t>建筑物名称</w:t>
                  </w:r>
                </w:p>
              </w:tc>
              <w:tc>
                <w:tcPr>
                  <w:tcW w:w="804" w:type="pct"/>
                  <w:vMerge w:val="restart"/>
                  <w:noWrap w:val="0"/>
                  <w:tcMar>
                    <w:top w:w="0" w:type="dxa"/>
                    <w:left w:w="0" w:type="dxa"/>
                    <w:right w:w="0" w:type="dxa"/>
                  </w:tcMar>
                  <w:vAlign w:val="center"/>
                </w:tcPr>
                <w:p w14:paraId="6F1E04E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bCs/>
                      <w:color w:val="auto"/>
                      <w:kern w:val="0"/>
                      <w:sz w:val="21"/>
                      <w:szCs w:val="21"/>
                      <w:lang w:bidi="ar"/>
                    </w:rPr>
                    <w:t>设备名称</w:t>
                  </w:r>
                </w:p>
              </w:tc>
              <w:tc>
                <w:tcPr>
                  <w:tcW w:w="398" w:type="pct"/>
                  <w:vMerge w:val="restart"/>
                  <w:noWrap w:val="0"/>
                  <w:tcMar>
                    <w:top w:w="0" w:type="dxa"/>
                    <w:left w:w="0" w:type="dxa"/>
                    <w:right w:w="0" w:type="dxa"/>
                  </w:tcMar>
                  <w:vAlign w:val="center"/>
                </w:tcPr>
                <w:p w14:paraId="5559ACC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bCs/>
                      <w:color w:val="auto"/>
                      <w:kern w:val="0"/>
                      <w:sz w:val="21"/>
                      <w:szCs w:val="21"/>
                      <w:lang w:bidi="ar"/>
                    </w:rPr>
                    <w:t>单台声源源强dB(A)</w:t>
                  </w:r>
                </w:p>
              </w:tc>
              <w:tc>
                <w:tcPr>
                  <w:tcW w:w="378" w:type="pct"/>
                  <w:vMerge w:val="restart"/>
                  <w:noWrap w:val="0"/>
                  <w:tcMar>
                    <w:top w:w="0" w:type="dxa"/>
                    <w:left w:w="0" w:type="dxa"/>
                    <w:right w:w="0" w:type="dxa"/>
                  </w:tcMar>
                  <w:vAlign w:val="center"/>
                </w:tcPr>
                <w:p w14:paraId="0AB7B55B">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color w:val="auto"/>
                      <w:kern w:val="0"/>
                      <w:sz w:val="21"/>
                      <w:szCs w:val="21"/>
                      <w:lang w:bidi="ar"/>
                    </w:rPr>
                  </w:pPr>
                  <w:r>
                    <w:rPr>
                      <w:rFonts w:hint="default" w:ascii="Times New Roman" w:hAnsi="Times New Roman" w:eastAsia="宋体" w:cs="Times New Roman"/>
                      <w:b/>
                      <w:bCs/>
                      <w:color w:val="auto"/>
                      <w:kern w:val="0"/>
                      <w:sz w:val="21"/>
                      <w:szCs w:val="21"/>
                      <w:lang w:bidi="ar"/>
                    </w:rPr>
                    <w:t>声源控制措施</w:t>
                  </w:r>
                </w:p>
              </w:tc>
              <w:tc>
                <w:tcPr>
                  <w:tcW w:w="1100" w:type="pct"/>
                  <w:gridSpan w:val="3"/>
                  <w:noWrap w:val="0"/>
                  <w:vAlign w:val="center"/>
                </w:tcPr>
                <w:p w14:paraId="34D5196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空间相对位置(m)</w:t>
                  </w:r>
                </w:p>
              </w:tc>
              <w:tc>
                <w:tcPr>
                  <w:tcW w:w="380" w:type="pct"/>
                  <w:vMerge w:val="restart"/>
                  <w:noWrap w:val="0"/>
                  <w:tcMar>
                    <w:top w:w="0" w:type="dxa"/>
                    <w:left w:w="0" w:type="dxa"/>
                    <w:right w:w="0" w:type="dxa"/>
                  </w:tcMar>
                  <w:vAlign w:val="center"/>
                </w:tcPr>
                <w:p w14:paraId="1138DD1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color w:val="auto"/>
                      <w:kern w:val="0"/>
                      <w:sz w:val="21"/>
                      <w:szCs w:val="21"/>
                      <w:lang w:bidi="ar"/>
                    </w:rPr>
                  </w:pPr>
                  <w:r>
                    <w:rPr>
                      <w:rFonts w:hint="default" w:ascii="Times New Roman" w:hAnsi="Times New Roman" w:eastAsia="宋体" w:cs="Times New Roman"/>
                      <w:b/>
                      <w:bCs/>
                      <w:color w:val="auto"/>
                      <w:kern w:val="0"/>
                      <w:sz w:val="21"/>
                      <w:szCs w:val="21"/>
                      <w:lang w:bidi="ar"/>
                    </w:rPr>
                    <w:t>距室内最近边界距离</w:t>
                  </w:r>
                </w:p>
              </w:tc>
              <w:tc>
                <w:tcPr>
                  <w:tcW w:w="380" w:type="pct"/>
                  <w:vMerge w:val="restart"/>
                  <w:noWrap w:val="0"/>
                  <w:vAlign w:val="center"/>
                </w:tcPr>
                <w:p w14:paraId="2F04C1A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color w:val="auto"/>
                      <w:kern w:val="0"/>
                      <w:sz w:val="21"/>
                      <w:szCs w:val="21"/>
                      <w:lang w:bidi="ar"/>
                    </w:rPr>
                  </w:pPr>
                  <w:r>
                    <w:rPr>
                      <w:rFonts w:hint="default" w:ascii="Times New Roman" w:hAnsi="Times New Roman" w:eastAsia="宋体" w:cs="Times New Roman"/>
                      <w:b/>
                      <w:bCs/>
                      <w:color w:val="auto"/>
                      <w:kern w:val="0"/>
                      <w:sz w:val="21"/>
                      <w:szCs w:val="21"/>
                      <w:lang w:bidi="ar"/>
                    </w:rPr>
                    <w:t>室内边界声级dB(A)</w:t>
                  </w:r>
                </w:p>
              </w:tc>
              <w:tc>
                <w:tcPr>
                  <w:tcW w:w="272" w:type="pct"/>
                  <w:vMerge w:val="restart"/>
                  <w:noWrap w:val="0"/>
                  <w:tcMar>
                    <w:top w:w="0" w:type="dxa"/>
                    <w:left w:w="0" w:type="dxa"/>
                    <w:right w:w="0" w:type="dxa"/>
                  </w:tcMar>
                  <w:vAlign w:val="center"/>
                </w:tcPr>
                <w:p w14:paraId="1A71230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color w:val="auto"/>
                      <w:kern w:val="0"/>
                      <w:sz w:val="21"/>
                      <w:szCs w:val="21"/>
                      <w:lang w:bidi="ar"/>
                    </w:rPr>
                  </w:pPr>
                  <w:r>
                    <w:rPr>
                      <w:rFonts w:hint="default" w:ascii="Times New Roman" w:hAnsi="Times New Roman" w:eastAsia="宋体" w:cs="Times New Roman"/>
                      <w:b/>
                      <w:bCs/>
                      <w:color w:val="auto"/>
                      <w:kern w:val="0"/>
                      <w:sz w:val="21"/>
                      <w:szCs w:val="21"/>
                      <w:lang w:bidi="ar"/>
                    </w:rPr>
                    <w:t>运行时段</w:t>
                  </w:r>
                </w:p>
              </w:tc>
              <w:tc>
                <w:tcPr>
                  <w:tcW w:w="446" w:type="pct"/>
                  <w:vMerge w:val="restart"/>
                  <w:noWrap w:val="0"/>
                  <w:tcMar>
                    <w:top w:w="0" w:type="dxa"/>
                    <w:left w:w="0" w:type="dxa"/>
                    <w:right w:w="0" w:type="dxa"/>
                  </w:tcMar>
                  <w:vAlign w:val="center"/>
                </w:tcPr>
                <w:p w14:paraId="62DED23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color w:val="auto"/>
                      <w:kern w:val="0"/>
                      <w:sz w:val="21"/>
                      <w:szCs w:val="21"/>
                      <w:lang w:bidi="ar"/>
                    </w:rPr>
                  </w:pPr>
                  <w:r>
                    <w:rPr>
                      <w:rFonts w:hint="default" w:ascii="Times New Roman" w:hAnsi="Times New Roman" w:eastAsia="宋体" w:cs="Times New Roman"/>
                      <w:b/>
                      <w:bCs/>
                      <w:color w:val="auto"/>
                      <w:kern w:val="0"/>
                      <w:sz w:val="21"/>
                      <w:szCs w:val="21"/>
                      <w:lang w:bidi="ar"/>
                    </w:rPr>
                    <w:t>建筑物插入损失dB(A)</w:t>
                  </w:r>
                </w:p>
              </w:tc>
              <w:tc>
                <w:tcPr>
                  <w:tcW w:w="380" w:type="pct"/>
                  <w:vMerge w:val="restart"/>
                  <w:noWrap w:val="0"/>
                  <w:vAlign w:val="center"/>
                </w:tcPr>
                <w:p w14:paraId="1C77924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color w:val="auto"/>
                      <w:kern w:val="0"/>
                      <w:sz w:val="21"/>
                      <w:szCs w:val="21"/>
                      <w:lang w:bidi="ar"/>
                    </w:rPr>
                  </w:pPr>
                  <w:r>
                    <w:rPr>
                      <w:rFonts w:hint="default" w:ascii="Times New Roman" w:hAnsi="Times New Roman" w:eastAsia="宋体" w:cs="Times New Roman"/>
                      <w:b/>
                      <w:bCs/>
                      <w:color w:val="auto"/>
                      <w:kern w:val="0"/>
                      <w:sz w:val="21"/>
                      <w:szCs w:val="21"/>
                      <w:lang w:bidi="ar"/>
                    </w:rPr>
                    <w:t>建筑外距离1m噪声</w:t>
                  </w:r>
                </w:p>
              </w:tc>
            </w:tr>
            <w:tr w14:paraId="3639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vMerge w:val="continue"/>
                  <w:noWrap w:val="0"/>
                  <w:tcMar>
                    <w:top w:w="0" w:type="dxa"/>
                    <w:left w:w="0" w:type="dxa"/>
                    <w:right w:w="0" w:type="dxa"/>
                  </w:tcMar>
                  <w:vAlign w:val="center"/>
                </w:tcPr>
                <w:p w14:paraId="7BC2A70B">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Cs/>
                      <w:color w:val="auto"/>
                      <w:kern w:val="0"/>
                      <w:sz w:val="21"/>
                      <w:szCs w:val="21"/>
                      <w:lang w:bidi="ar"/>
                    </w:rPr>
                  </w:pPr>
                </w:p>
              </w:tc>
              <w:tc>
                <w:tcPr>
                  <w:tcW w:w="270" w:type="pct"/>
                  <w:vMerge w:val="continue"/>
                  <w:noWrap w:val="0"/>
                  <w:vAlign w:val="center"/>
                </w:tcPr>
                <w:p w14:paraId="16D868C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Cs/>
                      <w:color w:val="auto"/>
                      <w:kern w:val="0"/>
                      <w:sz w:val="21"/>
                      <w:szCs w:val="21"/>
                      <w:lang w:bidi="ar"/>
                    </w:rPr>
                  </w:pPr>
                </w:p>
              </w:tc>
              <w:tc>
                <w:tcPr>
                  <w:tcW w:w="804" w:type="pct"/>
                  <w:vMerge w:val="continue"/>
                  <w:noWrap w:val="0"/>
                  <w:tcMar>
                    <w:top w:w="0" w:type="dxa"/>
                    <w:left w:w="0" w:type="dxa"/>
                    <w:right w:w="0" w:type="dxa"/>
                  </w:tcMar>
                  <w:vAlign w:val="center"/>
                </w:tcPr>
                <w:p w14:paraId="3491E81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Cs/>
                      <w:color w:val="auto"/>
                      <w:kern w:val="0"/>
                      <w:sz w:val="21"/>
                      <w:szCs w:val="21"/>
                      <w:lang w:bidi="ar"/>
                    </w:rPr>
                  </w:pPr>
                </w:p>
              </w:tc>
              <w:tc>
                <w:tcPr>
                  <w:tcW w:w="398" w:type="pct"/>
                  <w:vMerge w:val="continue"/>
                  <w:noWrap w:val="0"/>
                  <w:tcMar>
                    <w:top w:w="0" w:type="dxa"/>
                    <w:left w:w="0" w:type="dxa"/>
                    <w:right w:w="0" w:type="dxa"/>
                  </w:tcMar>
                  <w:vAlign w:val="center"/>
                </w:tcPr>
                <w:p w14:paraId="7FB91908">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Cs/>
                      <w:color w:val="auto"/>
                      <w:kern w:val="0"/>
                      <w:sz w:val="21"/>
                      <w:szCs w:val="21"/>
                      <w:lang w:bidi="ar"/>
                    </w:rPr>
                  </w:pPr>
                </w:p>
              </w:tc>
              <w:tc>
                <w:tcPr>
                  <w:tcW w:w="378" w:type="pct"/>
                  <w:vMerge w:val="continue"/>
                  <w:noWrap w:val="0"/>
                  <w:tcMar>
                    <w:top w:w="0" w:type="dxa"/>
                    <w:left w:w="0" w:type="dxa"/>
                    <w:right w:w="0" w:type="dxa"/>
                  </w:tcMar>
                  <w:vAlign w:val="center"/>
                </w:tcPr>
                <w:p w14:paraId="35C4035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Cs/>
                      <w:color w:val="auto"/>
                      <w:kern w:val="0"/>
                      <w:sz w:val="21"/>
                      <w:szCs w:val="21"/>
                      <w:lang w:bidi="ar"/>
                    </w:rPr>
                  </w:pPr>
                </w:p>
              </w:tc>
              <w:tc>
                <w:tcPr>
                  <w:tcW w:w="486" w:type="pct"/>
                  <w:noWrap w:val="0"/>
                  <w:vAlign w:val="center"/>
                </w:tcPr>
                <w:p w14:paraId="11317D02">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X</w:t>
                  </w:r>
                </w:p>
              </w:tc>
              <w:tc>
                <w:tcPr>
                  <w:tcW w:w="354" w:type="pct"/>
                  <w:noWrap w:val="0"/>
                  <w:vAlign w:val="center"/>
                </w:tcPr>
                <w:p w14:paraId="757C769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Y</w:t>
                  </w:r>
                </w:p>
              </w:tc>
              <w:tc>
                <w:tcPr>
                  <w:tcW w:w="259" w:type="pct"/>
                  <w:noWrap w:val="0"/>
                  <w:vAlign w:val="center"/>
                </w:tcPr>
                <w:p w14:paraId="71D571F2">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Z</w:t>
                  </w:r>
                </w:p>
              </w:tc>
              <w:tc>
                <w:tcPr>
                  <w:tcW w:w="380" w:type="pct"/>
                  <w:vMerge w:val="continue"/>
                  <w:noWrap w:val="0"/>
                  <w:tcMar>
                    <w:top w:w="0" w:type="dxa"/>
                    <w:left w:w="0" w:type="dxa"/>
                    <w:right w:w="0" w:type="dxa"/>
                  </w:tcMar>
                  <w:vAlign w:val="center"/>
                </w:tcPr>
                <w:p w14:paraId="58236028">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Cs/>
                      <w:color w:val="auto"/>
                      <w:kern w:val="0"/>
                      <w:sz w:val="21"/>
                      <w:szCs w:val="21"/>
                      <w:lang w:bidi="ar"/>
                    </w:rPr>
                  </w:pPr>
                </w:p>
              </w:tc>
              <w:tc>
                <w:tcPr>
                  <w:tcW w:w="380" w:type="pct"/>
                  <w:vMerge w:val="continue"/>
                  <w:noWrap w:val="0"/>
                  <w:vAlign w:val="center"/>
                </w:tcPr>
                <w:p w14:paraId="4D83DAA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Cs/>
                      <w:color w:val="auto"/>
                      <w:kern w:val="0"/>
                      <w:sz w:val="21"/>
                      <w:szCs w:val="21"/>
                      <w:lang w:bidi="ar"/>
                    </w:rPr>
                  </w:pPr>
                </w:p>
              </w:tc>
              <w:tc>
                <w:tcPr>
                  <w:tcW w:w="272" w:type="pct"/>
                  <w:vMerge w:val="continue"/>
                  <w:noWrap w:val="0"/>
                  <w:tcMar>
                    <w:top w:w="0" w:type="dxa"/>
                    <w:left w:w="0" w:type="dxa"/>
                    <w:right w:w="0" w:type="dxa"/>
                  </w:tcMar>
                  <w:vAlign w:val="center"/>
                </w:tcPr>
                <w:p w14:paraId="5B5DD9BB">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Cs/>
                      <w:color w:val="auto"/>
                      <w:kern w:val="0"/>
                      <w:sz w:val="21"/>
                      <w:szCs w:val="21"/>
                      <w:lang w:bidi="ar"/>
                    </w:rPr>
                  </w:pPr>
                </w:p>
              </w:tc>
              <w:tc>
                <w:tcPr>
                  <w:tcW w:w="446" w:type="pct"/>
                  <w:vMerge w:val="continue"/>
                  <w:noWrap w:val="0"/>
                  <w:tcMar>
                    <w:top w:w="0" w:type="dxa"/>
                    <w:left w:w="0" w:type="dxa"/>
                    <w:right w:w="0" w:type="dxa"/>
                  </w:tcMar>
                  <w:vAlign w:val="center"/>
                </w:tcPr>
                <w:p w14:paraId="647DFA1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Cs/>
                      <w:color w:val="auto"/>
                      <w:kern w:val="0"/>
                      <w:sz w:val="21"/>
                      <w:szCs w:val="21"/>
                      <w:lang w:bidi="ar"/>
                    </w:rPr>
                  </w:pPr>
                </w:p>
              </w:tc>
              <w:tc>
                <w:tcPr>
                  <w:tcW w:w="380" w:type="pct"/>
                  <w:vMerge w:val="continue"/>
                  <w:noWrap w:val="0"/>
                  <w:vAlign w:val="center"/>
                </w:tcPr>
                <w:p w14:paraId="5358A67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bCs/>
                      <w:color w:val="auto"/>
                      <w:kern w:val="0"/>
                      <w:sz w:val="21"/>
                      <w:szCs w:val="21"/>
                      <w:lang w:bidi="ar"/>
                    </w:rPr>
                  </w:pPr>
                </w:p>
              </w:tc>
            </w:tr>
            <w:tr w14:paraId="4858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0BFE3F7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c>
                <w:tcPr>
                  <w:tcW w:w="270" w:type="pct"/>
                  <w:vMerge w:val="restart"/>
                  <w:noWrap w:val="0"/>
                  <w:vAlign w:val="center"/>
                </w:tcPr>
                <w:p w14:paraId="7DD6BBD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804" w:type="pct"/>
                  <w:noWrap w:val="0"/>
                  <w:tcMar>
                    <w:top w:w="0" w:type="dxa"/>
                    <w:left w:w="0" w:type="dxa"/>
                    <w:right w:w="0" w:type="dxa"/>
                  </w:tcMar>
                  <w:vAlign w:val="center"/>
                </w:tcPr>
                <w:p w14:paraId="78CB6D13">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rPr>
                  </w:pPr>
                  <w:r>
                    <w:rPr>
                      <w:rFonts w:hint="eastAsia"/>
                      <w:color w:val="auto"/>
                      <w:sz w:val="21"/>
                      <w:szCs w:val="21"/>
                      <w:lang w:val="en-US" w:eastAsia="zh-CN"/>
                    </w:rPr>
                    <w:t>锯竹机</w:t>
                  </w:r>
                </w:p>
              </w:tc>
              <w:tc>
                <w:tcPr>
                  <w:tcW w:w="398" w:type="pct"/>
                  <w:noWrap w:val="0"/>
                  <w:tcMar>
                    <w:top w:w="0" w:type="dxa"/>
                    <w:left w:w="0" w:type="dxa"/>
                    <w:right w:w="0" w:type="dxa"/>
                  </w:tcMar>
                  <w:vAlign w:val="center"/>
                </w:tcPr>
                <w:p w14:paraId="67500AA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75</w:t>
                  </w:r>
                </w:p>
              </w:tc>
              <w:tc>
                <w:tcPr>
                  <w:tcW w:w="378" w:type="pct"/>
                  <w:vMerge w:val="restart"/>
                  <w:noWrap w:val="0"/>
                  <w:tcMar>
                    <w:top w:w="0" w:type="dxa"/>
                    <w:left w:w="0" w:type="dxa"/>
                    <w:right w:w="0" w:type="dxa"/>
                  </w:tcMar>
                  <w:vAlign w:val="center"/>
                </w:tcPr>
                <w:p w14:paraId="05004C98">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减振基座、厂房隔声等</w:t>
                  </w:r>
                </w:p>
              </w:tc>
              <w:tc>
                <w:tcPr>
                  <w:tcW w:w="486" w:type="pct"/>
                  <w:noWrap w:val="0"/>
                  <w:vAlign w:val="center"/>
                </w:tcPr>
                <w:p w14:paraId="504AA0F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0</w:t>
                  </w: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20</w:t>
                  </w:r>
                </w:p>
              </w:tc>
              <w:tc>
                <w:tcPr>
                  <w:tcW w:w="354" w:type="pct"/>
                  <w:noWrap w:val="0"/>
                  <w:vAlign w:val="center"/>
                </w:tcPr>
                <w:p w14:paraId="02DD1E88">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eastAsia" w:ascii="Times New Roman" w:hAnsi="Times New Roman" w:eastAsia="宋体" w:cs="Times New Roman"/>
                      <w:color w:val="auto"/>
                      <w:kern w:val="0"/>
                      <w:sz w:val="21"/>
                      <w:szCs w:val="21"/>
                      <w:lang w:eastAsia="zh-CN" w:bidi="ar"/>
                    </w:rPr>
                  </w:pPr>
                  <w:r>
                    <w:rPr>
                      <w:rFonts w:hint="eastAsia" w:ascii="Times New Roman" w:hAnsi="Times New Roman" w:eastAsia="宋体" w:cs="Times New Roman"/>
                      <w:color w:val="auto"/>
                      <w:kern w:val="0"/>
                      <w:sz w:val="21"/>
                      <w:szCs w:val="21"/>
                      <w:lang w:val="en-US" w:eastAsia="zh-CN" w:bidi="ar"/>
                    </w:rPr>
                    <w:t>0</w:t>
                  </w:r>
                  <w:r>
                    <w:rPr>
                      <w:rFonts w:hint="default" w:ascii="Times New Roman" w:hAnsi="Times New Roman" w:eastAsia="宋体" w:cs="Times New Roman"/>
                      <w:color w:val="auto"/>
                      <w:kern w:val="0"/>
                      <w:sz w:val="21"/>
                      <w:szCs w:val="21"/>
                      <w:lang w:bidi="ar"/>
                    </w:rPr>
                    <w:t>~</w:t>
                  </w:r>
                  <w:r>
                    <w:rPr>
                      <w:rFonts w:hint="eastAsia" w:ascii="Times New Roman" w:hAnsi="Times New Roman" w:eastAsia="宋体" w:cs="Times New Roman"/>
                      <w:color w:val="auto"/>
                      <w:kern w:val="0"/>
                      <w:sz w:val="21"/>
                      <w:szCs w:val="21"/>
                      <w:lang w:val="en-US" w:eastAsia="zh-CN" w:bidi="ar"/>
                    </w:rPr>
                    <w:t>30</w:t>
                  </w:r>
                </w:p>
              </w:tc>
              <w:tc>
                <w:tcPr>
                  <w:tcW w:w="259" w:type="pct"/>
                  <w:noWrap w:val="0"/>
                  <w:vAlign w:val="center"/>
                </w:tcPr>
                <w:p w14:paraId="07AE8EB2">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0.5</w:t>
                  </w:r>
                </w:p>
              </w:tc>
              <w:tc>
                <w:tcPr>
                  <w:tcW w:w="380" w:type="pct"/>
                  <w:noWrap w:val="0"/>
                  <w:tcMar>
                    <w:top w:w="0" w:type="dxa"/>
                    <w:left w:w="0" w:type="dxa"/>
                    <w:right w:w="0" w:type="dxa"/>
                  </w:tcMar>
                  <w:vAlign w:val="center"/>
                </w:tcPr>
                <w:p w14:paraId="24A67AC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W，5</w:t>
                  </w:r>
                </w:p>
              </w:tc>
              <w:tc>
                <w:tcPr>
                  <w:tcW w:w="380" w:type="pct"/>
                  <w:noWrap w:val="0"/>
                  <w:vAlign w:val="center"/>
                </w:tcPr>
                <w:p w14:paraId="6377C1A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61.0</w:t>
                  </w:r>
                </w:p>
              </w:tc>
              <w:tc>
                <w:tcPr>
                  <w:tcW w:w="272" w:type="pct"/>
                  <w:vMerge w:val="restart"/>
                  <w:noWrap w:val="0"/>
                  <w:tcMar>
                    <w:top w:w="0" w:type="dxa"/>
                    <w:left w:w="0" w:type="dxa"/>
                    <w:right w:w="0" w:type="dxa"/>
                  </w:tcMar>
                  <w:vAlign w:val="center"/>
                </w:tcPr>
                <w:p w14:paraId="19E55748">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昼间</w:t>
                  </w:r>
                  <w:r>
                    <w:rPr>
                      <w:rFonts w:hint="eastAsia" w:cs="Times New Roman"/>
                      <w:color w:val="auto"/>
                      <w:kern w:val="0"/>
                      <w:sz w:val="21"/>
                      <w:szCs w:val="21"/>
                      <w:lang w:val="en-US" w:eastAsia="zh-CN" w:bidi="ar"/>
                    </w:rPr>
                    <w:t>连续运行</w:t>
                  </w:r>
                </w:p>
              </w:tc>
              <w:tc>
                <w:tcPr>
                  <w:tcW w:w="446" w:type="pct"/>
                  <w:noWrap w:val="0"/>
                  <w:tcMar>
                    <w:top w:w="0" w:type="dxa"/>
                    <w:left w:w="0" w:type="dxa"/>
                    <w:right w:w="0" w:type="dxa"/>
                  </w:tcMar>
                  <w:vAlign w:val="center"/>
                </w:tcPr>
                <w:p w14:paraId="153398D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15</w:t>
                  </w:r>
                </w:p>
              </w:tc>
              <w:tc>
                <w:tcPr>
                  <w:tcW w:w="380" w:type="pct"/>
                  <w:noWrap w:val="0"/>
                  <w:vAlign w:val="center"/>
                </w:tcPr>
                <w:p w14:paraId="3FE6BE7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46.0</w:t>
                  </w:r>
                </w:p>
              </w:tc>
            </w:tr>
            <w:tr w14:paraId="0CF3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6FB7A4D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2</w:t>
                  </w:r>
                </w:p>
              </w:tc>
              <w:tc>
                <w:tcPr>
                  <w:tcW w:w="270" w:type="pct"/>
                  <w:vMerge w:val="continue"/>
                  <w:noWrap w:val="0"/>
                  <w:vAlign w:val="center"/>
                </w:tcPr>
                <w:p w14:paraId="6A797FD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79073440">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sz w:val="21"/>
                      <w:szCs w:val="21"/>
                    </w:rPr>
                  </w:pPr>
                  <w:r>
                    <w:rPr>
                      <w:rFonts w:hint="eastAsia"/>
                      <w:color w:val="auto"/>
                      <w:sz w:val="21"/>
                      <w:szCs w:val="21"/>
                      <w:lang w:val="en-US" w:eastAsia="zh-CN"/>
                    </w:rPr>
                    <w:t>开片机</w:t>
                  </w:r>
                </w:p>
              </w:tc>
              <w:tc>
                <w:tcPr>
                  <w:tcW w:w="398" w:type="pct"/>
                  <w:noWrap w:val="0"/>
                  <w:tcMar>
                    <w:top w:w="0" w:type="dxa"/>
                    <w:left w:w="0" w:type="dxa"/>
                    <w:right w:w="0" w:type="dxa"/>
                  </w:tcMar>
                  <w:vAlign w:val="center"/>
                </w:tcPr>
                <w:p w14:paraId="65318AA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75</w:t>
                  </w:r>
                </w:p>
              </w:tc>
              <w:tc>
                <w:tcPr>
                  <w:tcW w:w="378" w:type="pct"/>
                  <w:vMerge w:val="continue"/>
                  <w:noWrap w:val="0"/>
                  <w:tcMar>
                    <w:top w:w="0" w:type="dxa"/>
                    <w:left w:w="0" w:type="dxa"/>
                    <w:right w:w="0" w:type="dxa"/>
                  </w:tcMar>
                  <w:vAlign w:val="center"/>
                </w:tcPr>
                <w:p w14:paraId="6E568AA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69F366C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20</w:t>
                  </w:r>
                  <w:r>
                    <w:rPr>
                      <w:rFonts w:hint="default" w:ascii="Times New Roman" w:hAnsi="Times New Roman" w:eastAsia="宋体" w:cs="Times New Roman"/>
                      <w:color w:val="auto"/>
                      <w:kern w:val="0"/>
                      <w:sz w:val="21"/>
                      <w:szCs w:val="21"/>
                      <w:lang w:bidi="ar"/>
                    </w:rPr>
                    <w:t>~50</w:t>
                  </w:r>
                </w:p>
              </w:tc>
              <w:tc>
                <w:tcPr>
                  <w:tcW w:w="354" w:type="pct"/>
                  <w:noWrap w:val="0"/>
                  <w:vAlign w:val="center"/>
                </w:tcPr>
                <w:p w14:paraId="036CD43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25~</w:t>
                  </w:r>
                  <w:r>
                    <w:rPr>
                      <w:rFonts w:hint="eastAsia" w:ascii="Times New Roman" w:hAnsi="Times New Roman" w:eastAsia="宋体" w:cs="Times New Roman"/>
                      <w:color w:val="auto"/>
                      <w:kern w:val="0"/>
                      <w:sz w:val="21"/>
                      <w:szCs w:val="21"/>
                      <w:lang w:val="en-US" w:eastAsia="zh-CN" w:bidi="ar"/>
                    </w:rPr>
                    <w:t>40</w:t>
                  </w:r>
                </w:p>
              </w:tc>
              <w:tc>
                <w:tcPr>
                  <w:tcW w:w="259" w:type="pct"/>
                  <w:noWrap w:val="0"/>
                  <w:vAlign w:val="center"/>
                </w:tcPr>
                <w:p w14:paraId="554E273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0.5</w:t>
                  </w:r>
                </w:p>
              </w:tc>
              <w:tc>
                <w:tcPr>
                  <w:tcW w:w="380" w:type="pct"/>
                  <w:noWrap w:val="0"/>
                  <w:tcMar>
                    <w:top w:w="0" w:type="dxa"/>
                    <w:left w:w="0" w:type="dxa"/>
                    <w:right w:w="0" w:type="dxa"/>
                  </w:tcMar>
                  <w:vAlign w:val="center"/>
                </w:tcPr>
                <w:p w14:paraId="51BA020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W，5</w:t>
                  </w:r>
                </w:p>
              </w:tc>
              <w:tc>
                <w:tcPr>
                  <w:tcW w:w="380" w:type="pct"/>
                  <w:noWrap w:val="0"/>
                  <w:vAlign w:val="center"/>
                </w:tcPr>
                <w:p w14:paraId="47E21D7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61.0</w:t>
                  </w:r>
                </w:p>
              </w:tc>
              <w:tc>
                <w:tcPr>
                  <w:tcW w:w="272" w:type="pct"/>
                  <w:vMerge w:val="continue"/>
                  <w:noWrap w:val="0"/>
                  <w:tcMar>
                    <w:top w:w="0" w:type="dxa"/>
                    <w:left w:w="0" w:type="dxa"/>
                    <w:right w:w="0" w:type="dxa"/>
                  </w:tcMar>
                  <w:vAlign w:val="center"/>
                </w:tcPr>
                <w:p w14:paraId="3766086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2418953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15</w:t>
                  </w:r>
                </w:p>
              </w:tc>
              <w:tc>
                <w:tcPr>
                  <w:tcW w:w="380" w:type="pct"/>
                  <w:noWrap w:val="0"/>
                  <w:vAlign w:val="center"/>
                </w:tcPr>
                <w:p w14:paraId="6E62F06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46.0</w:t>
                  </w:r>
                </w:p>
              </w:tc>
            </w:tr>
            <w:tr w14:paraId="13F4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35ECEC9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70" w:type="pct"/>
                  <w:vMerge w:val="continue"/>
                  <w:noWrap w:val="0"/>
                  <w:vAlign w:val="center"/>
                </w:tcPr>
                <w:p w14:paraId="7B7D611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77370AF3">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bidi="ar"/>
                    </w:rPr>
                  </w:pPr>
                  <w:r>
                    <w:rPr>
                      <w:rFonts w:hint="eastAsia"/>
                      <w:color w:val="auto"/>
                      <w:sz w:val="21"/>
                      <w:szCs w:val="21"/>
                      <w:lang w:val="en-US" w:eastAsia="zh-CN"/>
                    </w:rPr>
                    <w:t xml:space="preserve">重竹材疏解机 </w:t>
                  </w:r>
                </w:p>
              </w:tc>
              <w:tc>
                <w:tcPr>
                  <w:tcW w:w="398" w:type="pct"/>
                  <w:noWrap w:val="0"/>
                  <w:tcMar>
                    <w:top w:w="0" w:type="dxa"/>
                    <w:left w:w="0" w:type="dxa"/>
                    <w:right w:w="0" w:type="dxa"/>
                  </w:tcMar>
                  <w:vAlign w:val="center"/>
                </w:tcPr>
                <w:p w14:paraId="06017F2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80</w:t>
                  </w:r>
                </w:p>
              </w:tc>
              <w:tc>
                <w:tcPr>
                  <w:tcW w:w="378" w:type="pct"/>
                  <w:vMerge w:val="continue"/>
                  <w:noWrap w:val="0"/>
                  <w:tcMar>
                    <w:top w:w="0" w:type="dxa"/>
                    <w:left w:w="0" w:type="dxa"/>
                    <w:right w:w="0" w:type="dxa"/>
                  </w:tcMar>
                  <w:vAlign w:val="center"/>
                </w:tcPr>
                <w:p w14:paraId="7EBAAF4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1BA86E7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10~30</w:t>
                  </w:r>
                </w:p>
              </w:tc>
              <w:tc>
                <w:tcPr>
                  <w:tcW w:w="354" w:type="pct"/>
                  <w:noWrap w:val="0"/>
                  <w:vAlign w:val="center"/>
                </w:tcPr>
                <w:p w14:paraId="5935193B">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0~40</w:t>
                  </w:r>
                </w:p>
              </w:tc>
              <w:tc>
                <w:tcPr>
                  <w:tcW w:w="259" w:type="pct"/>
                  <w:noWrap w:val="0"/>
                  <w:vAlign w:val="center"/>
                </w:tcPr>
                <w:p w14:paraId="066D044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0.5</w:t>
                  </w:r>
                </w:p>
              </w:tc>
              <w:tc>
                <w:tcPr>
                  <w:tcW w:w="380" w:type="pct"/>
                  <w:noWrap w:val="0"/>
                  <w:tcMar>
                    <w:top w:w="0" w:type="dxa"/>
                    <w:left w:w="0" w:type="dxa"/>
                    <w:right w:w="0" w:type="dxa"/>
                  </w:tcMar>
                  <w:vAlign w:val="center"/>
                </w:tcPr>
                <w:p w14:paraId="5A99A9F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W，5</w:t>
                  </w:r>
                </w:p>
              </w:tc>
              <w:tc>
                <w:tcPr>
                  <w:tcW w:w="380" w:type="pct"/>
                  <w:noWrap w:val="0"/>
                  <w:vAlign w:val="center"/>
                </w:tcPr>
                <w:p w14:paraId="28EA23D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66.0</w:t>
                  </w:r>
                </w:p>
              </w:tc>
              <w:tc>
                <w:tcPr>
                  <w:tcW w:w="272" w:type="pct"/>
                  <w:vMerge w:val="continue"/>
                  <w:noWrap w:val="0"/>
                  <w:tcMar>
                    <w:top w:w="0" w:type="dxa"/>
                    <w:left w:w="0" w:type="dxa"/>
                    <w:right w:w="0" w:type="dxa"/>
                  </w:tcMar>
                  <w:vAlign w:val="center"/>
                </w:tcPr>
                <w:p w14:paraId="7AE8100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7C93C8E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15</w:t>
                  </w:r>
                </w:p>
              </w:tc>
              <w:tc>
                <w:tcPr>
                  <w:tcW w:w="380" w:type="pct"/>
                  <w:noWrap w:val="0"/>
                  <w:vAlign w:val="center"/>
                </w:tcPr>
                <w:p w14:paraId="0D68C21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w:t>
                  </w:r>
                </w:p>
              </w:tc>
            </w:tr>
            <w:tr w14:paraId="5D18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3E523EC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70" w:type="pct"/>
                  <w:vMerge w:val="continue"/>
                  <w:noWrap w:val="0"/>
                  <w:vAlign w:val="center"/>
                </w:tcPr>
                <w:p w14:paraId="753567B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2AEA9423">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bidi="ar"/>
                    </w:rPr>
                  </w:pPr>
                  <w:r>
                    <w:rPr>
                      <w:rFonts w:hint="eastAsia"/>
                      <w:color w:val="auto"/>
                      <w:sz w:val="21"/>
                      <w:szCs w:val="21"/>
                      <w:lang w:val="en-US" w:eastAsia="zh-CN"/>
                    </w:rPr>
                    <w:t>拉丝机</w:t>
                  </w:r>
                </w:p>
              </w:tc>
              <w:tc>
                <w:tcPr>
                  <w:tcW w:w="398" w:type="pct"/>
                  <w:noWrap w:val="0"/>
                  <w:tcMar>
                    <w:top w:w="0" w:type="dxa"/>
                    <w:left w:w="0" w:type="dxa"/>
                    <w:right w:w="0" w:type="dxa"/>
                  </w:tcMar>
                  <w:vAlign w:val="center"/>
                </w:tcPr>
                <w:p w14:paraId="0551ED4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70</w:t>
                  </w:r>
                </w:p>
              </w:tc>
              <w:tc>
                <w:tcPr>
                  <w:tcW w:w="378" w:type="pct"/>
                  <w:vMerge w:val="continue"/>
                  <w:noWrap w:val="0"/>
                  <w:tcMar>
                    <w:top w:w="0" w:type="dxa"/>
                    <w:left w:w="0" w:type="dxa"/>
                    <w:right w:w="0" w:type="dxa"/>
                  </w:tcMar>
                  <w:vAlign w:val="center"/>
                </w:tcPr>
                <w:p w14:paraId="639ECCC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0FD03C5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10~30</w:t>
                  </w:r>
                </w:p>
              </w:tc>
              <w:tc>
                <w:tcPr>
                  <w:tcW w:w="354" w:type="pct"/>
                  <w:noWrap w:val="0"/>
                  <w:vAlign w:val="center"/>
                </w:tcPr>
                <w:p w14:paraId="262B1E8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30</w:t>
                  </w:r>
                  <w:r>
                    <w:rPr>
                      <w:rFonts w:hint="default" w:ascii="Times New Roman" w:hAnsi="Times New Roman" w:eastAsia="宋体" w:cs="Times New Roman"/>
                      <w:color w:val="auto"/>
                      <w:kern w:val="0"/>
                      <w:sz w:val="21"/>
                      <w:szCs w:val="21"/>
                      <w:lang w:bidi="ar"/>
                    </w:rPr>
                    <w:t>~</w:t>
                  </w: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bidi="ar"/>
                    </w:rPr>
                    <w:t>5</w:t>
                  </w:r>
                </w:p>
              </w:tc>
              <w:tc>
                <w:tcPr>
                  <w:tcW w:w="259" w:type="pct"/>
                  <w:noWrap w:val="0"/>
                  <w:vAlign w:val="center"/>
                </w:tcPr>
                <w:p w14:paraId="2CFEF09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0.5</w:t>
                  </w:r>
                </w:p>
              </w:tc>
              <w:tc>
                <w:tcPr>
                  <w:tcW w:w="380" w:type="pct"/>
                  <w:noWrap w:val="0"/>
                  <w:tcMar>
                    <w:top w:w="0" w:type="dxa"/>
                    <w:left w:w="0" w:type="dxa"/>
                    <w:right w:w="0" w:type="dxa"/>
                  </w:tcMar>
                  <w:vAlign w:val="center"/>
                </w:tcPr>
                <w:p w14:paraId="4134054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S，10</w:t>
                  </w:r>
                </w:p>
              </w:tc>
              <w:tc>
                <w:tcPr>
                  <w:tcW w:w="380" w:type="pct"/>
                  <w:noWrap w:val="0"/>
                  <w:vAlign w:val="center"/>
                </w:tcPr>
                <w:p w14:paraId="6925C16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60.0</w:t>
                  </w:r>
                </w:p>
              </w:tc>
              <w:tc>
                <w:tcPr>
                  <w:tcW w:w="272" w:type="pct"/>
                  <w:vMerge w:val="continue"/>
                  <w:noWrap w:val="0"/>
                  <w:tcMar>
                    <w:top w:w="0" w:type="dxa"/>
                    <w:left w:w="0" w:type="dxa"/>
                    <w:right w:w="0" w:type="dxa"/>
                  </w:tcMar>
                  <w:vAlign w:val="center"/>
                </w:tcPr>
                <w:p w14:paraId="144D855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4A352D9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15</w:t>
                  </w:r>
                </w:p>
              </w:tc>
              <w:tc>
                <w:tcPr>
                  <w:tcW w:w="380" w:type="pct"/>
                  <w:noWrap w:val="0"/>
                  <w:vAlign w:val="center"/>
                </w:tcPr>
                <w:p w14:paraId="4936BAF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r>
            <w:tr w14:paraId="39EC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7D070912">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70" w:type="pct"/>
                  <w:vMerge w:val="continue"/>
                  <w:noWrap w:val="0"/>
                  <w:vAlign w:val="center"/>
                </w:tcPr>
                <w:p w14:paraId="5BAC6FD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3D0342DF">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bidi="ar"/>
                    </w:rPr>
                  </w:pPr>
                  <w:r>
                    <w:rPr>
                      <w:rFonts w:hint="eastAsia"/>
                      <w:color w:val="auto"/>
                      <w:sz w:val="21"/>
                      <w:szCs w:val="21"/>
                      <w:lang w:val="en-US" w:eastAsia="zh-CN"/>
                    </w:rPr>
                    <w:t>自动大剖机</w:t>
                  </w:r>
                </w:p>
              </w:tc>
              <w:tc>
                <w:tcPr>
                  <w:tcW w:w="398" w:type="pct"/>
                  <w:noWrap w:val="0"/>
                  <w:tcMar>
                    <w:top w:w="0" w:type="dxa"/>
                    <w:left w:w="0" w:type="dxa"/>
                    <w:right w:w="0" w:type="dxa"/>
                  </w:tcMar>
                  <w:vAlign w:val="center"/>
                </w:tcPr>
                <w:p w14:paraId="6C18F80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75</w:t>
                  </w:r>
                </w:p>
              </w:tc>
              <w:tc>
                <w:tcPr>
                  <w:tcW w:w="378" w:type="pct"/>
                  <w:vMerge w:val="continue"/>
                  <w:noWrap w:val="0"/>
                  <w:tcMar>
                    <w:top w:w="0" w:type="dxa"/>
                    <w:left w:w="0" w:type="dxa"/>
                    <w:right w:w="0" w:type="dxa"/>
                  </w:tcMar>
                  <w:vAlign w:val="center"/>
                </w:tcPr>
                <w:p w14:paraId="20B6BE1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3069DDC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10~30</w:t>
                  </w:r>
                </w:p>
              </w:tc>
              <w:tc>
                <w:tcPr>
                  <w:tcW w:w="354" w:type="pct"/>
                  <w:noWrap w:val="0"/>
                  <w:vAlign w:val="center"/>
                </w:tcPr>
                <w:p w14:paraId="76C50442">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30</w:t>
                  </w:r>
                  <w:r>
                    <w:rPr>
                      <w:rFonts w:hint="default" w:ascii="Times New Roman" w:hAnsi="Times New Roman" w:eastAsia="宋体" w:cs="Times New Roman"/>
                      <w:color w:val="auto"/>
                      <w:kern w:val="0"/>
                      <w:sz w:val="21"/>
                      <w:szCs w:val="21"/>
                      <w:lang w:bidi="ar"/>
                    </w:rPr>
                    <w:t>~</w:t>
                  </w:r>
                  <w:r>
                    <w:rPr>
                      <w:rFonts w:hint="eastAsia" w:ascii="Times New Roman" w:hAnsi="Times New Roman" w:eastAsia="宋体" w:cs="Times New Roman"/>
                      <w:color w:val="auto"/>
                      <w:kern w:val="0"/>
                      <w:sz w:val="21"/>
                      <w:szCs w:val="21"/>
                      <w:lang w:val="en-US" w:eastAsia="zh-CN" w:bidi="ar"/>
                    </w:rPr>
                    <w:t>45</w:t>
                  </w:r>
                </w:p>
              </w:tc>
              <w:tc>
                <w:tcPr>
                  <w:tcW w:w="259" w:type="pct"/>
                  <w:noWrap w:val="0"/>
                  <w:vAlign w:val="center"/>
                </w:tcPr>
                <w:p w14:paraId="4778E60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0.5</w:t>
                  </w:r>
                </w:p>
              </w:tc>
              <w:tc>
                <w:tcPr>
                  <w:tcW w:w="380" w:type="pct"/>
                  <w:noWrap w:val="0"/>
                  <w:tcMar>
                    <w:top w:w="0" w:type="dxa"/>
                    <w:left w:w="0" w:type="dxa"/>
                    <w:right w:w="0" w:type="dxa"/>
                  </w:tcMar>
                  <w:vAlign w:val="center"/>
                </w:tcPr>
                <w:p w14:paraId="7BA3CB2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S，10</w:t>
                  </w:r>
                </w:p>
              </w:tc>
              <w:tc>
                <w:tcPr>
                  <w:tcW w:w="380" w:type="pct"/>
                  <w:noWrap w:val="0"/>
                  <w:vAlign w:val="center"/>
                </w:tcPr>
                <w:p w14:paraId="7D0E5C0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55.0</w:t>
                  </w:r>
                </w:p>
              </w:tc>
              <w:tc>
                <w:tcPr>
                  <w:tcW w:w="272" w:type="pct"/>
                  <w:vMerge w:val="continue"/>
                  <w:noWrap w:val="0"/>
                  <w:tcMar>
                    <w:top w:w="0" w:type="dxa"/>
                    <w:left w:w="0" w:type="dxa"/>
                    <w:right w:w="0" w:type="dxa"/>
                  </w:tcMar>
                  <w:vAlign w:val="center"/>
                </w:tcPr>
                <w:p w14:paraId="0FD40F4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51FCD4E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15</w:t>
                  </w:r>
                </w:p>
              </w:tc>
              <w:tc>
                <w:tcPr>
                  <w:tcW w:w="380" w:type="pct"/>
                  <w:noWrap w:val="0"/>
                  <w:vAlign w:val="center"/>
                </w:tcPr>
                <w:p w14:paraId="083FC50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r>
            <w:tr w14:paraId="0149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0780647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70" w:type="pct"/>
                  <w:vMerge w:val="continue"/>
                  <w:noWrap w:val="0"/>
                  <w:vAlign w:val="center"/>
                </w:tcPr>
                <w:p w14:paraId="34B9B32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762640F0">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bidi="ar"/>
                    </w:rPr>
                  </w:pPr>
                  <w:r>
                    <w:rPr>
                      <w:rFonts w:hint="eastAsia"/>
                      <w:color w:val="auto"/>
                      <w:sz w:val="21"/>
                      <w:szCs w:val="21"/>
                      <w:lang w:val="en-US" w:eastAsia="zh-CN"/>
                    </w:rPr>
                    <w:t>手动大剖机</w:t>
                  </w:r>
                </w:p>
              </w:tc>
              <w:tc>
                <w:tcPr>
                  <w:tcW w:w="398" w:type="pct"/>
                  <w:noWrap w:val="0"/>
                  <w:tcMar>
                    <w:top w:w="0" w:type="dxa"/>
                    <w:left w:w="0" w:type="dxa"/>
                    <w:right w:w="0" w:type="dxa"/>
                  </w:tcMar>
                  <w:vAlign w:val="center"/>
                </w:tcPr>
                <w:p w14:paraId="52A0EB5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80</w:t>
                  </w:r>
                </w:p>
              </w:tc>
              <w:tc>
                <w:tcPr>
                  <w:tcW w:w="378" w:type="pct"/>
                  <w:vMerge w:val="continue"/>
                  <w:noWrap w:val="0"/>
                  <w:tcMar>
                    <w:top w:w="0" w:type="dxa"/>
                    <w:left w:w="0" w:type="dxa"/>
                    <w:right w:w="0" w:type="dxa"/>
                  </w:tcMar>
                  <w:vAlign w:val="center"/>
                </w:tcPr>
                <w:p w14:paraId="5F77B40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205FA2D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30</w:t>
                  </w:r>
                </w:p>
              </w:tc>
              <w:tc>
                <w:tcPr>
                  <w:tcW w:w="354" w:type="pct"/>
                  <w:noWrap w:val="0"/>
                  <w:vAlign w:val="center"/>
                </w:tcPr>
                <w:p w14:paraId="2773B23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45</w:t>
                  </w:r>
                </w:p>
              </w:tc>
              <w:tc>
                <w:tcPr>
                  <w:tcW w:w="259" w:type="pct"/>
                  <w:noWrap w:val="0"/>
                  <w:vAlign w:val="center"/>
                </w:tcPr>
                <w:p w14:paraId="6270F97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0.5</w:t>
                  </w:r>
                </w:p>
              </w:tc>
              <w:tc>
                <w:tcPr>
                  <w:tcW w:w="380" w:type="pct"/>
                  <w:noWrap w:val="0"/>
                  <w:tcMar>
                    <w:top w:w="0" w:type="dxa"/>
                    <w:left w:w="0" w:type="dxa"/>
                    <w:right w:w="0" w:type="dxa"/>
                  </w:tcMar>
                  <w:vAlign w:val="center"/>
                </w:tcPr>
                <w:p w14:paraId="2196A4F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W，5</w:t>
                  </w:r>
                </w:p>
              </w:tc>
              <w:tc>
                <w:tcPr>
                  <w:tcW w:w="380" w:type="pct"/>
                  <w:noWrap w:val="0"/>
                  <w:vAlign w:val="center"/>
                </w:tcPr>
                <w:p w14:paraId="5B17624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66.0</w:t>
                  </w:r>
                </w:p>
              </w:tc>
              <w:tc>
                <w:tcPr>
                  <w:tcW w:w="272" w:type="pct"/>
                  <w:vMerge w:val="continue"/>
                  <w:noWrap w:val="0"/>
                  <w:tcMar>
                    <w:top w:w="0" w:type="dxa"/>
                    <w:left w:w="0" w:type="dxa"/>
                    <w:right w:w="0" w:type="dxa"/>
                  </w:tcMar>
                  <w:vAlign w:val="center"/>
                </w:tcPr>
                <w:p w14:paraId="05F3039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536D0B4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15</w:t>
                  </w:r>
                </w:p>
              </w:tc>
              <w:tc>
                <w:tcPr>
                  <w:tcW w:w="380" w:type="pct"/>
                  <w:noWrap w:val="0"/>
                  <w:vAlign w:val="center"/>
                </w:tcPr>
                <w:p w14:paraId="3BC3B22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w:t>
                  </w:r>
                </w:p>
              </w:tc>
            </w:tr>
            <w:tr w14:paraId="0997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552EFE6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70" w:type="pct"/>
                  <w:vMerge w:val="continue"/>
                  <w:noWrap w:val="0"/>
                  <w:vAlign w:val="center"/>
                </w:tcPr>
                <w:p w14:paraId="77C466C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06397B7D">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auto"/>
                      <w:kern w:val="0"/>
                      <w:sz w:val="21"/>
                      <w:szCs w:val="21"/>
                      <w:lang w:bidi="ar"/>
                    </w:rPr>
                  </w:pPr>
                  <w:r>
                    <w:rPr>
                      <w:rFonts w:hint="eastAsia"/>
                      <w:color w:val="auto"/>
                      <w:sz w:val="21"/>
                      <w:szCs w:val="21"/>
                      <w:lang w:val="en-US" w:eastAsia="zh-CN"/>
                    </w:rPr>
                    <w:t>分片机</w:t>
                  </w:r>
                </w:p>
              </w:tc>
              <w:tc>
                <w:tcPr>
                  <w:tcW w:w="398" w:type="pct"/>
                  <w:noWrap w:val="0"/>
                  <w:tcMar>
                    <w:top w:w="0" w:type="dxa"/>
                    <w:left w:w="0" w:type="dxa"/>
                    <w:right w:w="0" w:type="dxa"/>
                  </w:tcMar>
                  <w:vAlign w:val="center"/>
                </w:tcPr>
                <w:p w14:paraId="1086A26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80</w:t>
                  </w:r>
                </w:p>
              </w:tc>
              <w:tc>
                <w:tcPr>
                  <w:tcW w:w="378" w:type="pct"/>
                  <w:vMerge w:val="continue"/>
                  <w:noWrap w:val="0"/>
                  <w:tcMar>
                    <w:top w:w="0" w:type="dxa"/>
                    <w:left w:w="0" w:type="dxa"/>
                    <w:right w:w="0" w:type="dxa"/>
                  </w:tcMar>
                  <w:vAlign w:val="center"/>
                </w:tcPr>
                <w:p w14:paraId="0B9AC32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2375F47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30</w:t>
                  </w:r>
                </w:p>
              </w:tc>
              <w:tc>
                <w:tcPr>
                  <w:tcW w:w="354" w:type="pct"/>
                  <w:noWrap w:val="0"/>
                  <w:vAlign w:val="center"/>
                </w:tcPr>
                <w:p w14:paraId="3F39883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w:t>
                  </w:r>
                </w:p>
              </w:tc>
              <w:tc>
                <w:tcPr>
                  <w:tcW w:w="259" w:type="pct"/>
                  <w:noWrap w:val="0"/>
                  <w:vAlign w:val="center"/>
                </w:tcPr>
                <w:p w14:paraId="0B11B54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0.5</w:t>
                  </w:r>
                </w:p>
              </w:tc>
              <w:tc>
                <w:tcPr>
                  <w:tcW w:w="380" w:type="pct"/>
                  <w:noWrap w:val="0"/>
                  <w:tcMar>
                    <w:top w:w="0" w:type="dxa"/>
                    <w:left w:w="0" w:type="dxa"/>
                    <w:right w:w="0" w:type="dxa"/>
                  </w:tcMar>
                  <w:vAlign w:val="center"/>
                </w:tcPr>
                <w:p w14:paraId="097DFA6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W，10</w:t>
                  </w:r>
                </w:p>
              </w:tc>
              <w:tc>
                <w:tcPr>
                  <w:tcW w:w="380" w:type="pct"/>
                  <w:noWrap w:val="0"/>
                  <w:vAlign w:val="center"/>
                </w:tcPr>
                <w:p w14:paraId="00605A7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55.0</w:t>
                  </w:r>
                </w:p>
              </w:tc>
              <w:tc>
                <w:tcPr>
                  <w:tcW w:w="272" w:type="pct"/>
                  <w:vMerge w:val="continue"/>
                  <w:noWrap w:val="0"/>
                  <w:tcMar>
                    <w:top w:w="0" w:type="dxa"/>
                    <w:left w:w="0" w:type="dxa"/>
                    <w:right w:w="0" w:type="dxa"/>
                  </w:tcMar>
                  <w:vAlign w:val="center"/>
                </w:tcPr>
                <w:p w14:paraId="578486D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424E0C6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15</w:t>
                  </w:r>
                </w:p>
              </w:tc>
              <w:tc>
                <w:tcPr>
                  <w:tcW w:w="380" w:type="pct"/>
                  <w:noWrap w:val="0"/>
                  <w:vAlign w:val="center"/>
                </w:tcPr>
                <w:p w14:paraId="11B2C79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r>
            <w:tr w14:paraId="2D83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4D1C87B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70" w:type="pct"/>
                  <w:vMerge w:val="continue"/>
                  <w:noWrap w:val="0"/>
                  <w:vAlign w:val="center"/>
                </w:tcPr>
                <w:p w14:paraId="25C3D5A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1A024513">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双层编帘机</w:t>
                  </w:r>
                </w:p>
              </w:tc>
              <w:tc>
                <w:tcPr>
                  <w:tcW w:w="398" w:type="pct"/>
                  <w:noWrap w:val="0"/>
                  <w:tcMar>
                    <w:top w:w="0" w:type="dxa"/>
                    <w:left w:w="0" w:type="dxa"/>
                    <w:right w:w="0" w:type="dxa"/>
                  </w:tcMar>
                  <w:vAlign w:val="center"/>
                </w:tcPr>
                <w:p w14:paraId="7996C60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70</w:t>
                  </w:r>
                </w:p>
              </w:tc>
              <w:tc>
                <w:tcPr>
                  <w:tcW w:w="378" w:type="pct"/>
                  <w:vMerge w:val="continue"/>
                  <w:noWrap w:val="0"/>
                  <w:tcMar>
                    <w:top w:w="0" w:type="dxa"/>
                    <w:left w:w="0" w:type="dxa"/>
                    <w:right w:w="0" w:type="dxa"/>
                  </w:tcMar>
                  <w:vAlign w:val="center"/>
                </w:tcPr>
                <w:p w14:paraId="7724482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7F3B8E5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w:t>
                  </w:r>
                </w:p>
              </w:tc>
              <w:tc>
                <w:tcPr>
                  <w:tcW w:w="354" w:type="pct"/>
                  <w:noWrap w:val="0"/>
                  <w:vAlign w:val="center"/>
                </w:tcPr>
                <w:p w14:paraId="039A424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259" w:type="pct"/>
                  <w:noWrap w:val="0"/>
                  <w:vAlign w:val="center"/>
                </w:tcPr>
                <w:p w14:paraId="7D25CB1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0.5</w:t>
                  </w:r>
                </w:p>
              </w:tc>
              <w:tc>
                <w:tcPr>
                  <w:tcW w:w="380" w:type="pct"/>
                  <w:noWrap w:val="0"/>
                  <w:tcMar>
                    <w:top w:w="0" w:type="dxa"/>
                    <w:left w:w="0" w:type="dxa"/>
                    <w:right w:w="0" w:type="dxa"/>
                  </w:tcMar>
                  <w:vAlign w:val="center"/>
                </w:tcPr>
                <w:p w14:paraId="26DF4ACC">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W，3.5</w:t>
                  </w:r>
                </w:p>
              </w:tc>
              <w:tc>
                <w:tcPr>
                  <w:tcW w:w="380" w:type="pct"/>
                  <w:noWrap w:val="0"/>
                  <w:vAlign w:val="center"/>
                </w:tcPr>
                <w:p w14:paraId="4DDEAE6E">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272" w:type="pct"/>
                  <w:vMerge w:val="continue"/>
                  <w:noWrap w:val="0"/>
                  <w:tcMar>
                    <w:top w:w="0" w:type="dxa"/>
                    <w:left w:w="0" w:type="dxa"/>
                    <w:right w:w="0" w:type="dxa"/>
                  </w:tcMar>
                  <w:vAlign w:val="center"/>
                </w:tcPr>
                <w:p w14:paraId="1A130758">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1B6A5742">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15</w:t>
                  </w:r>
                </w:p>
              </w:tc>
              <w:tc>
                <w:tcPr>
                  <w:tcW w:w="380" w:type="pct"/>
                  <w:noWrap w:val="0"/>
                  <w:vAlign w:val="center"/>
                </w:tcPr>
                <w:p w14:paraId="1ADFA161">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2"/>
                      <w:sz w:val="21"/>
                      <w:szCs w:val="21"/>
                      <w:u w:val="none"/>
                      <w:lang w:val="en-US" w:eastAsia="zh-CN" w:bidi="ar"/>
                    </w:rPr>
                    <w:t>53</w:t>
                  </w:r>
                </w:p>
              </w:tc>
            </w:tr>
            <w:tr w14:paraId="2BB3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078AF5C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70" w:type="pct"/>
                  <w:vMerge w:val="continue"/>
                  <w:noWrap w:val="0"/>
                  <w:vAlign w:val="center"/>
                </w:tcPr>
                <w:p w14:paraId="6F7B09F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6E3F0938">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lang w:val="en-US" w:eastAsia="zh-CN"/>
                    </w:rPr>
                    <w:t>蒸汽锅炉</w:t>
                  </w:r>
                </w:p>
              </w:tc>
              <w:tc>
                <w:tcPr>
                  <w:tcW w:w="398" w:type="pct"/>
                  <w:noWrap w:val="0"/>
                  <w:tcMar>
                    <w:top w:w="0" w:type="dxa"/>
                    <w:left w:w="0" w:type="dxa"/>
                    <w:right w:w="0" w:type="dxa"/>
                  </w:tcMar>
                  <w:vAlign w:val="center"/>
                </w:tcPr>
                <w:p w14:paraId="179777F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w:t>
                  </w:r>
                </w:p>
              </w:tc>
              <w:tc>
                <w:tcPr>
                  <w:tcW w:w="378" w:type="pct"/>
                  <w:vMerge w:val="continue"/>
                  <w:noWrap w:val="0"/>
                  <w:tcMar>
                    <w:top w:w="0" w:type="dxa"/>
                    <w:left w:w="0" w:type="dxa"/>
                    <w:right w:w="0" w:type="dxa"/>
                  </w:tcMar>
                  <w:vAlign w:val="center"/>
                </w:tcPr>
                <w:p w14:paraId="3C6DB18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0B7948C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25</w:t>
                  </w:r>
                </w:p>
              </w:tc>
              <w:tc>
                <w:tcPr>
                  <w:tcW w:w="354" w:type="pct"/>
                  <w:noWrap w:val="0"/>
                  <w:vAlign w:val="center"/>
                </w:tcPr>
                <w:p w14:paraId="56069F4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40</w:t>
                  </w:r>
                </w:p>
              </w:tc>
              <w:tc>
                <w:tcPr>
                  <w:tcW w:w="259" w:type="pct"/>
                  <w:noWrap w:val="0"/>
                  <w:vAlign w:val="center"/>
                </w:tcPr>
                <w:p w14:paraId="778175F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0.5</w:t>
                  </w:r>
                </w:p>
              </w:tc>
              <w:tc>
                <w:tcPr>
                  <w:tcW w:w="380" w:type="pct"/>
                  <w:noWrap w:val="0"/>
                  <w:tcMar>
                    <w:top w:w="0" w:type="dxa"/>
                    <w:left w:w="0" w:type="dxa"/>
                    <w:right w:w="0" w:type="dxa"/>
                  </w:tcMar>
                  <w:vAlign w:val="center"/>
                </w:tcPr>
                <w:p w14:paraId="76DA0D41">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S，4</w:t>
                  </w:r>
                </w:p>
              </w:tc>
              <w:tc>
                <w:tcPr>
                  <w:tcW w:w="380" w:type="pct"/>
                  <w:noWrap w:val="0"/>
                  <w:vAlign w:val="center"/>
                </w:tcPr>
                <w:p w14:paraId="1AF4B1F3">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272" w:type="pct"/>
                  <w:vMerge w:val="continue"/>
                  <w:noWrap w:val="0"/>
                  <w:tcMar>
                    <w:top w:w="0" w:type="dxa"/>
                    <w:left w:w="0" w:type="dxa"/>
                    <w:right w:w="0" w:type="dxa"/>
                  </w:tcMar>
                  <w:vAlign w:val="center"/>
                </w:tcPr>
                <w:p w14:paraId="4750005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53FFEEE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80" w:type="pct"/>
                  <w:noWrap w:val="0"/>
                  <w:vAlign w:val="center"/>
                </w:tcPr>
                <w:p w14:paraId="0AC2EDA5">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2"/>
                      <w:sz w:val="21"/>
                      <w:szCs w:val="21"/>
                      <w:u w:val="none"/>
                      <w:lang w:val="en-US" w:eastAsia="zh-CN" w:bidi="ar"/>
                    </w:rPr>
                    <w:t>55</w:t>
                  </w:r>
                </w:p>
              </w:tc>
            </w:tr>
            <w:tr w14:paraId="4F5E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7" w:type="pct"/>
                  <w:noWrap w:val="0"/>
                  <w:tcMar>
                    <w:top w:w="0" w:type="dxa"/>
                    <w:left w:w="0" w:type="dxa"/>
                    <w:right w:w="0" w:type="dxa"/>
                  </w:tcMar>
                  <w:vAlign w:val="center"/>
                </w:tcPr>
                <w:p w14:paraId="54B0CBF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70" w:type="pct"/>
                  <w:vMerge w:val="continue"/>
                  <w:noWrap w:val="0"/>
                  <w:vAlign w:val="center"/>
                </w:tcPr>
                <w:p w14:paraId="6E8D674C">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56D887DF">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lang w:val="en-US" w:eastAsia="zh-CN" w:bidi="ar-SA"/>
                    </w:rPr>
                    <w:t>烘干房</w:t>
                  </w:r>
                </w:p>
              </w:tc>
              <w:tc>
                <w:tcPr>
                  <w:tcW w:w="398" w:type="pct"/>
                  <w:noWrap w:val="0"/>
                  <w:tcMar>
                    <w:top w:w="0" w:type="dxa"/>
                    <w:left w:w="0" w:type="dxa"/>
                    <w:right w:w="0" w:type="dxa"/>
                  </w:tcMar>
                  <w:vAlign w:val="center"/>
                </w:tcPr>
                <w:p w14:paraId="621F323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w:t>
                  </w:r>
                </w:p>
              </w:tc>
              <w:tc>
                <w:tcPr>
                  <w:tcW w:w="378" w:type="pct"/>
                  <w:vMerge w:val="continue"/>
                  <w:noWrap w:val="0"/>
                  <w:tcMar>
                    <w:top w:w="0" w:type="dxa"/>
                    <w:left w:w="0" w:type="dxa"/>
                    <w:right w:w="0" w:type="dxa"/>
                  </w:tcMar>
                  <w:vAlign w:val="center"/>
                </w:tcPr>
                <w:p w14:paraId="690BD3E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37463DC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5</w:t>
                  </w:r>
                </w:p>
              </w:tc>
              <w:tc>
                <w:tcPr>
                  <w:tcW w:w="354" w:type="pct"/>
                  <w:noWrap w:val="0"/>
                  <w:vAlign w:val="center"/>
                </w:tcPr>
                <w:p w14:paraId="524A86C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45</w:t>
                  </w:r>
                </w:p>
              </w:tc>
              <w:tc>
                <w:tcPr>
                  <w:tcW w:w="259" w:type="pct"/>
                  <w:noWrap w:val="0"/>
                  <w:vAlign w:val="center"/>
                </w:tcPr>
                <w:p w14:paraId="7D52FC2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0.5</w:t>
                  </w:r>
                </w:p>
              </w:tc>
              <w:tc>
                <w:tcPr>
                  <w:tcW w:w="380" w:type="pct"/>
                  <w:noWrap w:val="0"/>
                  <w:tcMar>
                    <w:top w:w="0" w:type="dxa"/>
                    <w:left w:w="0" w:type="dxa"/>
                    <w:right w:w="0" w:type="dxa"/>
                  </w:tcMar>
                  <w:vAlign w:val="center"/>
                </w:tcPr>
                <w:p w14:paraId="505A0BF5">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S，8</w:t>
                  </w:r>
                </w:p>
              </w:tc>
              <w:tc>
                <w:tcPr>
                  <w:tcW w:w="380" w:type="pct"/>
                  <w:noWrap w:val="0"/>
                  <w:vAlign w:val="center"/>
                </w:tcPr>
                <w:p w14:paraId="02A0C6B2">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66</w:t>
                  </w:r>
                </w:p>
              </w:tc>
              <w:tc>
                <w:tcPr>
                  <w:tcW w:w="272" w:type="pct"/>
                  <w:vMerge w:val="continue"/>
                  <w:noWrap w:val="0"/>
                  <w:tcMar>
                    <w:top w:w="0" w:type="dxa"/>
                    <w:left w:w="0" w:type="dxa"/>
                    <w:right w:w="0" w:type="dxa"/>
                  </w:tcMar>
                  <w:vAlign w:val="center"/>
                </w:tcPr>
                <w:p w14:paraId="22C2961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654AA9C8">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80" w:type="pct"/>
                  <w:noWrap w:val="0"/>
                  <w:vAlign w:val="center"/>
                </w:tcPr>
                <w:p w14:paraId="287824BA">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2"/>
                      <w:sz w:val="21"/>
                      <w:szCs w:val="21"/>
                      <w:u w:val="none"/>
                      <w:lang w:val="en-US" w:eastAsia="zh-CN" w:bidi="ar"/>
                    </w:rPr>
                    <w:t>51</w:t>
                  </w:r>
                </w:p>
              </w:tc>
            </w:tr>
            <w:tr w14:paraId="2AE0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87" w:type="pct"/>
                  <w:noWrap w:val="0"/>
                  <w:tcMar>
                    <w:top w:w="0" w:type="dxa"/>
                    <w:left w:w="0" w:type="dxa"/>
                    <w:right w:w="0" w:type="dxa"/>
                  </w:tcMar>
                  <w:vAlign w:val="center"/>
                </w:tcPr>
                <w:p w14:paraId="7F5564B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270" w:type="pct"/>
                  <w:vMerge w:val="continue"/>
                  <w:noWrap w:val="0"/>
                  <w:vAlign w:val="center"/>
                </w:tcPr>
                <w:p w14:paraId="16DBE9F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804" w:type="pct"/>
                  <w:noWrap w:val="0"/>
                  <w:tcMar>
                    <w:top w:w="0" w:type="dxa"/>
                    <w:left w:w="0" w:type="dxa"/>
                    <w:right w:w="0" w:type="dxa"/>
                  </w:tcMar>
                  <w:vAlign w:val="center"/>
                </w:tcPr>
                <w:p w14:paraId="0D963233">
                  <w:pPr>
                    <w:keepNext w:val="0"/>
                    <w:keepLines w:val="0"/>
                    <w:pageBreakBefore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i w:val="0"/>
                      <w:iCs w:val="0"/>
                      <w:color w:val="auto"/>
                      <w:kern w:val="2"/>
                      <w:sz w:val="21"/>
                      <w:szCs w:val="21"/>
                      <w:u w:val="none"/>
                      <w:lang w:val="en-US" w:eastAsia="zh-CN" w:bidi="ar"/>
                    </w:rPr>
                  </w:pPr>
                  <w:r>
                    <w:rPr>
                      <w:rFonts w:hint="eastAsia"/>
                      <w:color w:val="auto"/>
                      <w:sz w:val="21"/>
                      <w:szCs w:val="21"/>
                      <w:lang w:eastAsia="zh-CN"/>
                    </w:rPr>
                    <w:t>竹片软化设施</w:t>
                  </w:r>
                </w:p>
              </w:tc>
              <w:tc>
                <w:tcPr>
                  <w:tcW w:w="398" w:type="pct"/>
                  <w:noWrap w:val="0"/>
                  <w:tcMar>
                    <w:top w:w="0" w:type="dxa"/>
                    <w:left w:w="0" w:type="dxa"/>
                    <w:right w:w="0" w:type="dxa"/>
                  </w:tcMar>
                  <w:vAlign w:val="center"/>
                </w:tcPr>
                <w:p w14:paraId="07B165AB">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w:t>
                  </w:r>
                </w:p>
              </w:tc>
              <w:tc>
                <w:tcPr>
                  <w:tcW w:w="378" w:type="pct"/>
                  <w:vMerge w:val="continue"/>
                  <w:noWrap w:val="0"/>
                  <w:tcMar>
                    <w:top w:w="0" w:type="dxa"/>
                    <w:left w:w="0" w:type="dxa"/>
                    <w:right w:w="0" w:type="dxa"/>
                  </w:tcMar>
                  <w:vAlign w:val="center"/>
                </w:tcPr>
                <w:p w14:paraId="1FB7241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86" w:type="pct"/>
                  <w:noWrap w:val="0"/>
                  <w:vAlign w:val="center"/>
                </w:tcPr>
                <w:p w14:paraId="73F0A6FB">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5</w:t>
                  </w:r>
                </w:p>
              </w:tc>
              <w:tc>
                <w:tcPr>
                  <w:tcW w:w="354" w:type="pct"/>
                  <w:noWrap w:val="0"/>
                  <w:vAlign w:val="center"/>
                </w:tcPr>
                <w:p w14:paraId="58DCBE5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40</w:t>
                  </w:r>
                </w:p>
              </w:tc>
              <w:tc>
                <w:tcPr>
                  <w:tcW w:w="259" w:type="pct"/>
                  <w:noWrap w:val="0"/>
                  <w:vAlign w:val="center"/>
                </w:tcPr>
                <w:p w14:paraId="506BB74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0.5</w:t>
                  </w:r>
                </w:p>
              </w:tc>
              <w:tc>
                <w:tcPr>
                  <w:tcW w:w="380" w:type="pct"/>
                  <w:noWrap w:val="0"/>
                  <w:tcMar>
                    <w:top w:w="0" w:type="dxa"/>
                    <w:left w:w="0" w:type="dxa"/>
                    <w:right w:w="0" w:type="dxa"/>
                  </w:tcMar>
                  <w:vAlign w:val="center"/>
                </w:tcPr>
                <w:p w14:paraId="6F1F011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W，5</w:t>
                  </w:r>
                </w:p>
              </w:tc>
              <w:tc>
                <w:tcPr>
                  <w:tcW w:w="380" w:type="pct"/>
                  <w:noWrap w:val="0"/>
                  <w:vAlign w:val="center"/>
                </w:tcPr>
                <w:p w14:paraId="5139B4B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61.0</w:t>
                  </w:r>
                </w:p>
              </w:tc>
              <w:tc>
                <w:tcPr>
                  <w:tcW w:w="272" w:type="pct"/>
                  <w:vMerge w:val="continue"/>
                  <w:noWrap w:val="0"/>
                  <w:tcMar>
                    <w:top w:w="0" w:type="dxa"/>
                    <w:left w:w="0" w:type="dxa"/>
                    <w:right w:w="0" w:type="dxa"/>
                  </w:tcMar>
                  <w:vAlign w:val="center"/>
                </w:tcPr>
                <w:p w14:paraId="44252A6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kern w:val="0"/>
                      <w:sz w:val="21"/>
                      <w:szCs w:val="21"/>
                      <w:lang w:bidi="ar"/>
                    </w:rPr>
                  </w:pPr>
                </w:p>
              </w:tc>
              <w:tc>
                <w:tcPr>
                  <w:tcW w:w="446" w:type="pct"/>
                  <w:noWrap w:val="0"/>
                  <w:tcMar>
                    <w:top w:w="0" w:type="dxa"/>
                    <w:left w:w="0" w:type="dxa"/>
                    <w:right w:w="0" w:type="dxa"/>
                  </w:tcMar>
                  <w:vAlign w:val="center"/>
                </w:tcPr>
                <w:p w14:paraId="1604AB6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80" w:type="pct"/>
                  <w:noWrap w:val="0"/>
                  <w:vAlign w:val="center"/>
                </w:tcPr>
                <w:p w14:paraId="77E73A94">
                  <w:pPr>
                    <w:keepNext w:val="0"/>
                    <w:keepLines w:val="0"/>
                    <w:pageBreakBefore w:val="0"/>
                    <w:widowControl w:val="0"/>
                    <w:suppressLineNumbers w:val="0"/>
                    <w:kinsoku/>
                    <w:wordWrap/>
                    <w:overflowPunct/>
                    <w:topLinePunct/>
                    <w:autoSpaceDE/>
                    <w:autoSpaceDN/>
                    <w:bidi w:val="0"/>
                    <w:adjustRightInd/>
                    <w:snapToGrid/>
                    <w:spacing w:beforeAutospacing="0" w:afterAutospacing="0" w:line="240" w:lineRule="auto"/>
                    <w:ind w:left="0" w:leftChars="0" w:right="0"/>
                    <w:jc w:val="center"/>
                    <w:textAlignment w:val="center"/>
                    <w:rPr>
                      <w:rFonts w:hint="default" w:ascii="Times New Roman" w:hAnsi="Times New Roman" w:eastAsia="宋体" w:cs="Times New Roman"/>
                      <w:i w:val="0"/>
                      <w:iCs w:val="0"/>
                      <w:color w:val="auto"/>
                      <w:kern w:val="2"/>
                      <w:sz w:val="21"/>
                      <w:szCs w:val="21"/>
                      <w:u w:val="none"/>
                      <w:lang w:val="en-US" w:eastAsia="zh-CN" w:bidi="ar"/>
                    </w:rPr>
                  </w:pPr>
                  <w:r>
                    <w:rPr>
                      <w:rFonts w:hint="default" w:ascii="Times New Roman" w:hAnsi="Times New Roman" w:eastAsia="宋体" w:cs="Times New Roman"/>
                      <w:color w:val="auto"/>
                      <w:sz w:val="21"/>
                      <w:szCs w:val="21"/>
                    </w:rPr>
                    <w:t>46.0</w:t>
                  </w:r>
                </w:p>
              </w:tc>
            </w:tr>
          </w:tbl>
          <w:p w14:paraId="47FABC25">
            <w:pPr>
              <w:keepNext w:val="0"/>
              <w:keepLines w:val="0"/>
              <w:pageBreakBefore w:val="0"/>
              <w:widowControl w:val="0"/>
              <w:kinsoku/>
              <w:wordWrap/>
              <w:overflowPunct/>
              <w:topLinePunct/>
              <w:autoSpaceDE/>
              <w:autoSpaceDN/>
              <w:bidi w:val="0"/>
              <w:adjustRightInd/>
              <w:snapToGrid/>
              <w:spacing w:beforeAutospacing="0" w:afterAutospacing="0" w:line="240" w:lineRule="auto"/>
              <w:ind w:right="0" w:firstLine="420" w:firstLineChars="20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注：①以厂区西南角为原点，东西向为X轴，南北向为Y轴建立坐标系。</w:t>
            </w:r>
          </w:p>
          <w:p w14:paraId="55F65F3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firstLine="420" w:firstLineChars="200"/>
              <w:jc w:val="left"/>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②</w:t>
            </w:r>
            <w:r>
              <w:rPr>
                <w:rFonts w:hint="default" w:ascii="Times New Roman" w:hAnsi="Times New Roman" w:eastAsia="宋体" w:cs="Times New Roman"/>
                <w:bCs/>
                <w:color w:val="auto"/>
                <w:kern w:val="0"/>
                <w:sz w:val="21"/>
                <w:szCs w:val="21"/>
              </w:rPr>
              <w:t>同车间同类型设备噪声级合并分析，按点声源组预测；</w:t>
            </w:r>
          </w:p>
          <w:p w14:paraId="0A37D708">
            <w:pPr>
              <w:pStyle w:val="76"/>
              <w:keepNext w:val="0"/>
              <w:keepLines w:val="0"/>
              <w:pageBreakBefore w:val="0"/>
              <w:widowControl w:val="0"/>
              <w:kinsoku/>
              <w:wordWrap/>
              <w:overflowPunct/>
              <w:topLinePunct/>
              <w:autoSpaceDE/>
              <w:autoSpaceDN/>
              <w:bidi w:val="0"/>
              <w:adjustRightInd/>
              <w:snapToGrid/>
              <w:spacing w:before="0" w:beforeLines="0" w:beforeAutospacing="0" w:after="0" w:afterLines="0" w:afterAutospacing="0" w:line="240" w:lineRule="auto"/>
              <w:ind w:left="0" w:leftChars="0" w:right="0" w:firstLine="420" w:firstLineChars="20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③距室内边界距离，考虑最不利情景选取为声源距离厂房边界最近距离。</w:t>
            </w:r>
          </w:p>
          <w:p w14:paraId="6269D6E3">
            <w:pPr>
              <w:pStyle w:val="76"/>
              <w:keepNext w:val="0"/>
              <w:keepLines w:val="0"/>
              <w:pageBreakBefore w:val="0"/>
              <w:widowControl w:val="0"/>
              <w:kinsoku/>
              <w:wordWrap/>
              <w:overflowPunct/>
              <w:topLinePunct/>
              <w:autoSpaceDE/>
              <w:autoSpaceDN/>
              <w:bidi w:val="0"/>
              <w:adjustRightInd/>
              <w:snapToGrid/>
              <w:spacing w:before="0" w:beforeLines="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表4-1</w:t>
            </w:r>
            <w:r>
              <w:rPr>
                <w:rFonts w:hint="eastAsia" w:ascii="Times New Roman" w:hAnsi="Times New Roman" w:eastAsia="宋体" w:cs="Times New Roman"/>
                <w:b/>
                <w:color w:val="auto"/>
                <w:kern w:val="2"/>
                <w:sz w:val="24"/>
                <w:szCs w:val="24"/>
                <w:lang w:val="en-US" w:eastAsia="zh-CN" w:bidi="ar-SA"/>
              </w:rPr>
              <w:t xml:space="preserve">3  </w:t>
            </w:r>
            <w:r>
              <w:rPr>
                <w:rFonts w:hint="default" w:ascii="Times New Roman" w:hAnsi="Times New Roman" w:eastAsia="宋体" w:cs="Times New Roman"/>
                <w:b/>
                <w:color w:val="auto"/>
                <w:kern w:val="2"/>
                <w:sz w:val="24"/>
                <w:szCs w:val="24"/>
                <w:lang w:val="en-US" w:eastAsia="zh-CN" w:bidi="ar-SA"/>
              </w:rPr>
              <w:t>室外声源工业企业噪声源调查清单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023"/>
              <w:gridCol w:w="922"/>
              <w:gridCol w:w="869"/>
              <w:gridCol w:w="777"/>
              <w:gridCol w:w="777"/>
              <w:gridCol w:w="1745"/>
              <w:gridCol w:w="1185"/>
              <w:gridCol w:w="1001"/>
            </w:tblGrid>
            <w:tr w14:paraId="1FAC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Merge w:val="restart"/>
                  <w:noWrap w:val="0"/>
                  <w:vAlign w:val="center"/>
                </w:tcPr>
                <w:p w14:paraId="3397CCD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81" w:type="pct"/>
                  <w:vMerge w:val="restart"/>
                  <w:noWrap w:val="0"/>
                  <w:vAlign w:val="center"/>
                </w:tcPr>
                <w:p w14:paraId="513014A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声源名称</w:t>
                  </w:r>
                </w:p>
              </w:tc>
              <w:tc>
                <w:tcPr>
                  <w:tcW w:w="523" w:type="pct"/>
                  <w:vMerge w:val="restart"/>
                  <w:noWrap w:val="0"/>
                  <w:vAlign w:val="center"/>
                </w:tcPr>
                <w:p w14:paraId="57002173">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型号</w:t>
                  </w:r>
                </w:p>
              </w:tc>
              <w:tc>
                <w:tcPr>
                  <w:tcW w:w="1376" w:type="pct"/>
                  <w:gridSpan w:val="3"/>
                  <w:noWrap w:val="0"/>
                  <w:vAlign w:val="center"/>
                </w:tcPr>
                <w:p w14:paraId="4B60D07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空间相对位置/m坐标</w:t>
                  </w:r>
                </w:p>
              </w:tc>
              <w:tc>
                <w:tcPr>
                  <w:tcW w:w="991" w:type="pct"/>
                  <w:noWrap w:val="0"/>
                  <w:vAlign w:val="center"/>
                </w:tcPr>
                <w:p w14:paraId="3DB87BD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声源强</w:t>
                  </w:r>
                </w:p>
              </w:tc>
              <w:tc>
                <w:tcPr>
                  <w:tcW w:w="673" w:type="pct"/>
                  <w:vMerge w:val="restart"/>
                  <w:noWrap w:val="0"/>
                  <w:vAlign w:val="center"/>
                </w:tcPr>
                <w:p w14:paraId="2D3D2AC9">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声源控制措施</w:t>
                  </w:r>
                </w:p>
              </w:tc>
              <w:tc>
                <w:tcPr>
                  <w:tcW w:w="568" w:type="pct"/>
                  <w:vMerge w:val="restart"/>
                  <w:noWrap w:val="0"/>
                  <w:vAlign w:val="center"/>
                </w:tcPr>
                <w:p w14:paraId="2D9AB6B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运行时段</w:t>
                  </w:r>
                </w:p>
              </w:tc>
            </w:tr>
            <w:tr w14:paraId="0D37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Merge w:val="continue"/>
                  <w:noWrap w:val="0"/>
                  <w:vAlign w:val="center"/>
                </w:tcPr>
                <w:p w14:paraId="3CD49D9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581" w:type="pct"/>
                  <w:vMerge w:val="continue"/>
                  <w:noWrap w:val="0"/>
                  <w:vAlign w:val="center"/>
                </w:tcPr>
                <w:p w14:paraId="4596799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523" w:type="pct"/>
                  <w:vMerge w:val="continue"/>
                  <w:noWrap w:val="0"/>
                  <w:vAlign w:val="center"/>
                </w:tcPr>
                <w:p w14:paraId="0AE9F2D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493" w:type="pct"/>
                  <w:noWrap w:val="0"/>
                  <w:vAlign w:val="center"/>
                </w:tcPr>
                <w:p w14:paraId="63A1E14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441" w:type="pct"/>
                  <w:noWrap w:val="0"/>
                  <w:vAlign w:val="center"/>
                </w:tcPr>
                <w:p w14:paraId="61A26F3B">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441" w:type="pct"/>
                  <w:noWrap w:val="0"/>
                  <w:vAlign w:val="center"/>
                </w:tcPr>
                <w:p w14:paraId="17A1EE7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Z</w:t>
                  </w:r>
                </w:p>
              </w:tc>
              <w:tc>
                <w:tcPr>
                  <w:tcW w:w="991" w:type="pct"/>
                  <w:noWrap w:val="0"/>
                  <w:vAlign w:val="center"/>
                </w:tcPr>
                <w:p w14:paraId="29990B5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声功率级/dB(A)</w:t>
                  </w:r>
                </w:p>
              </w:tc>
              <w:tc>
                <w:tcPr>
                  <w:tcW w:w="673" w:type="pct"/>
                  <w:vMerge w:val="continue"/>
                  <w:noWrap w:val="0"/>
                  <w:vAlign w:val="center"/>
                </w:tcPr>
                <w:p w14:paraId="455F232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c>
                <w:tcPr>
                  <w:tcW w:w="568" w:type="pct"/>
                  <w:vMerge w:val="continue"/>
                  <w:noWrap w:val="0"/>
                  <w:vAlign w:val="center"/>
                </w:tcPr>
                <w:p w14:paraId="18839C5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p>
              </w:tc>
            </w:tr>
            <w:tr w14:paraId="19E8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noWrap w:val="0"/>
                  <w:vAlign w:val="center"/>
                </w:tcPr>
                <w:p w14:paraId="6329389D">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81" w:type="pct"/>
                  <w:noWrap w:val="0"/>
                  <w:vAlign w:val="center"/>
                </w:tcPr>
                <w:p w14:paraId="0F2E0085">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风机</w:t>
                  </w:r>
                </w:p>
              </w:tc>
              <w:tc>
                <w:tcPr>
                  <w:tcW w:w="523" w:type="pct"/>
                  <w:noWrap w:val="0"/>
                  <w:vAlign w:val="center"/>
                </w:tcPr>
                <w:p w14:paraId="7FBE94B4">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3" w:type="pct"/>
                  <w:noWrap w:val="0"/>
                  <w:vAlign w:val="center"/>
                </w:tcPr>
                <w:p w14:paraId="137D6131">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441" w:type="pct"/>
                  <w:noWrap w:val="0"/>
                  <w:vAlign w:val="center"/>
                </w:tcPr>
                <w:p w14:paraId="3E3E833E">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41" w:type="pct"/>
                  <w:noWrap w:val="0"/>
                  <w:vAlign w:val="center"/>
                </w:tcPr>
                <w:p w14:paraId="791F7052">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91" w:type="pct"/>
                  <w:noWrap w:val="0"/>
                  <w:vAlign w:val="center"/>
                </w:tcPr>
                <w:p w14:paraId="2D292CD7">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90</w:t>
                  </w:r>
                </w:p>
              </w:tc>
              <w:tc>
                <w:tcPr>
                  <w:tcW w:w="673" w:type="pct"/>
                  <w:noWrap w:val="0"/>
                  <w:vAlign w:val="center"/>
                </w:tcPr>
                <w:p w14:paraId="3F5980A6">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隔声、减振</w:t>
                  </w:r>
                </w:p>
              </w:tc>
              <w:tc>
                <w:tcPr>
                  <w:tcW w:w="568" w:type="pct"/>
                  <w:noWrap w:val="0"/>
                  <w:vAlign w:val="center"/>
                </w:tcPr>
                <w:p w14:paraId="5E68341F">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r>
                    <w:rPr>
                      <w:rFonts w:hint="eastAsia" w:cs="Times New Roman"/>
                      <w:color w:val="auto"/>
                      <w:sz w:val="21"/>
                      <w:szCs w:val="21"/>
                      <w:lang w:eastAsia="zh-CN"/>
                    </w:rPr>
                    <w:t>连续</w:t>
                  </w:r>
                  <w:r>
                    <w:rPr>
                      <w:rFonts w:hint="default" w:ascii="Times New Roman" w:hAnsi="Times New Roman" w:eastAsia="宋体" w:cs="Times New Roman"/>
                      <w:color w:val="auto"/>
                      <w:sz w:val="21"/>
                      <w:szCs w:val="21"/>
                    </w:rPr>
                    <w:t>运行</w:t>
                  </w:r>
                </w:p>
              </w:tc>
            </w:tr>
          </w:tbl>
          <w:p w14:paraId="5E6B4BD2">
            <w:pPr>
              <w:pStyle w:val="17"/>
              <w:keepNext w:val="0"/>
              <w:keepLines w:val="0"/>
              <w:pageBreakBefore w:val="0"/>
              <w:widowControl w:val="0"/>
              <w:kinsoku/>
              <w:wordWrap/>
              <w:overflowPunct/>
              <w:topLinePunct/>
              <w:autoSpaceDE/>
              <w:autoSpaceDN/>
              <w:bidi w:val="0"/>
              <w:adjustRightInd/>
              <w:snapToGrid/>
              <w:spacing w:beforeAutospacing="0" w:after="0" w:afterAutospacing="0" w:line="360" w:lineRule="auto"/>
              <w:ind w:left="0" w:leftChars="0" w:right="0" w:rightChars="0" w:firstLine="422" w:firstLineChars="200"/>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注：以厂区西南角为原点，东西向为X轴，南北向为Y轴建立坐标系。</w:t>
            </w:r>
          </w:p>
          <w:p w14:paraId="65E32254">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firstLineChars="200"/>
              <w:rPr>
                <w:rFonts w:hint="default" w:ascii="Times New Roman" w:hAnsi="Times New Roman" w:eastAsia="宋体" w:cs="Times New Roman"/>
                <w:b/>
                <w:bCs/>
                <w:color w:val="auto"/>
                <w:kern w:val="24"/>
                <w:sz w:val="24"/>
                <w:szCs w:val="24"/>
              </w:rPr>
            </w:pPr>
            <w:r>
              <w:rPr>
                <w:rFonts w:hint="default" w:ascii="Times New Roman" w:hAnsi="Times New Roman" w:eastAsia="宋体" w:cs="Times New Roman"/>
                <w:b/>
                <w:bCs/>
                <w:color w:val="auto"/>
                <w:kern w:val="24"/>
                <w:sz w:val="24"/>
                <w:szCs w:val="24"/>
              </w:rPr>
              <w:t>2、厂界噪声达标预测</w:t>
            </w:r>
          </w:p>
          <w:p w14:paraId="4A2EFC1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根据工程分析提供的噪声源参数，采用《环境影响评价技术导则声环境》（HJ2.4-2021）规定的声级计算公式进行影响预测。</w:t>
            </w:r>
          </w:p>
          <w:p w14:paraId="14CCFEB4">
            <w:pPr>
              <w:widowControl/>
              <w:wordWrap w:val="0"/>
              <w:adjustRightInd w:val="0"/>
              <w:snapToGrid w:val="0"/>
              <w:spacing w:after="0" w:line="460" w:lineRule="exact"/>
              <w:ind w:firstLine="480" w:firstLineChars="200"/>
              <w:rPr>
                <w:color w:val="auto"/>
                <w:lang w:bidi="en-US"/>
              </w:rPr>
            </w:pPr>
            <w:r>
              <w:rPr>
                <w:rFonts w:hint="eastAsia"/>
                <w:color w:val="auto"/>
                <w:lang w:bidi="en-US"/>
              </w:rPr>
              <w:t>（1）</w:t>
            </w:r>
            <w:r>
              <w:rPr>
                <w:color w:val="auto"/>
                <w:lang w:bidi="en-US"/>
              </w:rPr>
              <w:t>室内声源等效室外声源声功率级计算方法</w:t>
            </w:r>
          </w:p>
          <w:p w14:paraId="2ED6C0C0">
            <w:pPr>
              <w:widowControl/>
              <w:wordWrap w:val="0"/>
              <w:adjustRightInd w:val="0"/>
              <w:snapToGrid w:val="0"/>
              <w:spacing w:after="0" w:line="460" w:lineRule="exact"/>
              <w:ind w:firstLine="480" w:firstLineChars="200"/>
              <w:rPr>
                <w:color w:val="auto"/>
                <w:lang w:bidi="en-US"/>
              </w:rPr>
            </w:pPr>
            <w:r>
              <w:rPr>
                <w:color w:val="auto"/>
                <w:lang w:bidi="en-US"/>
              </w:rPr>
              <w:t>如图</w:t>
            </w:r>
            <w:r>
              <w:rPr>
                <w:rFonts w:hint="eastAsia"/>
                <w:color w:val="auto"/>
                <w:lang w:val="en-US" w:eastAsia="zh-CN" w:bidi="en-US"/>
              </w:rPr>
              <w:t>4.3-</w:t>
            </w:r>
            <w:r>
              <w:rPr>
                <w:color w:val="auto"/>
                <w:lang w:bidi="en-US"/>
              </w:rPr>
              <w:t>1所示，声源位于室内，室内声源可采用等效室外声源声功率级法进行计算。设靠近开口处（或窗户）室内、室外某倍频带的声压级分别为Lp1和Lp2。若声源所在室内声场为近似扩散声场，式4-1计算某一室内声源靠近围护结构处产生的倍频带声压级：</w:t>
            </w:r>
          </w:p>
          <w:p w14:paraId="7487DF0D">
            <w:pPr>
              <w:autoSpaceDE w:val="0"/>
              <w:autoSpaceDN w:val="0"/>
              <w:adjustRightInd w:val="0"/>
              <w:spacing w:after="0" w:line="360" w:lineRule="auto"/>
              <w:ind w:firstLine="2"/>
              <w:jc w:val="center"/>
              <w:rPr>
                <w:rFonts w:ascii="Calibri" w:hAnsi="Calibri"/>
                <w:color w:val="auto"/>
                <w:kern w:val="2"/>
                <w:sz w:val="21"/>
                <w:szCs w:val="21"/>
              </w:rPr>
            </w:pPr>
            <w:r>
              <w:rPr>
                <w:rFonts w:ascii="Calibri" w:hAnsi="Calibri"/>
                <w:color w:val="auto"/>
                <w:kern w:val="2"/>
                <w:sz w:val="21"/>
                <w:szCs w:val="21"/>
              </w:rPr>
              <w:drawing>
                <wp:inline distT="0" distB="0" distL="0" distR="0">
                  <wp:extent cx="2671445" cy="1209040"/>
                  <wp:effectExtent l="0" t="0" r="14605" b="1016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noChangeArrowheads="1"/>
                          </pic:cNvPicPr>
                        </pic:nvPicPr>
                        <pic:blipFill>
                          <a:blip r:embed="rId19">
                            <a:extLst>
                              <a:ext uri="{28A0092B-C50C-407E-A947-70E740481C1C}">
                                <a14:useLocalDpi xmlns:a14="http://schemas.microsoft.com/office/drawing/2010/main" val="0"/>
                              </a:ext>
                            </a:extLst>
                          </a:blip>
                          <a:srcRect t="7907" b="6047"/>
                          <a:stretch>
                            <a:fillRect/>
                          </a:stretch>
                        </pic:blipFill>
                        <pic:spPr>
                          <a:xfrm>
                            <a:off x="0" y="0"/>
                            <a:ext cx="2746900" cy="1243635"/>
                          </a:xfrm>
                          <a:prstGeom prst="rect">
                            <a:avLst/>
                          </a:prstGeom>
                          <a:noFill/>
                          <a:ln>
                            <a:noFill/>
                          </a:ln>
                        </pic:spPr>
                      </pic:pic>
                    </a:graphicData>
                  </a:graphic>
                </wp:inline>
              </w:drawing>
            </w:r>
          </w:p>
          <w:p w14:paraId="0982A3F9">
            <w:pPr>
              <w:bidi w:val="0"/>
              <w:jc w:val="center"/>
              <w:rPr>
                <w:color w:val="auto"/>
              </w:rPr>
            </w:pPr>
            <w:r>
              <w:rPr>
                <w:b/>
                <w:color w:val="auto"/>
                <w:sz w:val="24"/>
                <w:szCs w:val="24"/>
              </w:rPr>
              <w:t>图</w:t>
            </w:r>
            <w:r>
              <w:rPr>
                <w:rFonts w:hint="eastAsia"/>
                <w:b/>
                <w:color w:val="auto"/>
                <w:sz w:val="24"/>
                <w:szCs w:val="24"/>
                <w:lang w:val="en-US" w:eastAsia="zh-CN"/>
              </w:rPr>
              <w:t xml:space="preserve">B.1 </w:t>
            </w:r>
            <w:r>
              <w:rPr>
                <w:b/>
                <w:color w:val="auto"/>
                <w:sz w:val="24"/>
                <w:szCs w:val="24"/>
              </w:rPr>
              <w:t xml:space="preserve"> 室内声源等效为室外声源图</w:t>
            </w:r>
            <w:r>
              <w:rPr>
                <w:rFonts w:ascii="Calibri" w:hAnsi="Calibri"/>
                <w:b/>
                <w:bCs/>
                <w:color w:val="auto"/>
                <w:kern w:val="2"/>
                <w:sz w:val="24"/>
                <w:szCs w:val="24"/>
              </w:rPr>
              <w:t>例</w:t>
            </w:r>
          </w:p>
          <w:p w14:paraId="063C331E">
            <w:pPr>
              <w:bidi w:val="0"/>
              <w:jc w:val="center"/>
              <w:rPr>
                <w:rFonts w:ascii="Calibri" w:hAnsi="Calibri"/>
                <w:bCs/>
                <w:color w:val="auto"/>
                <w:kern w:val="2"/>
                <w:sz w:val="21"/>
                <w:szCs w:val="21"/>
              </w:rPr>
            </w:pPr>
            <w:r>
              <w:rPr>
                <w:b/>
                <w:color w:val="auto"/>
                <w:sz w:val="24"/>
                <w:szCs w:val="24"/>
              </w:rPr>
              <w:drawing>
                <wp:inline distT="0" distB="0" distL="114300" distR="114300">
                  <wp:extent cx="1716405" cy="431800"/>
                  <wp:effectExtent l="0" t="0" r="17145"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16405" cy="431800"/>
                          </a:xfrm>
                          <a:prstGeom prst="rect">
                            <a:avLst/>
                          </a:prstGeom>
                          <a:noFill/>
                        </pic:spPr>
                      </pic:pic>
                    </a:graphicData>
                  </a:graphic>
                </wp:inline>
              </w:drawing>
            </w:r>
            <w:r>
              <w:rPr>
                <w:rFonts w:ascii="Calibri" w:hAnsi="Calibri"/>
                <w:bCs/>
                <w:iCs/>
                <w:color w:val="auto"/>
                <w:kern w:val="2"/>
                <w:sz w:val="21"/>
                <w:szCs w:val="21"/>
              </w:rPr>
              <w:t xml:space="preserve">    </w:t>
            </w:r>
            <w:r>
              <w:rPr>
                <w:rFonts w:ascii="Calibri" w:hAnsi="Calibri"/>
                <w:bCs/>
                <w:color w:val="auto"/>
                <w:kern w:val="2"/>
                <w:sz w:val="21"/>
                <w:szCs w:val="21"/>
              </w:rPr>
              <w:t>（式4-1）</w:t>
            </w:r>
          </w:p>
          <w:p w14:paraId="50D1F995">
            <w:pPr>
              <w:widowControl/>
              <w:adjustRightInd w:val="0"/>
              <w:snapToGrid w:val="0"/>
              <w:spacing w:after="0" w:line="460" w:lineRule="exact"/>
              <w:ind w:firstLine="480" w:firstLineChars="200"/>
              <w:rPr>
                <w:bCs/>
                <w:color w:val="auto"/>
                <w:shd w:val="clear" w:color="auto" w:fill="FFFFFF"/>
                <w:lang w:bidi="en-US"/>
              </w:rPr>
            </w:pPr>
            <w:r>
              <w:rPr>
                <w:bCs/>
                <w:color w:val="auto"/>
                <w:shd w:val="clear" w:color="auto" w:fill="FFFFFF"/>
                <w:lang w:bidi="en-US"/>
              </w:rPr>
              <w:t>式中：</w:t>
            </w:r>
          </w:p>
          <w:p w14:paraId="1FB6F8E9">
            <w:pPr>
              <w:widowControl/>
              <w:adjustRightInd w:val="0"/>
              <w:snapToGrid w:val="0"/>
              <w:spacing w:after="0" w:line="460" w:lineRule="exact"/>
              <w:ind w:firstLine="480" w:firstLineChars="200"/>
              <w:rPr>
                <w:bCs/>
                <w:color w:val="auto"/>
                <w:shd w:val="clear" w:color="auto" w:fill="FFFFFF"/>
                <w:lang w:bidi="en-US"/>
              </w:rPr>
            </w:pPr>
            <w:r>
              <w:rPr>
                <w:bCs/>
                <w:i/>
                <w:iCs/>
                <w:color w:val="auto"/>
                <w:shd w:val="clear" w:color="auto" w:fill="FFFFFF"/>
                <w:lang w:bidi="en-US"/>
              </w:rPr>
              <w:t>L</w:t>
            </w:r>
            <w:r>
              <w:rPr>
                <w:bCs/>
                <w:i/>
                <w:iCs/>
                <w:color w:val="auto"/>
                <w:shd w:val="clear" w:color="auto" w:fill="FFFFFF"/>
                <w:vertAlign w:val="subscript"/>
                <w:lang w:bidi="en-US"/>
              </w:rPr>
              <w:t>p1</w:t>
            </w:r>
            <w:r>
              <w:rPr>
                <w:bCs/>
                <w:color w:val="auto"/>
                <w:shd w:val="clear" w:color="auto" w:fill="FFFFFF"/>
                <w:lang w:bidi="en-US"/>
              </w:rPr>
              <w:t xml:space="preserve">—靠近开口处（或窗户）室内某倍频带的声压级或A声级，dB； </w:t>
            </w:r>
          </w:p>
          <w:p w14:paraId="6E4EC6E0">
            <w:pPr>
              <w:widowControl/>
              <w:adjustRightInd w:val="0"/>
              <w:snapToGrid w:val="0"/>
              <w:spacing w:after="0" w:line="460" w:lineRule="exact"/>
              <w:ind w:firstLine="480" w:firstLineChars="200"/>
              <w:rPr>
                <w:bCs/>
                <w:color w:val="auto"/>
                <w:shd w:val="clear" w:color="auto" w:fill="FFFFFF"/>
                <w:lang w:bidi="en-US"/>
              </w:rPr>
            </w:pPr>
            <w:r>
              <w:rPr>
                <w:bCs/>
                <w:i/>
                <w:iCs/>
                <w:color w:val="auto"/>
                <w:shd w:val="clear" w:color="auto" w:fill="FFFFFF"/>
                <w:lang w:bidi="en-US"/>
              </w:rPr>
              <w:t>L</w:t>
            </w:r>
            <w:r>
              <w:rPr>
                <w:bCs/>
                <w:i/>
                <w:iCs/>
                <w:color w:val="auto"/>
                <w:shd w:val="clear" w:color="auto" w:fill="FFFFFF"/>
                <w:vertAlign w:val="subscript"/>
                <w:lang w:bidi="en-US"/>
              </w:rPr>
              <w:t>w</w:t>
            </w:r>
            <w:r>
              <w:rPr>
                <w:bCs/>
                <w:color w:val="auto"/>
                <w:shd w:val="clear" w:color="auto" w:fill="FFFFFF"/>
                <w:lang w:bidi="en-US"/>
              </w:rPr>
              <w:t>—点声源声功率级（A计权或倍频带），dB；</w:t>
            </w:r>
          </w:p>
          <w:p w14:paraId="67989BE3">
            <w:pPr>
              <w:widowControl/>
              <w:adjustRightInd w:val="0"/>
              <w:snapToGrid w:val="0"/>
              <w:spacing w:after="0" w:line="460" w:lineRule="exact"/>
              <w:ind w:firstLine="480" w:firstLineChars="200"/>
              <w:rPr>
                <w:bCs/>
                <w:color w:val="auto"/>
                <w:shd w:val="clear" w:color="auto" w:fill="FFFFFF"/>
                <w:lang w:bidi="en-US"/>
              </w:rPr>
            </w:pPr>
            <w:r>
              <w:rPr>
                <w:bCs/>
                <w:i/>
                <w:iCs/>
                <w:color w:val="auto"/>
                <w:shd w:val="clear" w:color="auto" w:fill="FFFFFF"/>
                <w:lang w:bidi="en-US"/>
              </w:rPr>
              <w:t>Q</w:t>
            </w:r>
            <w:r>
              <w:rPr>
                <w:bCs/>
                <w:color w:val="auto"/>
                <w:shd w:val="clear" w:color="auto" w:fill="FFFFFF"/>
                <w:lang w:bidi="en-US"/>
              </w:rPr>
              <w:t xml:space="preserve"> —指向性因数：通常对无指向性声源，当声源放在房间中心时，</w:t>
            </w:r>
            <w:r>
              <w:rPr>
                <w:bCs/>
                <w:i/>
                <w:iCs/>
                <w:color w:val="auto"/>
                <w:shd w:val="clear" w:color="auto" w:fill="FFFFFF"/>
                <w:lang w:bidi="en-US"/>
              </w:rPr>
              <w:t>Q</w:t>
            </w:r>
            <w:r>
              <w:rPr>
                <w:bCs/>
                <w:color w:val="auto"/>
                <w:shd w:val="clear" w:color="auto" w:fill="FFFFFF"/>
                <w:lang w:bidi="en-US"/>
              </w:rPr>
              <w:t>=1；当放在一面墙的中心时，</w:t>
            </w:r>
            <w:r>
              <w:rPr>
                <w:bCs/>
                <w:i/>
                <w:iCs/>
                <w:color w:val="auto"/>
                <w:shd w:val="clear" w:color="auto" w:fill="FFFFFF"/>
                <w:lang w:bidi="en-US"/>
              </w:rPr>
              <w:t>Q</w:t>
            </w:r>
            <w:r>
              <w:rPr>
                <w:bCs/>
                <w:color w:val="auto"/>
                <w:shd w:val="clear" w:color="auto" w:fill="FFFFFF"/>
                <w:lang w:bidi="en-US"/>
              </w:rPr>
              <w:t>=2；当放在两面墙夹角处时，</w:t>
            </w:r>
            <w:r>
              <w:rPr>
                <w:bCs/>
                <w:i/>
                <w:iCs/>
                <w:color w:val="auto"/>
                <w:shd w:val="clear" w:color="auto" w:fill="FFFFFF"/>
                <w:lang w:bidi="en-US"/>
              </w:rPr>
              <w:t>Q</w:t>
            </w:r>
            <w:r>
              <w:rPr>
                <w:bCs/>
                <w:color w:val="auto"/>
                <w:shd w:val="clear" w:color="auto" w:fill="FFFFFF"/>
                <w:lang w:bidi="en-US"/>
              </w:rPr>
              <w:t>=4；当放在三面墙夹角处时，</w:t>
            </w:r>
            <w:r>
              <w:rPr>
                <w:bCs/>
                <w:i/>
                <w:iCs/>
                <w:color w:val="auto"/>
                <w:shd w:val="clear" w:color="auto" w:fill="FFFFFF"/>
                <w:lang w:bidi="en-US"/>
              </w:rPr>
              <w:t>Q</w:t>
            </w:r>
            <w:r>
              <w:rPr>
                <w:bCs/>
                <w:color w:val="auto"/>
                <w:shd w:val="clear" w:color="auto" w:fill="FFFFFF"/>
                <w:lang w:bidi="en-US"/>
              </w:rPr>
              <w:t>=8。</w:t>
            </w:r>
          </w:p>
          <w:p w14:paraId="3EEA6119">
            <w:pPr>
              <w:widowControl/>
              <w:adjustRightInd w:val="0"/>
              <w:snapToGrid w:val="0"/>
              <w:spacing w:after="0" w:line="460" w:lineRule="exact"/>
              <w:ind w:firstLine="480" w:firstLineChars="200"/>
              <w:rPr>
                <w:bCs/>
                <w:color w:val="auto"/>
                <w:shd w:val="clear" w:color="auto" w:fill="FFFFFF"/>
                <w:lang w:bidi="en-US"/>
              </w:rPr>
            </w:pPr>
            <w:r>
              <w:rPr>
                <w:bCs/>
                <w:i/>
                <w:iCs/>
                <w:color w:val="auto"/>
                <w:shd w:val="clear" w:color="auto" w:fill="FFFFFF"/>
                <w:lang w:bidi="en-US"/>
              </w:rPr>
              <w:t>R</w:t>
            </w:r>
            <w:r>
              <w:rPr>
                <w:bCs/>
                <w:color w:val="auto"/>
                <w:shd w:val="clear" w:color="auto" w:fill="FFFFFF"/>
                <w:lang w:bidi="en-US"/>
              </w:rPr>
              <w:t>—房间常数：</w:t>
            </w:r>
            <w:r>
              <w:rPr>
                <w:bCs/>
                <w:i/>
                <w:iCs/>
                <w:color w:val="auto"/>
                <w:shd w:val="clear" w:color="auto" w:fill="FFFFFF"/>
                <w:lang w:bidi="en-US"/>
              </w:rPr>
              <w:t>R=Sα/(1−α)</w:t>
            </w:r>
            <w:r>
              <w:rPr>
                <w:bCs/>
                <w:color w:val="auto"/>
                <w:shd w:val="clear" w:color="auto" w:fill="FFFFFF"/>
                <w:lang w:bidi="en-US"/>
              </w:rPr>
              <w:t>，</w:t>
            </w:r>
            <w:r>
              <w:rPr>
                <w:bCs/>
                <w:i/>
                <w:iCs/>
                <w:color w:val="auto"/>
                <w:shd w:val="clear" w:color="auto" w:fill="FFFFFF"/>
                <w:lang w:bidi="en-US"/>
              </w:rPr>
              <w:t>S</w:t>
            </w:r>
            <w:r>
              <w:rPr>
                <w:bCs/>
                <w:color w:val="auto"/>
                <w:shd w:val="clear" w:color="auto" w:fill="FFFFFF"/>
                <w:lang w:bidi="en-US"/>
              </w:rPr>
              <w:t>为房间内表面面积，m</w:t>
            </w:r>
            <w:r>
              <w:rPr>
                <w:bCs/>
                <w:color w:val="auto"/>
                <w:shd w:val="clear" w:color="auto" w:fill="FFFFFF"/>
                <w:vertAlign w:val="superscript"/>
                <w:lang w:bidi="en-US"/>
              </w:rPr>
              <w:t>2</w:t>
            </w:r>
            <w:r>
              <w:rPr>
                <w:bCs/>
                <w:color w:val="auto"/>
                <w:shd w:val="clear" w:color="auto" w:fill="FFFFFF"/>
                <w:lang w:bidi="en-US"/>
              </w:rPr>
              <w:t>；</w:t>
            </w:r>
            <w:r>
              <w:rPr>
                <w:bCs/>
                <w:i/>
                <w:iCs/>
                <w:color w:val="auto"/>
                <w:shd w:val="clear" w:color="auto" w:fill="FFFFFF"/>
                <w:lang w:bidi="en-US"/>
              </w:rPr>
              <w:t>α</w:t>
            </w:r>
            <w:r>
              <w:rPr>
                <w:bCs/>
                <w:color w:val="auto"/>
                <w:shd w:val="clear" w:color="auto" w:fill="FFFFFF"/>
                <w:lang w:bidi="en-US"/>
              </w:rPr>
              <w:t>为平均吸声系数。</w:t>
            </w:r>
          </w:p>
          <w:p w14:paraId="4774D08D">
            <w:pPr>
              <w:widowControl/>
              <w:adjustRightInd w:val="0"/>
              <w:snapToGrid w:val="0"/>
              <w:spacing w:after="0" w:line="460" w:lineRule="exact"/>
              <w:ind w:firstLine="480" w:firstLineChars="200"/>
              <w:rPr>
                <w:bCs/>
                <w:color w:val="auto"/>
                <w:shd w:val="clear" w:color="auto" w:fill="FFFFFF"/>
                <w:lang w:bidi="en-US"/>
              </w:rPr>
            </w:pPr>
            <w:r>
              <w:rPr>
                <w:bCs/>
                <w:i/>
                <w:iCs/>
                <w:color w:val="auto"/>
                <w:shd w:val="clear" w:color="auto" w:fill="FFFFFF"/>
                <w:lang w:bidi="en-US"/>
              </w:rPr>
              <w:t>r</w:t>
            </w:r>
            <w:r>
              <w:rPr>
                <w:bCs/>
                <w:color w:val="auto"/>
                <w:shd w:val="clear" w:color="auto" w:fill="FFFFFF"/>
                <w:lang w:bidi="en-US"/>
              </w:rPr>
              <w:t>—声源到靠近围护结构某点处的距离，m。</w:t>
            </w:r>
          </w:p>
          <w:p w14:paraId="720AF776">
            <w:pPr>
              <w:widowControl/>
              <w:adjustRightInd w:val="0"/>
              <w:snapToGrid w:val="0"/>
              <w:spacing w:after="0" w:line="460" w:lineRule="exact"/>
              <w:ind w:firstLine="480" w:firstLineChars="200"/>
              <w:rPr>
                <w:bCs/>
                <w:color w:val="auto"/>
                <w:shd w:val="clear" w:color="auto" w:fill="FFFFFF"/>
                <w:lang w:bidi="en-US"/>
              </w:rPr>
            </w:pPr>
            <w:r>
              <w:rPr>
                <w:bCs/>
                <w:color w:val="auto"/>
                <w:position w:val="-32"/>
                <w:shd w:val="clear" w:color="auto" w:fill="FFFFFF"/>
              </w:rPr>
              <w:drawing>
                <wp:anchor distT="0" distB="0" distL="114300" distR="114300" simplePos="0" relativeHeight="251667456" behindDoc="0" locked="0" layoutInCell="1" allowOverlap="1">
                  <wp:simplePos x="0" y="0"/>
                  <wp:positionH relativeFrom="column">
                    <wp:posOffset>1880870</wp:posOffset>
                  </wp:positionH>
                  <wp:positionV relativeFrom="paragraph">
                    <wp:posOffset>276860</wp:posOffset>
                  </wp:positionV>
                  <wp:extent cx="1487170" cy="482600"/>
                  <wp:effectExtent l="0" t="0" r="17780" b="1333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87170" cy="482600"/>
                          </a:xfrm>
                          <a:prstGeom prst="rect">
                            <a:avLst/>
                          </a:prstGeom>
                          <a:noFill/>
                        </pic:spPr>
                      </pic:pic>
                    </a:graphicData>
                  </a:graphic>
                </wp:anchor>
              </w:drawing>
            </w:r>
            <w:r>
              <w:rPr>
                <w:bCs/>
                <w:color w:val="auto"/>
                <w:shd w:val="clear" w:color="auto" w:fill="FFFFFF"/>
                <w:lang w:bidi="en-US"/>
              </w:rPr>
              <w:t>然后按式4-2计算出所有室内声源在围护结构处产生的i倍频带叠加声压级：</w:t>
            </w:r>
          </w:p>
          <w:p w14:paraId="3F0025FD">
            <w:pPr>
              <w:widowControl/>
              <w:adjustRightInd w:val="0"/>
              <w:snapToGrid w:val="0"/>
              <w:spacing w:after="0" w:line="460" w:lineRule="exact"/>
              <w:ind w:firstLine="480" w:firstLineChars="200"/>
              <w:rPr>
                <w:bCs/>
                <w:color w:val="auto"/>
                <w:lang w:bidi="en-US"/>
              </w:rPr>
            </w:pPr>
            <w:r>
              <w:rPr>
                <w:bCs/>
                <w:color w:val="auto"/>
                <w:lang w:bidi="en-US"/>
              </w:rPr>
              <w:t xml:space="preserve">                                                       （式4-2）</w:t>
            </w:r>
          </w:p>
          <w:p w14:paraId="1DF89807">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式中：</w:t>
            </w:r>
          </w:p>
          <w:p w14:paraId="6507A92F">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P1i</w:t>
            </w:r>
            <w:r>
              <w:rPr>
                <w:bCs/>
                <w:i/>
                <w:iCs/>
                <w:color w:val="auto"/>
                <w:szCs w:val="24"/>
                <w:shd w:val="clear" w:color="auto" w:fill="FFFFFF"/>
                <w:lang w:bidi="en-US"/>
              </w:rPr>
              <w:t>(T)</w:t>
            </w:r>
            <w:r>
              <w:rPr>
                <w:bCs/>
                <w:color w:val="auto"/>
                <w:szCs w:val="24"/>
                <w:shd w:val="clear" w:color="auto" w:fill="FFFFFF"/>
                <w:lang w:bidi="en-US"/>
              </w:rPr>
              <w:t>—靠近围护结构处室内</w:t>
            </w:r>
            <w:r>
              <w:rPr>
                <w:bCs/>
                <w:i/>
                <w:iCs/>
                <w:color w:val="auto"/>
                <w:szCs w:val="24"/>
                <w:shd w:val="clear" w:color="auto" w:fill="FFFFFF"/>
                <w:lang w:bidi="en-US"/>
              </w:rPr>
              <w:t>N</w:t>
            </w:r>
            <w:r>
              <w:rPr>
                <w:bCs/>
                <w:color w:val="auto"/>
                <w:szCs w:val="24"/>
                <w:shd w:val="clear" w:color="auto" w:fill="FFFFFF"/>
                <w:lang w:bidi="en-US"/>
              </w:rPr>
              <w:t>个声源</w:t>
            </w:r>
            <w:r>
              <w:rPr>
                <w:bCs/>
                <w:i/>
                <w:iCs/>
                <w:color w:val="auto"/>
                <w:szCs w:val="24"/>
                <w:shd w:val="clear" w:color="auto" w:fill="FFFFFF"/>
                <w:lang w:bidi="en-US"/>
              </w:rPr>
              <w:t>i</w:t>
            </w:r>
            <w:r>
              <w:rPr>
                <w:bCs/>
                <w:color w:val="auto"/>
                <w:szCs w:val="24"/>
                <w:shd w:val="clear" w:color="auto" w:fill="FFFFFF"/>
                <w:lang w:bidi="en-US"/>
              </w:rPr>
              <w:t>倍频带的叠加声压级，dB；</w:t>
            </w:r>
          </w:p>
          <w:p w14:paraId="1041DD62">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P1ij</w:t>
            </w:r>
            <w:r>
              <w:rPr>
                <w:bCs/>
                <w:color w:val="auto"/>
                <w:szCs w:val="24"/>
                <w:shd w:val="clear" w:color="auto" w:fill="FFFFFF"/>
                <w:lang w:bidi="en-US"/>
              </w:rPr>
              <w:t>—室内</w:t>
            </w:r>
            <w:r>
              <w:rPr>
                <w:bCs/>
                <w:i/>
                <w:iCs/>
                <w:color w:val="auto"/>
                <w:szCs w:val="24"/>
                <w:shd w:val="clear" w:color="auto" w:fill="FFFFFF"/>
                <w:lang w:bidi="en-US"/>
              </w:rPr>
              <w:t>j</w:t>
            </w:r>
            <w:r>
              <w:rPr>
                <w:bCs/>
                <w:color w:val="auto"/>
                <w:szCs w:val="24"/>
                <w:shd w:val="clear" w:color="auto" w:fill="FFFFFF"/>
                <w:lang w:bidi="en-US"/>
              </w:rPr>
              <w:t>声源</w:t>
            </w:r>
            <w:r>
              <w:rPr>
                <w:bCs/>
                <w:i/>
                <w:iCs/>
                <w:color w:val="auto"/>
                <w:szCs w:val="24"/>
                <w:shd w:val="clear" w:color="auto" w:fill="FFFFFF"/>
                <w:lang w:bidi="en-US"/>
              </w:rPr>
              <w:t>i</w:t>
            </w:r>
            <w:r>
              <w:rPr>
                <w:bCs/>
                <w:color w:val="auto"/>
                <w:szCs w:val="24"/>
                <w:shd w:val="clear" w:color="auto" w:fill="FFFFFF"/>
                <w:lang w:bidi="en-US"/>
              </w:rPr>
              <w:t>倍频带的声压级，dB；</w:t>
            </w:r>
          </w:p>
          <w:p w14:paraId="4A8F70DF">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N</w:t>
            </w:r>
            <w:r>
              <w:rPr>
                <w:bCs/>
                <w:color w:val="auto"/>
                <w:szCs w:val="24"/>
                <w:shd w:val="clear" w:color="auto" w:fill="FFFFFF"/>
                <w:lang w:bidi="en-US"/>
              </w:rPr>
              <w:t>—室内声源总数。</w:t>
            </w:r>
          </w:p>
          <w:p w14:paraId="2AB1B0D7">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在室内近似为扩散声场时，按式4-3计算出靠近室外围护结构处的声压级</w:t>
            </w:r>
            <w:r>
              <w:rPr>
                <w:rFonts w:hint="eastAsia"/>
                <w:bCs/>
                <w:color w:val="auto"/>
                <w:szCs w:val="24"/>
                <w:shd w:val="clear" w:color="auto" w:fill="FFFFFF"/>
                <w:lang w:bidi="en-US"/>
              </w:rPr>
              <w:t>；</w:t>
            </w:r>
          </w:p>
          <w:p w14:paraId="08578489">
            <w:pPr>
              <w:widowControl/>
              <w:adjustRightInd w:val="0"/>
              <w:snapToGrid w:val="0"/>
              <w:spacing w:after="0" w:line="460" w:lineRule="exact"/>
              <w:ind w:firstLine="480" w:firstLineChars="200"/>
              <w:jc w:val="center"/>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P2i</w:t>
            </w:r>
            <w:r>
              <w:rPr>
                <w:bCs/>
                <w:i/>
                <w:iCs/>
                <w:color w:val="auto"/>
                <w:szCs w:val="24"/>
                <w:shd w:val="clear" w:color="auto" w:fill="FFFFFF"/>
                <w:lang w:bidi="en-US"/>
              </w:rPr>
              <w:t>(T)=L</w:t>
            </w:r>
            <w:r>
              <w:rPr>
                <w:bCs/>
                <w:i/>
                <w:iCs/>
                <w:color w:val="auto"/>
                <w:szCs w:val="24"/>
                <w:shd w:val="clear" w:color="auto" w:fill="FFFFFF"/>
                <w:vertAlign w:val="subscript"/>
                <w:lang w:bidi="en-US"/>
              </w:rPr>
              <w:t>P1i</w:t>
            </w:r>
            <w:r>
              <w:rPr>
                <w:bCs/>
                <w:i/>
                <w:iCs/>
                <w:color w:val="auto"/>
                <w:szCs w:val="24"/>
                <w:shd w:val="clear" w:color="auto" w:fill="FFFFFF"/>
                <w:lang w:bidi="en-US"/>
              </w:rPr>
              <w:t>(T)-（T</w:t>
            </w:r>
            <w:r>
              <w:rPr>
                <w:bCs/>
                <w:i/>
                <w:iCs/>
                <w:color w:val="auto"/>
                <w:szCs w:val="24"/>
                <w:shd w:val="clear" w:color="auto" w:fill="FFFFFF"/>
                <w:vertAlign w:val="subscript"/>
                <w:lang w:bidi="en-US"/>
              </w:rPr>
              <w:t>Li</w:t>
            </w:r>
            <w:r>
              <w:rPr>
                <w:bCs/>
                <w:i/>
                <w:iCs/>
                <w:color w:val="auto"/>
                <w:szCs w:val="24"/>
                <w:shd w:val="clear" w:color="auto" w:fill="FFFFFF"/>
                <w:lang w:bidi="en-US"/>
              </w:rPr>
              <w:t>+6）</w:t>
            </w:r>
            <w:r>
              <w:rPr>
                <w:bCs/>
                <w:color w:val="auto"/>
                <w:szCs w:val="24"/>
                <w:shd w:val="clear" w:color="auto" w:fill="FFFFFF"/>
                <w:lang w:bidi="en-US"/>
              </w:rPr>
              <w:t xml:space="preserve">          （式4-3）</w:t>
            </w:r>
          </w:p>
          <w:p w14:paraId="008242AC">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式中：</w:t>
            </w:r>
          </w:p>
          <w:p w14:paraId="4E3E7FEE">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P2i</w:t>
            </w:r>
            <w:r>
              <w:rPr>
                <w:bCs/>
                <w:i/>
                <w:iCs/>
                <w:color w:val="auto"/>
                <w:szCs w:val="24"/>
                <w:shd w:val="clear" w:color="auto" w:fill="FFFFFF"/>
                <w:lang w:bidi="en-US"/>
              </w:rPr>
              <w:t>(T)</w:t>
            </w:r>
            <w:r>
              <w:rPr>
                <w:bCs/>
                <w:color w:val="auto"/>
                <w:szCs w:val="24"/>
                <w:shd w:val="clear" w:color="auto" w:fill="FFFFFF"/>
                <w:lang w:bidi="en-US"/>
              </w:rPr>
              <w:t>—靠近围护结构处室外</w:t>
            </w:r>
            <w:r>
              <w:rPr>
                <w:bCs/>
                <w:i/>
                <w:iCs/>
                <w:color w:val="auto"/>
                <w:szCs w:val="24"/>
                <w:shd w:val="clear" w:color="auto" w:fill="FFFFFF"/>
                <w:lang w:bidi="en-US"/>
              </w:rPr>
              <w:t>N</w:t>
            </w:r>
            <w:r>
              <w:rPr>
                <w:bCs/>
                <w:color w:val="auto"/>
                <w:szCs w:val="24"/>
                <w:shd w:val="clear" w:color="auto" w:fill="FFFFFF"/>
                <w:lang w:bidi="en-US"/>
              </w:rPr>
              <w:t>个声源</w:t>
            </w:r>
            <w:r>
              <w:rPr>
                <w:bCs/>
                <w:i/>
                <w:iCs/>
                <w:color w:val="auto"/>
                <w:szCs w:val="24"/>
                <w:shd w:val="clear" w:color="auto" w:fill="FFFFFF"/>
                <w:lang w:bidi="en-US"/>
              </w:rPr>
              <w:t>i</w:t>
            </w:r>
            <w:r>
              <w:rPr>
                <w:bCs/>
                <w:color w:val="auto"/>
                <w:szCs w:val="24"/>
                <w:shd w:val="clear" w:color="auto" w:fill="FFFFFF"/>
                <w:lang w:bidi="en-US"/>
              </w:rPr>
              <w:t>倍频带的叠加声压级，dB；</w:t>
            </w:r>
          </w:p>
          <w:p w14:paraId="11F6DCF0">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T</w:t>
            </w:r>
            <w:r>
              <w:rPr>
                <w:bCs/>
                <w:i/>
                <w:iCs/>
                <w:color w:val="auto"/>
                <w:szCs w:val="24"/>
                <w:shd w:val="clear" w:color="auto" w:fill="FFFFFF"/>
                <w:vertAlign w:val="subscript"/>
                <w:lang w:bidi="en-US"/>
              </w:rPr>
              <w:t>Li</w:t>
            </w:r>
            <w:r>
              <w:rPr>
                <w:bCs/>
                <w:color w:val="auto"/>
                <w:szCs w:val="24"/>
                <w:shd w:val="clear" w:color="auto" w:fill="FFFFFF"/>
                <w:lang w:bidi="en-US"/>
              </w:rPr>
              <w:t>—围护结构</w:t>
            </w:r>
            <w:r>
              <w:rPr>
                <w:bCs/>
                <w:i/>
                <w:iCs/>
                <w:color w:val="auto"/>
                <w:szCs w:val="24"/>
                <w:shd w:val="clear" w:color="auto" w:fill="FFFFFF"/>
                <w:lang w:bidi="en-US"/>
              </w:rPr>
              <w:t>i</w:t>
            </w:r>
            <w:r>
              <w:rPr>
                <w:bCs/>
                <w:color w:val="auto"/>
                <w:szCs w:val="24"/>
                <w:shd w:val="clear" w:color="auto" w:fill="FFFFFF"/>
                <w:lang w:bidi="en-US"/>
              </w:rPr>
              <w:t>倍频带的隔声量，dB。</w:t>
            </w:r>
          </w:p>
          <w:p w14:paraId="7657DB43">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然后按式4-4将室外声源的声压级和透过面积换算成等效的室外声源，计算出中心位置位于透声面积（</w:t>
            </w:r>
            <w:r>
              <w:rPr>
                <w:bCs/>
                <w:i/>
                <w:iCs/>
                <w:color w:val="auto"/>
                <w:szCs w:val="24"/>
                <w:shd w:val="clear" w:color="auto" w:fill="FFFFFF"/>
                <w:lang w:bidi="en-US"/>
              </w:rPr>
              <w:t>S</w:t>
            </w:r>
            <w:r>
              <w:rPr>
                <w:bCs/>
                <w:color w:val="auto"/>
                <w:szCs w:val="24"/>
                <w:shd w:val="clear" w:color="auto" w:fill="FFFFFF"/>
                <w:lang w:bidi="en-US"/>
              </w:rPr>
              <w:t>）处的等效声源的倍频带声功率级。</w:t>
            </w:r>
          </w:p>
          <w:p w14:paraId="44FBEB01">
            <w:pPr>
              <w:widowControl/>
              <w:adjustRightInd w:val="0"/>
              <w:snapToGrid w:val="0"/>
              <w:spacing w:after="0" w:line="460" w:lineRule="exact"/>
              <w:ind w:firstLine="480" w:firstLineChars="200"/>
              <w:jc w:val="center"/>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w</w:t>
            </w:r>
            <w:r>
              <w:rPr>
                <w:bCs/>
                <w:i/>
                <w:iCs/>
                <w:color w:val="auto"/>
                <w:szCs w:val="24"/>
                <w:shd w:val="clear" w:color="auto" w:fill="FFFFFF"/>
                <w:lang w:bidi="en-US"/>
              </w:rPr>
              <w:t>=L</w:t>
            </w:r>
            <w:r>
              <w:rPr>
                <w:bCs/>
                <w:i/>
                <w:iCs/>
                <w:color w:val="auto"/>
                <w:szCs w:val="24"/>
                <w:shd w:val="clear" w:color="auto" w:fill="FFFFFF"/>
                <w:vertAlign w:val="subscript"/>
                <w:lang w:bidi="en-US"/>
              </w:rPr>
              <w:t>P2</w:t>
            </w:r>
            <w:r>
              <w:rPr>
                <w:bCs/>
                <w:i/>
                <w:iCs/>
                <w:color w:val="auto"/>
                <w:szCs w:val="24"/>
                <w:shd w:val="clear" w:color="auto" w:fill="FFFFFF"/>
                <w:lang w:bidi="en-US"/>
              </w:rPr>
              <w:t xml:space="preserve">(T)+10lgS </w:t>
            </w:r>
            <w:r>
              <w:rPr>
                <w:bCs/>
                <w:color w:val="auto"/>
                <w:szCs w:val="24"/>
                <w:shd w:val="clear" w:color="auto" w:fill="FFFFFF"/>
                <w:lang w:bidi="en-US"/>
              </w:rPr>
              <w:t xml:space="preserve">            （式4-4）</w:t>
            </w:r>
          </w:p>
          <w:p w14:paraId="6427A8B0">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式中：</w:t>
            </w:r>
            <w:r>
              <w:rPr>
                <w:bCs/>
                <w:color w:val="auto"/>
                <w:position w:val="-10"/>
                <w:szCs w:val="24"/>
                <w:shd w:val="clear" w:color="auto" w:fill="FFFFFF"/>
                <w:lang w:bidi="en-US"/>
              </w:rPr>
              <w:object>
                <v:shape id="_x0000_i1027" o:spt="75" type="#_x0000_t75" style="height:21.75pt;width:72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p>
          <w:p w14:paraId="6744743E">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w</w:t>
            </w:r>
            <w:r>
              <w:rPr>
                <w:bCs/>
                <w:color w:val="auto"/>
                <w:szCs w:val="24"/>
                <w:shd w:val="clear" w:color="auto" w:fill="FFFFFF"/>
                <w:lang w:bidi="en-US"/>
              </w:rPr>
              <w:t>—中心位置位于透声面积（</w:t>
            </w:r>
            <w:r>
              <w:rPr>
                <w:bCs/>
                <w:i/>
                <w:iCs/>
                <w:color w:val="auto"/>
                <w:szCs w:val="24"/>
                <w:shd w:val="clear" w:color="auto" w:fill="FFFFFF"/>
                <w:lang w:bidi="en-US"/>
              </w:rPr>
              <w:t>S</w:t>
            </w:r>
            <w:r>
              <w:rPr>
                <w:bCs/>
                <w:color w:val="auto"/>
                <w:szCs w:val="24"/>
                <w:shd w:val="clear" w:color="auto" w:fill="FFFFFF"/>
                <w:lang w:bidi="en-US"/>
              </w:rPr>
              <w:t>）处的等效声源的倍频带声功率级，dB；</w:t>
            </w:r>
          </w:p>
          <w:p w14:paraId="7385D2E8">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p2</w:t>
            </w:r>
            <w:r>
              <w:rPr>
                <w:bCs/>
                <w:i/>
                <w:iCs/>
                <w:color w:val="auto"/>
                <w:szCs w:val="24"/>
                <w:shd w:val="clear" w:color="auto" w:fill="FFFFFF"/>
                <w:lang w:bidi="en-US"/>
              </w:rPr>
              <w:t>(T)</w:t>
            </w:r>
            <w:r>
              <w:rPr>
                <w:bCs/>
                <w:color w:val="auto"/>
                <w:szCs w:val="24"/>
                <w:shd w:val="clear" w:color="auto" w:fill="FFFFFF"/>
                <w:lang w:bidi="en-US"/>
              </w:rPr>
              <w:t>—靠近围护结构处室外声源的声压级，dB；</w:t>
            </w:r>
          </w:p>
          <w:p w14:paraId="7E0D9657">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S</w:t>
            </w:r>
            <w:r>
              <w:rPr>
                <w:bCs/>
                <w:color w:val="auto"/>
                <w:szCs w:val="24"/>
                <w:shd w:val="clear" w:color="auto" w:fill="FFFFFF"/>
                <w:lang w:bidi="en-US"/>
              </w:rPr>
              <w:t>—透声面积，m</w:t>
            </w:r>
            <w:r>
              <w:rPr>
                <w:bCs/>
                <w:color w:val="auto"/>
                <w:szCs w:val="24"/>
                <w:shd w:val="clear" w:color="auto" w:fill="FFFFFF"/>
                <w:vertAlign w:val="superscript"/>
                <w:lang w:bidi="en-US"/>
              </w:rPr>
              <w:t>2</w:t>
            </w:r>
            <w:r>
              <w:rPr>
                <w:bCs/>
                <w:color w:val="auto"/>
                <w:szCs w:val="24"/>
                <w:shd w:val="clear" w:color="auto" w:fill="FFFFFF"/>
                <w:lang w:bidi="en-US"/>
              </w:rPr>
              <w:t>。</w:t>
            </w:r>
          </w:p>
          <w:p w14:paraId="07D1B91E">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然后按室外声源预测方法计算预测点处的A声级。</w:t>
            </w:r>
          </w:p>
          <w:p w14:paraId="3EC1E0CD">
            <w:pPr>
              <w:widowControl/>
              <w:adjustRightInd w:val="0"/>
              <w:snapToGrid w:val="0"/>
              <w:spacing w:after="0" w:line="460" w:lineRule="exact"/>
              <w:ind w:firstLine="480" w:firstLineChars="200"/>
              <w:rPr>
                <w:bCs/>
                <w:color w:val="auto"/>
                <w:szCs w:val="24"/>
                <w:shd w:val="clear" w:color="auto" w:fill="FFFFFF"/>
                <w:lang w:bidi="en-US"/>
              </w:rPr>
            </w:pPr>
            <w:r>
              <w:rPr>
                <w:rFonts w:hint="eastAsia"/>
                <w:bCs/>
                <w:color w:val="auto"/>
                <w:szCs w:val="24"/>
                <w:shd w:val="clear" w:color="auto" w:fill="FFFFFF"/>
                <w:lang w:bidi="en-US"/>
              </w:rPr>
              <w:t>（2）</w:t>
            </w:r>
            <w:r>
              <w:rPr>
                <w:bCs/>
                <w:color w:val="auto"/>
                <w:szCs w:val="24"/>
                <w:shd w:val="clear" w:color="auto" w:fill="FFFFFF"/>
                <w:lang w:bidi="en-US"/>
              </w:rPr>
              <w:t>室外声源在预测点产生的声级计算模型</w:t>
            </w:r>
          </w:p>
          <w:p w14:paraId="7B557F45">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室外声源在预测点产生的声级计算模型见附录A。</w:t>
            </w:r>
          </w:p>
          <w:p w14:paraId="1A544078">
            <w:pPr>
              <w:widowControl/>
              <w:adjustRightInd w:val="0"/>
              <w:snapToGrid w:val="0"/>
              <w:spacing w:after="0" w:line="460" w:lineRule="exact"/>
              <w:ind w:firstLine="480" w:firstLineChars="200"/>
              <w:rPr>
                <w:bCs/>
                <w:color w:val="auto"/>
                <w:szCs w:val="24"/>
                <w:shd w:val="clear" w:color="auto" w:fill="FFFFFF"/>
                <w:lang w:bidi="en-US"/>
              </w:rPr>
            </w:pPr>
            <w:r>
              <w:rPr>
                <w:rFonts w:hint="eastAsia" w:ascii="宋体" w:hAnsi="宋体" w:cs="宋体"/>
                <w:bCs/>
                <w:color w:val="auto"/>
                <w:szCs w:val="24"/>
                <w:shd w:val="clear" w:color="auto" w:fill="FFFFFF"/>
                <w:lang w:bidi="en-US"/>
              </w:rPr>
              <w:t>①</w:t>
            </w:r>
            <w:r>
              <w:rPr>
                <w:bCs/>
                <w:color w:val="auto"/>
                <w:szCs w:val="24"/>
                <w:shd w:val="clear" w:color="auto" w:fill="FFFFFF"/>
                <w:lang w:bidi="en-US"/>
              </w:rPr>
              <w:t>在环境影响评价中，应根据声源声功率级或参考位置处的声压级、户外声传播衰减，计算预测点的声级，分别按式4-5或式4-6计算。</w:t>
            </w:r>
          </w:p>
          <w:p w14:paraId="2B9FC75C">
            <w:pPr>
              <w:widowControl/>
              <w:adjustRightInd w:val="0"/>
              <w:snapToGrid w:val="0"/>
              <w:spacing w:after="0" w:line="460" w:lineRule="exact"/>
              <w:ind w:firstLine="480" w:firstLineChars="200"/>
              <w:jc w:val="center"/>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w:t>
            </w:r>
            <w:r>
              <w:rPr>
                <w:bCs/>
                <w:i/>
                <w:iCs/>
                <w:color w:val="auto"/>
                <w:szCs w:val="24"/>
                <w:shd w:val="clear" w:color="auto" w:fill="FFFFFF"/>
                <w:lang w:bidi="en-US"/>
              </w:rPr>
              <w:t>(r)＝L</w:t>
            </w:r>
            <w:r>
              <w:rPr>
                <w:bCs/>
                <w:i/>
                <w:iCs/>
                <w:color w:val="auto"/>
                <w:szCs w:val="24"/>
                <w:shd w:val="clear" w:color="auto" w:fill="FFFFFF"/>
                <w:vertAlign w:val="subscript"/>
                <w:lang w:bidi="en-US"/>
              </w:rPr>
              <w:t>w</w:t>
            </w:r>
            <w:r>
              <w:rPr>
                <w:bCs/>
                <w:i/>
                <w:iCs/>
                <w:color w:val="auto"/>
                <w:szCs w:val="24"/>
                <w:shd w:val="clear" w:color="auto" w:fill="FFFFFF"/>
                <w:lang w:bidi="en-US"/>
              </w:rPr>
              <w:t>+D</w:t>
            </w:r>
            <w:r>
              <w:rPr>
                <w:bCs/>
                <w:i/>
                <w:iCs/>
                <w:color w:val="auto"/>
                <w:szCs w:val="24"/>
                <w:shd w:val="clear" w:color="auto" w:fill="FFFFFF"/>
                <w:vertAlign w:val="subscript"/>
                <w:lang w:bidi="en-US"/>
              </w:rPr>
              <w:t>C</w:t>
            </w:r>
            <w:r>
              <w:rPr>
                <w:bCs/>
                <w:i/>
                <w:iCs/>
                <w:color w:val="auto"/>
                <w:szCs w:val="24"/>
                <w:shd w:val="clear" w:color="auto" w:fill="FFFFFF"/>
                <w:lang w:bidi="en-US"/>
              </w:rPr>
              <w:t>－(A</w:t>
            </w:r>
            <w:r>
              <w:rPr>
                <w:bCs/>
                <w:i/>
                <w:iCs/>
                <w:color w:val="auto"/>
                <w:szCs w:val="24"/>
                <w:shd w:val="clear" w:color="auto" w:fill="FFFFFF"/>
                <w:vertAlign w:val="subscript"/>
                <w:lang w:bidi="en-US"/>
              </w:rPr>
              <w:t>div</w:t>
            </w:r>
            <w:r>
              <w:rPr>
                <w:bCs/>
                <w:i/>
                <w:iCs/>
                <w:color w:val="auto"/>
                <w:szCs w:val="24"/>
                <w:shd w:val="clear" w:color="auto" w:fill="FFFFFF"/>
                <w:lang w:bidi="en-US"/>
              </w:rPr>
              <w:t>＋A</w:t>
            </w:r>
            <w:r>
              <w:rPr>
                <w:bCs/>
                <w:i/>
                <w:iCs/>
                <w:color w:val="auto"/>
                <w:szCs w:val="24"/>
                <w:shd w:val="clear" w:color="auto" w:fill="FFFFFF"/>
                <w:vertAlign w:val="subscript"/>
                <w:lang w:bidi="en-US"/>
              </w:rPr>
              <w:t>atm</w:t>
            </w:r>
            <w:r>
              <w:rPr>
                <w:bCs/>
                <w:i/>
                <w:iCs/>
                <w:color w:val="auto"/>
                <w:szCs w:val="24"/>
                <w:shd w:val="clear" w:color="auto" w:fill="FFFFFF"/>
                <w:lang w:bidi="en-US"/>
              </w:rPr>
              <w:t>＋A</w:t>
            </w:r>
            <w:r>
              <w:rPr>
                <w:bCs/>
                <w:i/>
                <w:iCs/>
                <w:color w:val="auto"/>
                <w:szCs w:val="24"/>
                <w:shd w:val="clear" w:color="auto" w:fill="FFFFFF"/>
                <w:vertAlign w:val="subscript"/>
                <w:lang w:bidi="en-US"/>
              </w:rPr>
              <w:t>gr</w:t>
            </w:r>
            <w:r>
              <w:rPr>
                <w:bCs/>
                <w:i/>
                <w:iCs/>
                <w:color w:val="auto"/>
                <w:szCs w:val="24"/>
                <w:shd w:val="clear" w:color="auto" w:fill="FFFFFF"/>
                <w:lang w:bidi="en-US"/>
              </w:rPr>
              <w:t>＋A</w:t>
            </w:r>
            <w:r>
              <w:rPr>
                <w:bCs/>
                <w:i/>
                <w:iCs/>
                <w:color w:val="auto"/>
                <w:szCs w:val="24"/>
                <w:shd w:val="clear" w:color="auto" w:fill="FFFFFF"/>
                <w:vertAlign w:val="subscript"/>
                <w:lang w:bidi="en-US"/>
              </w:rPr>
              <w:t>bar</w:t>
            </w:r>
            <w:r>
              <w:rPr>
                <w:bCs/>
                <w:i/>
                <w:iCs/>
                <w:color w:val="auto"/>
                <w:szCs w:val="24"/>
                <w:shd w:val="clear" w:color="auto" w:fill="FFFFFF"/>
                <w:lang w:bidi="en-US"/>
              </w:rPr>
              <w:t>＋A</w:t>
            </w:r>
            <w:r>
              <w:rPr>
                <w:bCs/>
                <w:i/>
                <w:iCs/>
                <w:color w:val="auto"/>
                <w:szCs w:val="24"/>
                <w:shd w:val="clear" w:color="auto" w:fill="FFFFFF"/>
                <w:vertAlign w:val="subscript"/>
                <w:lang w:bidi="en-US"/>
              </w:rPr>
              <w:t>misc</w:t>
            </w:r>
            <w:r>
              <w:rPr>
                <w:bCs/>
                <w:i/>
                <w:iCs/>
                <w:color w:val="auto"/>
                <w:szCs w:val="24"/>
                <w:shd w:val="clear" w:color="auto" w:fill="FFFFFF"/>
                <w:lang w:bidi="en-US"/>
              </w:rPr>
              <w:t xml:space="preserve">) </w:t>
            </w:r>
            <w:r>
              <w:rPr>
                <w:bCs/>
                <w:color w:val="auto"/>
                <w:szCs w:val="24"/>
                <w:shd w:val="clear" w:color="auto" w:fill="FFFFFF"/>
                <w:lang w:bidi="en-US"/>
              </w:rPr>
              <w:t xml:space="preserve"> （式4-5）</w:t>
            </w:r>
          </w:p>
          <w:p w14:paraId="2E87F613">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式中：</w:t>
            </w:r>
          </w:p>
          <w:p w14:paraId="43870C20">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w:t>
            </w:r>
            <w:r>
              <w:rPr>
                <w:bCs/>
                <w:i/>
                <w:iCs/>
                <w:color w:val="auto"/>
                <w:szCs w:val="24"/>
                <w:shd w:val="clear" w:color="auto" w:fill="FFFFFF"/>
                <w:lang w:bidi="en-US"/>
              </w:rPr>
              <w:t>(r)</w:t>
            </w:r>
            <w:r>
              <w:rPr>
                <w:bCs/>
                <w:color w:val="auto"/>
                <w:szCs w:val="24"/>
                <w:shd w:val="clear" w:color="auto" w:fill="FFFFFF"/>
                <w:lang w:bidi="en-US"/>
              </w:rPr>
              <w:t>—预测点处声压级，dB；</w:t>
            </w:r>
          </w:p>
          <w:p w14:paraId="692614E1">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w</w:t>
            </w:r>
            <w:r>
              <w:rPr>
                <w:bCs/>
                <w:color w:val="auto"/>
                <w:szCs w:val="24"/>
                <w:shd w:val="clear" w:color="auto" w:fill="FFFFFF"/>
                <w:lang w:bidi="en-US"/>
              </w:rPr>
              <w:t>—由点声源产生的声功率级（A计权或倍频带），dB；</w:t>
            </w:r>
          </w:p>
          <w:p w14:paraId="112D260A">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D</w:t>
            </w:r>
            <w:r>
              <w:rPr>
                <w:bCs/>
                <w:i/>
                <w:iCs/>
                <w:color w:val="auto"/>
                <w:szCs w:val="24"/>
                <w:shd w:val="clear" w:color="auto" w:fill="FFFFFF"/>
                <w:vertAlign w:val="subscript"/>
                <w:lang w:bidi="en-US"/>
              </w:rPr>
              <w:t>C</w:t>
            </w:r>
            <w:r>
              <w:rPr>
                <w:bCs/>
                <w:i/>
                <w:iCs/>
                <w:color w:val="auto"/>
                <w:szCs w:val="24"/>
                <w:shd w:val="clear" w:color="auto" w:fill="FFFFFF"/>
                <w:lang w:bidi="en-US"/>
              </w:rPr>
              <w:t xml:space="preserve"> </w:t>
            </w:r>
            <w:r>
              <w:rPr>
                <w:bCs/>
                <w:color w:val="auto"/>
                <w:szCs w:val="24"/>
                <w:shd w:val="clear" w:color="auto" w:fill="FFFFFF"/>
                <w:lang w:bidi="en-US"/>
              </w:rPr>
              <w:t>—指向性校正，它描述点声源的等效连续声压级与产生声功率级L</w:t>
            </w:r>
            <w:r>
              <w:rPr>
                <w:bCs/>
                <w:color w:val="auto"/>
                <w:szCs w:val="24"/>
                <w:shd w:val="clear" w:color="auto" w:fill="FFFFFF"/>
                <w:vertAlign w:val="subscript"/>
                <w:lang w:bidi="en-US"/>
              </w:rPr>
              <w:t>w</w:t>
            </w:r>
            <w:r>
              <w:rPr>
                <w:bCs/>
                <w:color w:val="auto"/>
                <w:szCs w:val="24"/>
                <w:shd w:val="clear" w:color="auto" w:fill="FFFFFF"/>
                <w:lang w:bidi="en-US"/>
              </w:rPr>
              <w:t>的全向点声源在规定方向的声级的偏差程度，dB；</w:t>
            </w:r>
          </w:p>
          <w:p w14:paraId="45022A7E">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div</w:t>
            </w:r>
            <w:r>
              <w:rPr>
                <w:bCs/>
                <w:color w:val="auto"/>
                <w:szCs w:val="24"/>
                <w:shd w:val="clear" w:color="auto" w:fill="FFFFFF"/>
                <w:lang w:bidi="en-US"/>
              </w:rPr>
              <w:t>—几何发散引起的倍频带衰减，dB；</w:t>
            </w:r>
          </w:p>
          <w:p w14:paraId="3E648C61">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atm</w:t>
            </w:r>
            <w:r>
              <w:rPr>
                <w:bCs/>
                <w:color w:val="auto"/>
                <w:szCs w:val="24"/>
                <w:shd w:val="clear" w:color="auto" w:fill="FFFFFF"/>
                <w:lang w:bidi="en-US"/>
              </w:rPr>
              <w:t>—大气吸收引起的倍频带衰减，dB；</w:t>
            </w:r>
          </w:p>
          <w:p w14:paraId="1C75352D">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gr</w:t>
            </w:r>
            <w:r>
              <w:rPr>
                <w:bCs/>
                <w:color w:val="auto"/>
                <w:szCs w:val="24"/>
                <w:shd w:val="clear" w:color="auto" w:fill="FFFFFF"/>
                <w:lang w:bidi="en-US"/>
              </w:rPr>
              <w:t>—地面效应引起的倍频带衰减，dB；</w:t>
            </w:r>
          </w:p>
          <w:p w14:paraId="537AB3FB">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bar</w:t>
            </w:r>
            <w:r>
              <w:rPr>
                <w:bCs/>
                <w:color w:val="auto"/>
                <w:szCs w:val="24"/>
                <w:shd w:val="clear" w:color="auto" w:fill="FFFFFF"/>
                <w:lang w:bidi="en-US"/>
              </w:rPr>
              <w:t>—声屏障引起的倍频带衰减，dB；</w:t>
            </w:r>
          </w:p>
          <w:p w14:paraId="497E0262">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misc</w:t>
            </w:r>
            <w:r>
              <w:rPr>
                <w:bCs/>
                <w:color w:val="auto"/>
                <w:szCs w:val="24"/>
                <w:shd w:val="clear" w:color="auto" w:fill="FFFFFF"/>
                <w:lang w:bidi="en-US"/>
              </w:rPr>
              <w:t>—其他多方面效应引起的倍频带衰减，dB。</w:t>
            </w:r>
          </w:p>
          <w:p w14:paraId="2221EDBA">
            <w:pPr>
              <w:widowControl/>
              <w:adjustRightInd w:val="0"/>
              <w:snapToGrid w:val="0"/>
              <w:spacing w:after="0" w:line="460" w:lineRule="exact"/>
              <w:ind w:firstLine="480" w:firstLineChars="200"/>
              <w:jc w:val="center"/>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w:t>
            </w:r>
            <w:r>
              <w:rPr>
                <w:bCs/>
                <w:i/>
                <w:iCs/>
                <w:color w:val="auto"/>
                <w:szCs w:val="24"/>
                <w:shd w:val="clear" w:color="auto" w:fill="FFFFFF"/>
                <w:lang w:bidi="en-US"/>
              </w:rPr>
              <w:t>(r)＝L</w:t>
            </w:r>
            <w:r>
              <w:rPr>
                <w:bCs/>
                <w:i/>
                <w:iCs/>
                <w:color w:val="auto"/>
                <w:szCs w:val="24"/>
                <w:shd w:val="clear" w:color="auto" w:fill="FFFFFF"/>
                <w:vertAlign w:val="subscript"/>
                <w:lang w:bidi="en-US"/>
              </w:rPr>
              <w:t>p</w:t>
            </w:r>
            <w:r>
              <w:rPr>
                <w:bCs/>
                <w:i/>
                <w:iCs/>
                <w:color w:val="auto"/>
                <w:szCs w:val="24"/>
                <w:shd w:val="clear" w:color="auto" w:fill="FFFFFF"/>
                <w:lang w:bidi="en-US"/>
              </w:rPr>
              <w:t>(r</w:t>
            </w:r>
            <w:r>
              <w:rPr>
                <w:bCs/>
                <w:i/>
                <w:iCs/>
                <w:color w:val="auto"/>
                <w:szCs w:val="24"/>
                <w:shd w:val="clear" w:color="auto" w:fill="FFFFFF"/>
                <w:vertAlign w:val="subscript"/>
                <w:lang w:bidi="en-US"/>
              </w:rPr>
              <w:t>0</w:t>
            </w:r>
            <w:r>
              <w:rPr>
                <w:bCs/>
                <w:i/>
                <w:iCs/>
                <w:color w:val="auto"/>
                <w:szCs w:val="24"/>
                <w:shd w:val="clear" w:color="auto" w:fill="FFFFFF"/>
                <w:lang w:bidi="en-US"/>
              </w:rPr>
              <w:t>)+D</w:t>
            </w:r>
            <w:r>
              <w:rPr>
                <w:bCs/>
                <w:i/>
                <w:iCs/>
                <w:color w:val="auto"/>
                <w:szCs w:val="24"/>
                <w:shd w:val="clear" w:color="auto" w:fill="FFFFFF"/>
                <w:vertAlign w:val="subscript"/>
                <w:lang w:bidi="en-US"/>
              </w:rPr>
              <w:t>C</w:t>
            </w:r>
            <w:r>
              <w:rPr>
                <w:bCs/>
                <w:i/>
                <w:iCs/>
                <w:color w:val="auto"/>
                <w:szCs w:val="24"/>
                <w:shd w:val="clear" w:color="auto" w:fill="FFFFFF"/>
                <w:lang w:bidi="en-US"/>
              </w:rPr>
              <w:t>－(A</w:t>
            </w:r>
            <w:r>
              <w:rPr>
                <w:bCs/>
                <w:i/>
                <w:iCs/>
                <w:color w:val="auto"/>
                <w:szCs w:val="24"/>
                <w:shd w:val="clear" w:color="auto" w:fill="FFFFFF"/>
                <w:vertAlign w:val="subscript"/>
                <w:lang w:bidi="en-US"/>
              </w:rPr>
              <w:t>div</w:t>
            </w:r>
            <w:r>
              <w:rPr>
                <w:bCs/>
                <w:i/>
                <w:iCs/>
                <w:color w:val="auto"/>
                <w:szCs w:val="24"/>
                <w:shd w:val="clear" w:color="auto" w:fill="FFFFFF"/>
                <w:lang w:bidi="en-US"/>
              </w:rPr>
              <w:t>＋A</w:t>
            </w:r>
            <w:r>
              <w:rPr>
                <w:bCs/>
                <w:i/>
                <w:iCs/>
                <w:color w:val="auto"/>
                <w:szCs w:val="24"/>
                <w:shd w:val="clear" w:color="auto" w:fill="FFFFFF"/>
                <w:vertAlign w:val="subscript"/>
                <w:lang w:bidi="en-US"/>
              </w:rPr>
              <w:t>atm</w:t>
            </w:r>
            <w:r>
              <w:rPr>
                <w:bCs/>
                <w:i/>
                <w:iCs/>
                <w:color w:val="auto"/>
                <w:szCs w:val="24"/>
                <w:shd w:val="clear" w:color="auto" w:fill="FFFFFF"/>
                <w:lang w:bidi="en-US"/>
              </w:rPr>
              <w:t>＋A</w:t>
            </w:r>
            <w:r>
              <w:rPr>
                <w:bCs/>
                <w:i/>
                <w:iCs/>
                <w:color w:val="auto"/>
                <w:szCs w:val="24"/>
                <w:shd w:val="clear" w:color="auto" w:fill="FFFFFF"/>
                <w:vertAlign w:val="subscript"/>
                <w:lang w:bidi="en-US"/>
              </w:rPr>
              <w:t>gr</w:t>
            </w:r>
            <w:r>
              <w:rPr>
                <w:bCs/>
                <w:i/>
                <w:iCs/>
                <w:color w:val="auto"/>
                <w:szCs w:val="24"/>
                <w:shd w:val="clear" w:color="auto" w:fill="FFFFFF"/>
                <w:lang w:bidi="en-US"/>
              </w:rPr>
              <w:t>＋A</w:t>
            </w:r>
            <w:r>
              <w:rPr>
                <w:bCs/>
                <w:i/>
                <w:iCs/>
                <w:color w:val="auto"/>
                <w:szCs w:val="24"/>
                <w:shd w:val="clear" w:color="auto" w:fill="FFFFFF"/>
                <w:vertAlign w:val="subscript"/>
                <w:lang w:bidi="en-US"/>
              </w:rPr>
              <w:t>bar</w:t>
            </w:r>
            <w:r>
              <w:rPr>
                <w:bCs/>
                <w:i/>
                <w:iCs/>
                <w:color w:val="auto"/>
                <w:szCs w:val="24"/>
                <w:shd w:val="clear" w:color="auto" w:fill="FFFFFF"/>
                <w:lang w:bidi="en-US"/>
              </w:rPr>
              <w:t>＋A</w:t>
            </w:r>
            <w:r>
              <w:rPr>
                <w:bCs/>
                <w:i/>
                <w:iCs/>
                <w:color w:val="auto"/>
                <w:szCs w:val="24"/>
                <w:shd w:val="clear" w:color="auto" w:fill="FFFFFF"/>
                <w:vertAlign w:val="subscript"/>
                <w:lang w:bidi="en-US"/>
              </w:rPr>
              <w:t>misc</w:t>
            </w:r>
            <w:r>
              <w:rPr>
                <w:bCs/>
                <w:i/>
                <w:iCs/>
                <w:color w:val="auto"/>
                <w:szCs w:val="24"/>
                <w:shd w:val="clear" w:color="auto" w:fill="FFFFFF"/>
                <w:lang w:bidi="en-US"/>
              </w:rPr>
              <w:t>)</w:t>
            </w:r>
            <w:r>
              <w:rPr>
                <w:bCs/>
                <w:color w:val="auto"/>
                <w:szCs w:val="24"/>
                <w:shd w:val="clear" w:color="auto" w:fill="FFFFFF"/>
                <w:lang w:bidi="en-US"/>
              </w:rPr>
              <w:t xml:space="preserve"> （式4-6）</w:t>
            </w:r>
          </w:p>
          <w:p w14:paraId="0B0D2E49">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式中：</w:t>
            </w:r>
          </w:p>
          <w:p w14:paraId="6E4CEA77">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w:t>
            </w:r>
            <w:r>
              <w:rPr>
                <w:bCs/>
                <w:i/>
                <w:iCs/>
                <w:color w:val="auto"/>
                <w:szCs w:val="24"/>
                <w:shd w:val="clear" w:color="auto" w:fill="FFFFFF"/>
                <w:lang w:bidi="en-US"/>
              </w:rPr>
              <w:t>(r)</w:t>
            </w:r>
            <w:r>
              <w:rPr>
                <w:bCs/>
                <w:color w:val="auto"/>
                <w:szCs w:val="24"/>
                <w:shd w:val="clear" w:color="auto" w:fill="FFFFFF"/>
                <w:lang w:bidi="en-US"/>
              </w:rPr>
              <w:t xml:space="preserve"> —预测点处声压级，dB； </w:t>
            </w:r>
          </w:p>
          <w:p w14:paraId="684E9CB9">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w:t>
            </w:r>
            <w:r>
              <w:rPr>
                <w:bCs/>
                <w:i/>
                <w:iCs/>
                <w:color w:val="auto"/>
                <w:szCs w:val="24"/>
                <w:shd w:val="clear" w:color="auto" w:fill="FFFFFF"/>
                <w:lang w:bidi="en-US"/>
              </w:rPr>
              <w:t>(r</w:t>
            </w:r>
            <w:r>
              <w:rPr>
                <w:bCs/>
                <w:i/>
                <w:iCs/>
                <w:color w:val="auto"/>
                <w:szCs w:val="24"/>
                <w:shd w:val="clear" w:color="auto" w:fill="FFFFFF"/>
                <w:vertAlign w:val="subscript"/>
                <w:lang w:bidi="en-US"/>
              </w:rPr>
              <w:t>0)</w:t>
            </w:r>
            <w:r>
              <w:rPr>
                <w:bCs/>
                <w:i/>
                <w:iCs/>
                <w:color w:val="auto"/>
                <w:szCs w:val="24"/>
                <w:shd w:val="clear" w:color="auto" w:fill="FFFFFF"/>
                <w:lang w:bidi="en-US"/>
              </w:rPr>
              <w:t xml:space="preserve"> </w:t>
            </w:r>
            <w:r>
              <w:rPr>
                <w:bCs/>
                <w:color w:val="auto"/>
                <w:szCs w:val="24"/>
                <w:shd w:val="clear" w:color="auto" w:fill="FFFFFF"/>
                <w:lang w:bidi="en-US"/>
              </w:rPr>
              <w:t>—参考位置r</w:t>
            </w:r>
            <w:r>
              <w:rPr>
                <w:bCs/>
                <w:color w:val="auto"/>
                <w:szCs w:val="24"/>
                <w:shd w:val="clear" w:color="auto" w:fill="FFFFFF"/>
                <w:vertAlign w:val="subscript"/>
                <w:lang w:bidi="en-US"/>
              </w:rPr>
              <w:t>0</w:t>
            </w:r>
            <w:r>
              <w:rPr>
                <w:bCs/>
                <w:color w:val="auto"/>
                <w:szCs w:val="24"/>
                <w:shd w:val="clear" w:color="auto" w:fill="FFFFFF"/>
                <w:lang w:bidi="en-US"/>
              </w:rPr>
              <w:t xml:space="preserve">处的声压级，dB； </w:t>
            </w:r>
          </w:p>
          <w:p w14:paraId="6D99D681">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D</w:t>
            </w:r>
            <w:r>
              <w:rPr>
                <w:bCs/>
                <w:i/>
                <w:iCs/>
                <w:color w:val="auto"/>
                <w:szCs w:val="24"/>
                <w:shd w:val="clear" w:color="auto" w:fill="FFFFFF"/>
                <w:vertAlign w:val="subscript"/>
                <w:lang w:bidi="en-US"/>
              </w:rPr>
              <w:t>C</w:t>
            </w:r>
            <w:r>
              <w:rPr>
                <w:bCs/>
                <w:i/>
                <w:iCs/>
                <w:color w:val="auto"/>
                <w:szCs w:val="24"/>
                <w:shd w:val="clear" w:color="auto" w:fill="FFFFFF"/>
                <w:lang w:bidi="en-US"/>
              </w:rPr>
              <w:t xml:space="preserve"> </w:t>
            </w:r>
            <w:r>
              <w:rPr>
                <w:bCs/>
                <w:color w:val="auto"/>
                <w:szCs w:val="24"/>
                <w:shd w:val="clear" w:color="auto" w:fill="FFFFFF"/>
                <w:lang w:bidi="en-US"/>
              </w:rPr>
              <w:t>—指向性校正，它描述点声源的等效连续声压级与产生声功率级L</w:t>
            </w:r>
            <w:r>
              <w:rPr>
                <w:bCs/>
                <w:color w:val="auto"/>
                <w:szCs w:val="24"/>
                <w:shd w:val="clear" w:color="auto" w:fill="FFFFFF"/>
                <w:vertAlign w:val="subscript"/>
                <w:lang w:bidi="en-US"/>
              </w:rPr>
              <w:t>w</w:t>
            </w:r>
            <w:r>
              <w:rPr>
                <w:bCs/>
                <w:color w:val="auto"/>
                <w:szCs w:val="24"/>
                <w:shd w:val="clear" w:color="auto" w:fill="FFFFFF"/>
                <w:lang w:bidi="en-US"/>
              </w:rPr>
              <w:t xml:space="preserve">的全向点声源在规定方向的声级的偏差程度，dB； </w:t>
            </w:r>
          </w:p>
          <w:p w14:paraId="0D15A312">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 xml:space="preserve">div </w:t>
            </w:r>
            <w:r>
              <w:rPr>
                <w:bCs/>
                <w:color w:val="auto"/>
                <w:szCs w:val="24"/>
                <w:shd w:val="clear" w:color="auto" w:fill="FFFFFF"/>
                <w:lang w:bidi="en-US"/>
              </w:rPr>
              <w:t xml:space="preserve">—几何发散引起的衰减，dB； </w:t>
            </w:r>
          </w:p>
          <w:p w14:paraId="2F9BCFEA">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 xml:space="preserve">atm </w:t>
            </w:r>
            <w:r>
              <w:rPr>
                <w:bCs/>
                <w:color w:val="auto"/>
                <w:szCs w:val="24"/>
                <w:shd w:val="clear" w:color="auto" w:fill="FFFFFF"/>
                <w:lang w:bidi="en-US"/>
              </w:rPr>
              <w:t xml:space="preserve">—大气吸收引起的衰减，dB； </w:t>
            </w:r>
          </w:p>
          <w:p w14:paraId="1CFABE3E">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 xml:space="preserve">gr </w:t>
            </w:r>
            <w:r>
              <w:rPr>
                <w:bCs/>
                <w:color w:val="auto"/>
                <w:szCs w:val="24"/>
                <w:shd w:val="clear" w:color="auto" w:fill="FFFFFF"/>
                <w:lang w:bidi="en-US"/>
              </w:rPr>
              <w:t>—地面效应引起的衰减，dB；</w:t>
            </w:r>
          </w:p>
          <w:p w14:paraId="401E41D2">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bar</w:t>
            </w:r>
            <w:r>
              <w:rPr>
                <w:bCs/>
                <w:color w:val="auto"/>
                <w:szCs w:val="24"/>
                <w:shd w:val="clear" w:color="auto" w:fill="FFFFFF"/>
                <w:lang w:bidi="en-US"/>
              </w:rPr>
              <w:t xml:space="preserve"> —障碍物屏蔽引起的衰减，dB； </w:t>
            </w:r>
          </w:p>
          <w:p w14:paraId="4168FC5B">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A</w:t>
            </w:r>
            <w:r>
              <w:rPr>
                <w:bCs/>
                <w:i/>
                <w:iCs/>
                <w:color w:val="auto"/>
                <w:szCs w:val="24"/>
                <w:shd w:val="clear" w:color="auto" w:fill="FFFFFF"/>
                <w:vertAlign w:val="subscript"/>
                <w:lang w:bidi="en-US"/>
              </w:rPr>
              <w:t xml:space="preserve">misc </w:t>
            </w:r>
            <w:r>
              <w:rPr>
                <w:bCs/>
                <w:color w:val="auto"/>
                <w:szCs w:val="24"/>
                <w:shd w:val="clear" w:color="auto" w:fill="FFFFFF"/>
                <w:lang w:bidi="en-US"/>
              </w:rPr>
              <w:t>—其他多方面效应引起的衰减，dB。</w:t>
            </w:r>
          </w:p>
          <w:p w14:paraId="560B9919">
            <w:pPr>
              <w:widowControl/>
              <w:adjustRightInd w:val="0"/>
              <w:snapToGrid w:val="0"/>
              <w:spacing w:after="0" w:line="460" w:lineRule="exact"/>
              <w:ind w:firstLine="480" w:firstLineChars="200"/>
              <w:rPr>
                <w:bCs/>
                <w:color w:val="auto"/>
                <w:szCs w:val="24"/>
                <w:shd w:val="clear" w:color="auto" w:fill="FFFFFF"/>
                <w:lang w:bidi="en-US"/>
              </w:rPr>
            </w:pPr>
            <w:r>
              <w:rPr>
                <w:rFonts w:hint="eastAsia" w:ascii="宋体" w:hAnsi="宋体" w:cs="宋体"/>
                <w:bCs/>
                <w:color w:val="auto"/>
                <w:szCs w:val="24"/>
                <w:shd w:val="clear" w:color="auto" w:fill="FFFFFF"/>
                <w:lang w:bidi="en-US"/>
              </w:rPr>
              <w:t>②</w:t>
            </w:r>
            <w:r>
              <w:rPr>
                <w:bCs/>
                <w:color w:val="auto"/>
                <w:szCs w:val="24"/>
                <w:shd w:val="clear" w:color="auto" w:fill="FFFFFF"/>
                <w:lang w:bidi="en-US"/>
              </w:rPr>
              <w:t xml:space="preserve">预测点的A声级 </w:t>
            </w:r>
            <w:r>
              <w:rPr>
                <w:bCs/>
                <w:i/>
                <w:iCs/>
                <w:color w:val="auto"/>
                <w:szCs w:val="24"/>
                <w:shd w:val="clear" w:color="auto" w:fill="FFFFFF"/>
                <w:lang w:bidi="en-US"/>
              </w:rPr>
              <w:t>L</w:t>
            </w:r>
            <w:r>
              <w:rPr>
                <w:bCs/>
                <w:i/>
                <w:iCs/>
                <w:color w:val="auto"/>
                <w:szCs w:val="24"/>
                <w:shd w:val="clear" w:color="auto" w:fill="FFFFFF"/>
                <w:vertAlign w:val="subscript"/>
                <w:lang w:bidi="en-US"/>
              </w:rPr>
              <w:t>A</w:t>
            </w:r>
            <w:r>
              <w:rPr>
                <w:bCs/>
                <w:i/>
                <w:iCs/>
                <w:color w:val="auto"/>
                <w:szCs w:val="24"/>
                <w:shd w:val="clear" w:color="auto" w:fill="FFFFFF"/>
                <w:lang w:bidi="en-US"/>
              </w:rPr>
              <w:t>(r)</w:t>
            </w:r>
            <w:r>
              <w:rPr>
                <w:bCs/>
                <w:color w:val="auto"/>
                <w:szCs w:val="24"/>
                <w:shd w:val="clear" w:color="auto" w:fill="FFFFFF"/>
                <w:lang w:bidi="en-US"/>
              </w:rPr>
              <w:t>可按式4-7计算，即将8个倍频带声压级合成，计算出预测点的A声级[L</w:t>
            </w:r>
            <w:r>
              <w:rPr>
                <w:bCs/>
                <w:color w:val="auto"/>
                <w:szCs w:val="24"/>
                <w:shd w:val="clear" w:color="auto" w:fill="FFFFFF"/>
                <w:vertAlign w:val="subscript"/>
                <w:lang w:bidi="en-US"/>
              </w:rPr>
              <w:t>A</w:t>
            </w:r>
            <w:r>
              <w:rPr>
                <w:bCs/>
                <w:color w:val="auto"/>
                <w:szCs w:val="24"/>
                <w:shd w:val="clear" w:color="auto" w:fill="FFFFFF"/>
                <w:lang w:bidi="en-US"/>
              </w:rPr>
              <w:t>(r)]。</w:t>
            </w:r>
            <w:r>
              <w:rPr>
                <w:bCs/>
                <w:color w:val="auto"/>
                <w:szCs w:val="24"/>
                <w:shd w:val="clear" w:color="auto" w:fill="FFFFFF"/>
                <w:lang w:bidi="en-US"/>
              </w:rPr>
              <w:tab/>
            </w:r>
          </w:p>
          <w:p w14:paraId="30EF19E1">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rPr>
              <w:drawing>
                <wp:anchor distT="0" distB="0" distL="114300" distR="114300" simplePos="0" relativeHeight="251668480" behindDoc="0" locked="0" layoutInCell="1" allowOverlap="1">
                  <wp:simplePos x="0" y="0"/>
                  <wp:positionH relativeFrom="column">
                    <wp:posOffset>1273810</wp:posOffset>
                  </wp:positionH>
                  <wp:positionV relativeFrom="paragraph">
                    <wp:posOffset>-1905</wp:posOffset>
                  </wp:positionV>
                  <wp:extent cx="2192655" cy="490855"/>
                  <wp:effectExtent l="0" t="0" r="0" b="381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92655" cy="490855"/>
                          </a:xfrm>
                          <a:prstGeom prst="rect">
                            <a:avLst/>
                          </a:prstGeom>
                          <a:noFill/>
                        </pic:spPr>
                      </pic:pic>
                    </a:graphicData>
                  </a:graphic>
                </wp:anchor>
              </w:drawing>
            </w:r>
            <w:r>
              <w:rPr>
                <w:bCs/>
                <w:color w:val="auto"/>
                <w:szCs w:val="24"/>
                <w:shd w:val="clear" w:color="auto" w:fill="FFFFFF"/>
                <w:lang w:bidi="en-US"/>
              </w:rPr>
              <w:t xml:space="preserve">                                                （式4-7）</w:t>
            </w:r>
          </w:p>
          <w:p w14:paraId="1651D1AC">
            <w:pPr>
              <w:widowControl/>
              <w:adjustRightInd w:val="0"/>
              <w:snapToGrid w:val="0"/>
              <w:spacing w:after="0" w:line="460" w:lineRule="exact"/>
              <w:ind w:firstLine="480" w:firstLineChars="200"/>
              <w:rPr>
                <w:bCs/>
                <w:color w:val="auto"/>
                <w:szCs w:val="24"/>
                <w:shd w:val="clear" w:color="auto" w:fill="FFFFFF"/>
                <w:lang w:bidi="en-US"/>
              </w:rPr>
            </w:pPr>
            <w:r>
              <w:rPr>
                <w:bCs/>
                <w:color w:val="auto"/>
                <w:szCs w:val="24"/>
                <w:shd w:val="clear" w:color="auto" w:fill="FFFFFF"/>
                <w:lang w:bidi="en-US"/>
              </w:rPr>
              <w:t>式中：</w:t>
            </w:r>
          </w:p>
          <w:p w14:paraId="1F060FA5">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A</w:t>
            </w:r>
            <w:r>
              <w:rPr>
                <w:bCs/>
                <w:i/>
                <w:iCs/>
                <w:color w:val="auto"/>
                <w:szCs w:val="24"/>
                <w:shd w:val="clear" w:color="auto" w:fill="FFFFFF"/>
                <w:lang w:bidi="en-US"/>
              </w:rPr>
              <w:t>(r)</w:t>
            </w:r>
            <w:r>
              <w:rPr>
                <w:bCs/>
                <w:color w:val="auto"/>
                <w:szCs w:val="24"/>
                <w:shd w:val="clear" w:color="auto" w:fill="FFFFFF"/>
                <w:lang w:bidi="en-US"/>
              </w:rPr>
              <w:t xml:space="preserve"> —距声源</w:t>
            </w:r>
            <w:r>
              <w:rPr>
                <w:bCs/>
                <w:i/>
                <w:iCs/>
                <w:color w:val="auto"/>
                <w:szCs w:val="24"/>
                <w:shd w:val="clear" w:color="auto" w:fill="FFFFFF"/>
                <w:lang w:bidi="en-US"/>
              </w:rPr>
              <w:t>r</w:t>
            </w:r>
            <w:r>
              <w:rPr>
                <w:bCs/>
                <w:color w:val="auto"/>
                <w:szCs w:val="24"/>
                <w:shd w:val="clear" w:color="auto" w:fill="FFFFFF"/>
                <w:lang w:bidi="en-US"/>
              </w:rPr>
              <w:t xml:space="preserve">处的A声级，dB(A)； </w:t>
            </w:r>
          </w:p>
          <w:p w14:paraId="4BFD4E87">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pi</w:t>
            </w:r>
            <w:r>
              <w:rPr>
                <w:bCs/>
                <w:i/>
                <w:iCs/>
                <w:color w:val="auto"/>
                <w:szCs w:val="24"/>
                <w:shd w:val="clear" w:color="auto" w:fill="FFFFFF"/>
                <w:lang w:bidi="en-US"/>
              </w:rPr>
              <w:t xml:space="preserve">(r) </w:t>
            </w:r>
            <w:r>
              <w:rPr>
                <w:bCs/>
                <w:color w:val="auto"/>
                <w:szCs w:val="24"/>
                <w:shd w:val="clear" w:color="auto" w:fill="FFFFFF"/>
                <w:lang w:bidi="en-US"/>
              </w:rPr>
              <w:t>—预测点（</w:t>
            </w:r>
            <w:r>
              <w:rPr>
                <w:bCs/>
                <w:i/>
                <w:iCs/>
                <w:color w:val="auto"/>
                <w:szCs w:val="24"/>
                <w:shd w:val="clear" w:color="auto" w:fill="FFFFFF"/>
                <w:lang w:bidi="en-US"/>
              </w:rPr>
              <w:t>r</w:t>
            </w:r>
            <w:r>
              <w:rPr>
                <w:bCs/>
                <w:color w:val="auto"/>
                <w:szCs w:val="24"/>
                <w:shd w:val="clear" w:color="auto" w:fill="FFFFFF"/>
                <w:lang w:bidi="en-US"/>
              </w:rPr>
              <w:t>）处，第</w:t>
            </w:r>
            <w:r>
              <w:rPr>
                <w:bCs/>
                <w:i/>
                <w:iCs/>
                <w:color w:val="auto"/>
                <w:szCs w:val="24"/>
                <w:shd w:val="clear" w:color="auto" w:fill="FFFFFF"/>
                <w:lang w:bidi="en-US"/>
              </w:rPr>
              <w:t>i</w:t>
            </w:r>
            <w:r>
              <w:rPr>
                <w:bCs/>
                <w:color w:val="auto"/>
                <w:szCs w:val="24"/>
                <w:shd w:val="clear" w:color="auto" w:fill="FFFFFF"/>
                <w:lang w:bidi="en-US"/>
              </w:rPr>
              <w:t xml:space="preserve">倍频带声压级，dB； </w:t>
            </w:r>
          </w:p>
          <w:p w14:paraId="27C4EC54">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ΔL</w:t>
            </w:r>
            <w:r>
              <w:rPr>
                <w:bCs/>
                <w:i/>
                <w:iCs/>
                <w:color w:val="auto"/>
                <w:szCs w:val="24"/>
                <w:shd w:val="clear" w:color="auto" w:fill="FFFFFF"/>
                <w:vertAlign w:val="subscript"/>
                <w:lang w:bidi="en-US"/>
              </w:rPr>
              <w:t>i</w:t>
            </w:r>
            <w:r>
              <w:rPr>
                <w:bCs/>
                <w:color w:val="auto"/>
                <w:szCs w:val="24"/>
                <w:shd w:val="clear" w:color="auto" w:fill="FFFFFF"/>
                <w:lang w:bidi="en-US"/>
              </w:rPr>
              <w:t>—第</w:t>
            </w:r>
            <w:r>
              <w:rPr>
                <w:bCs/>
                <w:i/>
                <w:iCs/>
                <w:color w:val="auto"/>
                <w:szCs w:val="24"/>
                <w:shd w:val="clear" w:color="auto" w:fill="FFFFFF"/>
                <w:lang w:bidi="en-US"/>
              </w:rPr>
              <w:t>i</w:t>
            </w:r>
            <w:r>
              <w:rPr>
                <w:bCs/>
                <w:color w:val="auto"/>
                <w:szCs w:val="24"/>
                <w:shd w:val="clear" w:color="auto" w:fill="FFFFFF"/>
                <w:lang w:bidi="en-US"/>
              </w:rPr>
              <w:t>倍频带的A计权网络修正值，dB。</w:t>
            </w:r>
          </w:p>
          <w:p w14:paraId="6DD2F429">
            <w:pPr>
              <w:widowControl/>
              <w:adjustRightInd w:val="0"/>
              <w:snapToGrid w:val="0"/>
              <w:spacing w:after="0" w:line="460" w:lineRule="exact"/>
              <w:ind w:firstLine="480" w:firstLineChars="200"/>
              <w:rPr>
                <w:bCs/>
                <w:color w:val="auto"/>
                <w:szCs w:val="24"/>
                <w:shd w:val="clear" w:color="auto" w:fill="FFFFFF"/>
                <w:lang w:bidi="en-US"/>
              </w:rPr>
            </w:pPr>
            <w:r>
              <w:rPr>
                <w:rFonts w:hint="eastAsia" w:ascii="宋体" w:hAnsi="宋体" w:cs="宋体"/>
                <w:bCs/>
                <w:color w:val="auto"/>
                <w:szCs w:val="24"/>
                <w:shd w:val="clear" w:color="auto" w:fill="FFFFFF"/>
                <w:lang w:bidi="en-US"/>
              </w:rPr>
              <w:t>③</w:t>
            </w:r>
            <w:r>
              <w:rPr>
                <w:bCs/>
                <w:color w:val="auto"/>
                <w:szCs w:val="24"/>
                <w:shd w:val="clear" w:color="auto" w:fill="FFFFFF"/>
                <w:lang w:bidi="en-US"/>
              </w:rPr>
              <w:t>在只考虑几何发散衰减时，可按式4-8计算。</w:t>
            </w:r>
          </w:p>
          <w:p w14:paraId="7C974717">
            <w:pPr>
              <w:widowControl/>
              <w:adjustRightInd w:val="0"/>
              <w:snapToGrid w:val="0"/>
              <w:spacing w:after="0" w:line="460" w:lineRule="exact"/>
              <w:ind w:firstLine="480" w:firstLineChars="200"/>
              <w:rPr>
                <w:bCs/>
                <w:color w:val="auto"/>
                <w:szCs w:val="24"/>
                <w:shd w:val="clear" w:color="auto" w:fill="FFFFFF"/>
                <w:lang w:bidi="en-US"/>
              </w:rPr>
            </w:pPr>
            <w:r>
              <w:rPr>
                <w:bCs/>
                <w:i/>
                <w:iCs/>
                <w:color w:val="auto"/>
                <w:szCs w:val="24"/>
                <w:shd w:val="clear" w:color="auto" w:fill="FFFFFF"/>
                <w:lang w:bidi="en-US"/>
              </w:rPr>
              <w:t>L</w:t>
            </w:r>
            <w:r>
              <w:rPr>
                <w:bCs/>
                <w:i/>
                <w:iCs/>
                <w:color w:val="auto"/>
                <w:szCs w:val="24"/>
                <w:shd w:val="clear" w:color="auto" w:fill="FFFFFF"/>
                <w:vertAlign w:val="subscript"/>
                <w:lang w:bidi="en-US"/>
              </w:rPr>
              <w:t>A</w:t>
            </w:r>
            <w:r>
              <w:rPr>
                <w:bCs/>
                <w:i/>
                <w:iCs/>
                <w:color w:val="auto"/>
                <w:szCs w:val="24"/>
                <w:shd w:val="clear" w:color="auto" w:fill="FFFFFF"/>
                <w:lang w:bidi="en-US"/>
              </w:rPr>
              <w:t>(r)＝L</w:t>
            </w:r>
            <w:r>
              <w:rPr>
                <w:bCs/>
                <w:i/>
                <w:iCs/>
                <w:color w:val="auto"/>
                <w:szCs w:val="24"/>
                <w:shd w:val="clear" w:color="auto" w:fill="FFFFFF"/>
                <w:vertAlign w:val="subscript"/>
                <w:lang w:bidi="en-US"/>
              </w:rPr>
              <w:t>A</w:t>
            </w:r>
            <w:r>
              <w:rPr>
                <w:bCs/>
                <w:i/>
                <w:iCs/>
                <w:color w:val="auto"/>
                <w:szCs w:val="24"/>
                <w:shd w:val="clear" w:color="auto" w:fill="FFFFFF"/>
                <w:lang w:bidi="en-US"/>
              </w:rPr>
              <w:t>(r</w:t>
            </w:r>
            <w:r>
              <w:rPr>
                <w:bCs/>
                <w:i/>
                <w:iCs/>
                <w:color w:val="auto"/>
                <w:szCs w:val="24"/>
                <w:shd w:val="clear" w:color="auto" w:fill="FFFFFF"/>
                <w:vertAlign w:val="subscript"/>
                <w:lang w:bidi="en-US"/>
              </w:rPr>
              <w:t>0</w:t>
            </w:r>
            <w:r>
              <w:rPr>
                <w:bCs/>
                <w:i/>
                <w:iCs/>
                <w:color w:val="auto"/>
                <w:szCs w:val="24"/>
                <w:shd w:val="clear" w:color="auto" w:fill="FFFFFF"/>
                <w:lang w:bidi="en-US"/>
              </w:rPr>
              <w:t>)－A</w:t>
            </w:r>
            <w:r>
              <w:rPr>
                <w:bCs/>
                <w:i/>
                <w:iCs/>
                <w:color w:val="auto"/>
                <w:szCs w:val="24"/>
                <w:shd w:val="clear" w:color="auto" w:fill="FFFFFF"/>
                <w:vertAlign w:val="subscript"/>
                <w:lang w:bidi="en-US"/>
              </w:rPr>
              <w:t xml:space="preserve">div  </w:t>
            </w:r>
            <w:r>
              <w:rPr>
                <w:bCs/>
                <w:color w:val="auto"/>
                <w:szCs w:val="24"/>
                <w:shd w:val="clear" w:color="auto" w:fill="FFFFFF"/>
                <w:vertAlign w:val="subscript"/>
                <w:lang w:bidi="en-US"/>
              </w:rPr>
              <w:t xml:space="preserve">   </w:t>
            </w:r>
            <w:r>
              <w:rPr>
                <w:bCs/>
                <w:color w:val="auto"/>
                <w:szCs w:val="24"/>
                <w:shd w:val="clear" w:color="auto" w:fill="FFFFFF"/>
                <w:lang w:bidi="en-US"/>
              </w:rPr>
              <w:t>（式4-8）</w:t>
            </w:r>
          </w:p>
          <w:p w14:paraId="5D2CD450">
            <w:pPr>
              <w:widowControl/>
              <w:adjustRightInd w:val="0"/>
              <w:snapToGrid w:val="0"/>
              <w:spacing w:after="0" w:line="460" w:lineRule="exact"/>
              <w:ind w:firstLine="480" w:firstLineChars="200"/>
              <w:rPr>
                <w:rFonts w:hint="default"/>
                <w:color w:val="auto"/>
              </w:rPr>
            </w:pPr>
            <w:r>
              <w:rPr>
                <w:rFonts w:hint="eastAsia" w:ascii="宋体" w:hAnsi="宋体" w:cs="宋体"/>
                <w:bCs/>
                <w:color w:val="auto"/>
                <w:szCs w:val="24"/>
                <w:shd w:val="clear" w:color="auto" w:fill="FFFFFF"/>
                <w:lang w:bidi="en-US"/>
              </w:rPr>
              <w:t>④</w:t>
            </w:r>
            <w:r>
              <w:rPr>
                <w:bCs/>
                <w:color w:val="auto"/>
                <w:szCs w:val="24"/>
                <w:shd w:val="clear" w:color="auto" w:fill="FFFFFF"/>
                <w:lang w:bidi="en-US"/>
              </w:rPr>
              <w:t>衰减项计算按《环境影响评价技术导则 声环境》(HJ2.4-2021)中附录A.3中的模式计算。</w:t>
            </w:r>
          </w:p>
          <w:p w14:paraId="5E93B626">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）点声源</w:t>
            </w:r>
          </w:p>
          <w:p w14:paraId="338F5311">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点声源衰减预测模式公式如下：</w:t>
            </w:r>
          </w:p>
          <w:p w14:paraId="2250EF45">
            <w:pPr>
              <w:widowControl/>
              <w:adjustRightInd w:val="0"/>
              <w:snapToGrid w:val="0"/>
              <w:spacing w:after="0" w:line="460" w:lineRule="exact"/>
              <w:ind w:firstLine="480" w:firstLineChars="20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drawing>
                <wp:inline distT="0" distB="0" distL="114300" distR="114300">
                  <wp:extent cx="1339850" cy="181610"/>
                  <wp:effectExtent l="0" t="0" r="12700"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5"/>
                          <a:stretch>
                            <a:fillRect/>
                          </a:stretch>
                        </pic:blipFill>
                        <pic:spPr>
                          <a:xfrm>
                            <a:off x="0" y="0"/>
                            <a:ext cx="1339850" cy="181610"/>
                          </a:xfrm>
                          <a:prstGeom prst="rect">
                            <a:avLst/>
                          </a:prstGeom>
                          <a:noFill/>
                          <a:ln>
                            <a:noFill/>
                          </a:ln>
                        </pic:spPr>
                      </pic:pic>
                    </a:graphicData>
                  </a:graphic>
                </wp:inline>
              </w:drawing>
            </w:r>
            <w:r>
              <w:rPr>
                <w:rFonts w:hint="eastAsia" w:cs="Times New Roman"/>
                <w:color w:val="auto"/>
                <w:sz w:val="24"/>
                <w:szCs w:val="24"/>
                <w:lang w:val="en-US" w:eastAsia="zh-CN"/>
              </w:rPr>
              <w:t xml:space="preserve">   </w:t>
            </w:r>
            <w:r>
              <w:rPr>
                <w:bCs/>
                <w:color w:val="auto"/>
                <w:szCs w:val="24"/>
                <w:shd w:val="clear" w:color="auto" w:fill="FFFFFF"/>
                <w:lang w:bidi="en-US"/>
              </w:rPr>
              <w:t>（式4-</w:t>
            </w:r>
            <w:r>
              <w:rPr>
                <w:rFonts w:hint="eastAsia"/>
                <w:bCs/>
                <w:color w:val="auto"/>
                <w:szCs w:val="24"/>
                <w:shd w:val="clear" w:color="auto" w:fill="FFFFFF"/>
                <w:lang w:val="en-US" w:eastAsia="zh-CN" w:bidi="en-US"/>
              </w:rPr>
              <w:t>8</w:t>
            </w:r>
            <w:r>
              <w:rPr>
                <w:bCs/>
                <w:color w:val="auto"/>
                <w:szCs w:val="24"/>
                <w:shd w:val="clear" w:color="auto" w:fill="FFFFFF"/>
                <w:lang w:bidi="en-US"/>
              </w:rPr>
              <w:t>）</w:t>
            </w:r>
          </w:p>
          <w:p w14:paraId="314851AE">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LA</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r0</w:t>
            </w:r>
            <w:r>
              <w:rPr>
                <w:rFonts w:hint="default" w:ascii="Times New Roman" w:hAnsi="Times New Roman" w:eastAsia="宋体" w:cs="Times New Roman"/>
                <w:color w:val="auto"/>
                <w:sz w:val="24"/>
                <w:szCs w:val="24"/>
              </w:rPr>
              <w:t>)——参考点A声压级；</w:t>
            </w:r>
            <w:r>
              <w:rPr>
                <w:rFonts w:hint="default" w:ascii="Times New Roman" w:hAnsi="Times New Roman" w:eastAsia="宋体" w:cs="Times New Roman"/>
                <w:i/>
                <w:iCs/>
                <w:color w:val="auto"/>
                <w:sz w:val="24"/>
                <w:szCs w:val="24"/>
              </w:rPr>
              <w:t>r</w:t>
            </w:r>
            <w:r>
              <w:rPr>
                <w:rFonts w:hint="default" w:ascii="Times New Roman" w:hAnsi="Times New Roman" w:eastAsia="宋体" w:cs="Times New Roman"/>
                <w:color w:val="auto"/>
                <w:sz w:val="24"/>
                <w:szCs w:val="24"/>
              </w:rPr>
              <w:t>——预测点距离，m；</w:t>
            </w:r>
            <w:r>
              <w:rPr>
                <w:rFonts w:hint="default" w:ascii="Times New Roman" w:hAnsi="Times New Roman" w:eastAsia="宋体" w:cs="Times New Roman"/>
                <w:i/>
                <w:iCs/>
                <w:color w:val="auto"/>
                <w:sz w:val="24"/>
                <w:szCs w:val="24"/>
              </w:rPr>
              <w:t>r0</w:t>
            </w:r>
            <w:r>
              <w:rPr>
                <w:rFonts w:hint="default" w:ascii="Times New Roman" w:hAnsi="Times New Roman" w:eastAsia="宋体" w:cs="Times New Roman"/>
                <w:color w:val="auto"/>
                <w:sz w:val="24"/>
                <w:szCs w:val="24"/>
              </w:rPr>
              <w:t>—参考点距离，m；</w:t>
            </w:r>
          </w:p>
          <w:p w14:paraId="3030FBC0">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）室内声源和室外声源</w:t>
            </w:r>
          </w:p>
          <w:p w14:paraId="64A13B50">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噪声由室内传播到室外时，建筑物墙面相当于一个面声源。面声源衰减规律如下：当预测点和面声源中心距离r处于以下条件时，可按下述方法近似计算：r&lt;a/π时，几乎不衰减(Adiv≈0)；当a/π&lt;r&lt;b/π，距离加倍衰减3dB左右，类似线声源衰减特性(Adiv≈10lg(r/r0))；当r&gt;b/π时，距离加倍衰减趋近于6dB，类似点声源衰减特性(Adiv≈20lg(r/r0))。其中面声源的b&gt;a。</w:t>
            </w:r>
          </w:p>
          <w:p w14:paraId="49E52FC4">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面声源中心轴线上的衰减特性参考图见下图：</w:t>
            </w:r>
          </w:p>
          <w:p w14:paraId="2F780602">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778760" cy="2019300"/>
                  <wp:effectExtent l="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6"/>
                          <a:stretch>
                            <a:fillRect/>
                          </a:stretch>
                        </pic:blipFill>
                        <pic:spPr>
                          <a:xfrm>
                            <a:off x="0" y="0"/>
                            <a:ext cx="2778760" cy="2019300"/>
                          </a:xfrm>
                          <a:prstGeom prst="rect">
                            <a:avLst/>
                          </a:prstGeom>
                          <a:noFill/>
                          <a:ln>
                            <a:noFill/>
                          </a:ln>
                        </pic:spPr>
                      </pic:pic>
                    </a:graphicData>
                  </a:graphic>
                </wp:inline>
              </w:drawing>
            </w:r>
          </w:p>
          <w:p w14:paraId="65229228">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图A.3长方形面声源中心轴线上的衰减特性</w:t>
            </w:r>
          </w:p>
          <w:p w14:paraId="31D0F621">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①当</w:t>
            </w:r>
            <w:r>
              <w:rPr>
                <w:rFonts w:hint="default" w:ascii="Times New Roman" w:hAnsi="Times New Roman" w:eastAsia="宋体" w:cs="Times New Roman"/>
                <w:iCs/>
                <w:color w:val="auto"/>
                <w:kern w:val="0"/>
                <w:sz w:val="24"/>
                <w:szCs w:val="24"/>
              </w:rPr>
              <w:t>r</w:t>
            </w:r>
            <w:r>
              <w:rPr>
                <w:rFonts w:hint="default" w:ascii="Times New Roman" w:hAnsi="Times New Roman" w:eastAsia="宋体" w:cs="Times New Roman"/>
                <w:color w:val="auto"/>
                <w:kern w:val="0"/>
                <w:sz w:val="24"/>
                <w:szCs w:val="24"/>
              </w:rPr>
              <w:t>&lt;</w:t>
            </w:r>
            <w:r>
              <w:rPr>
                <w:rFonts w:hint="default" w:ascii="Times New Roman" w:hAnsi="Times New Roman" w:eastAsia="宋体" w:cs="Times New Roman"/>
                <w:iCs/>
                <w:color w:val="auto"/>
                <w:kern w:val="0"/>
                <w:sz w:val="24"/>
                <w:szCs w:val="24"/>
              </w:rPr>
              <w:t>α/π</w:t>
            </w:r>
            <w:r>
              <w:rPr>
                <w:rFonts w:hint="default" w:ascii="Times New Roman" w:hAnsi="Times New Roman" w:eastAsia="宋体" w:cs="Times New Roman"/>
                <w:color w:val="auto"/>
                <w:kern w:val="0"/>
                <w:sz w:val="24"/>
                <w:szCs w:val="24"/>
              </w:rPr>
              <w:t>时声压级几乎不衰减，</w:t>
            </w:r>
            <w:r>
              <w:rPr>
                <w:rFonts w:hint="default" w:ascii="Times New Roman" w:hAnsi="Times New Roman" w:eastAsia="宋体" w:cs="Times New Roman"/>
                <w:iCs/>
                <w:color w:val="auto"/>
                <w:kern w:val="0"/>
                <w:sz w:val="24"/>
                <w:szCs w:val="24"/>
              </w:rPr>
              <w:t>r</w:t>
            </w:r>
            <w:r>
              <w:rPr>
                <w:rFonts w:hint="default" w:ascii="Times New Roman" w:hAnsi="Times New Roman" w:eastAsia="宋体" w:cs="Times New Roman"/>
                <w:color w:val="auto"/>
                <w:kern w:val="0"/>
                <w:sz w:val="24"/>
                <w:szCs w:val="24"/>
              </w:rPr>
              <w:t>处的声压级按下列计算：</w:t>
            </w:r>
          </w:p>
          <w:p w14:paraId="0AE4FA51">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jc w:val="center"/>
              <w:rPr>
                <w:rFonts w:hint="default" w:ascii="Times New Roman" w:hAnsi="Times New Roman" w:eastAsia="宋体" w:cs="Times New Roman"/>
                <w:iCs/>
                <w:color w:val="auto"/>
                <w:kern w:val="0"/>
                <w:sz w:val="24"/>
                <w:szCs w:val="24"/>
              </w:rPr>
            </w:pPr>
            <w:r>
              <w:rPr>
                <w:rFonts w:hint="default" w:ascii="Times New Roman" w:hAnsi="Times New Roman" w:eastAsia="宋体" w:cs="Times New Roman"/>
                <w:iCs/>
                <w:color w:val="auto"/>
                <w:kern w:val="0"/>
                <w:sz w:val="24"/>
                <w:szCs w:val="24"/>
              </w:rPr>
              <w:t>LA(r)=LA(r0)</w:t>
            </w:r>
            <w:r>
              <w:rPr>
                <w:rFonts w:hint="eastAsia" w:cs="Times New Roman"/>
                <w:iCs/>
                <w:color w:val="auto"/>
                <w:kern w:val="0"/>
                <w:sz w:val="24"/>
                <w:szCs w:val="24"/>
                <w:lang w:val="en-US" w:eastAsia="zh-CN"/>
              </w:rPr>
              <w:t xml:space="preserve">  </w:t>
            </w:r>
            <w:r>
              <w:rPr>
                <w:bCs/>
                <w:color w:val="auto"/>
                <w:szCs w:val="24"/>
                <w:shd w:val="clear" w:color="auto" w:fill="FFFFFF"/>
                <w:lang w:bidi="en-US"/>
              </w:rPr>
              <w:t>（式4-</w:t>
            </w:r>
            <w:r>
              <w:rPr>
                <w:rFonts w:hint="eastAsia"/>
                <w:bCs/>
                <w:color w:val="auto"/>
                <w:szCs w:val="24"/>
                <w:shd w:val="clear" w:color="auto" w:fill="FFFFFF"/>
                <w:lang w:val="en-US" w:eastAsia="zh-CN" w:bidi="en-US"/>
              </w:rPr>
              <w:t>9</w:t>
            </w:r>
            <w:r>
              <w:rPr>
                <w:bCs/>
                <w:color w:val="auto"/>
                <w:szCs w:val="24"/>
                <w:shd w:val="clear" w:color="auto" w:fill="FFFFFF"/>
                <w:lang w:bidi="en-US"/>
              </w:rPr>
              <w:t>）</w:t>
            </w:r>
          </w:p>
          <w:p w14:paraId="0C459352">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②当</w:t>
            </w:r>
            <w:r>
              <w:rPr>
                <w:rFonts w:hint="default" w:ascii="Times New Roman" w:hAnsi="Times New Roman" w:eastAsia="宋体" w:cs="Times New Roman"/>
                <w:iCs/>
                <w:color w:val="auto"/>
                <w:kern w:val="0"/>
                <w:sz w:val="24"/>
                <w:szCs w:val="24"/>
              </w:rPr>
              <w:t>a/π</w:t>
            </w:r>
            <w:r>
              <w:rPr>
                <w:rFonts w:hint="default" w:ascii="Times New Roman" w:hAnsi="Times New Roman" w:eastAsia="宋体" w:cs="Times New Roman"/>
                <w:color w:val="auto"/>
                <w:kern w:val="0"/>
                <w:sz w:val="24"/>
                <w:szCs w:val="24"/>
              </w:rPr>
              <w:t>&lt;</w:t>
            </w:r>
            <w:r>
              <w:rPr>
                <w:rFonts w:hint="default" w:ascii="Times New Roman" w:hAnsi="Times New Roman" w:eastAsia="宋体" w:cs="Times New Roman"/>
                <w:iCs/>
                <w:color w:val="auto"/>
                <w:kern w:val="0"/>
                <w:sz w:val="24"/>
                <w:szCs w:val="24"/>
              </w:rPr>
              <w:t>r</w:t>
            </w:r>
            <w:r>
              <w:rPr>
                <w:rFonts w:hint="default" w:ascii="Times New Roman" w:hAnsi="Times New Roman" w:eastAsia="宋体" w:cs="Times New Roman"/>
                <w:color w:val="auto"/>
                <w:kern w:val="0"/>
                <w:sz w:val="24"/>
                <w:szCs w:val="24"/>
              </w:rPr>
              <w:t>&lt;</w:t>
            </w:r>
            <w:r>
              <w:rPr>
                <w:rFonts w:hint="default" w:ascii="Times New Roman" w:hAnsi="Times New Roman" w:eastAsia="宋体" w:cs="Times New Roman"/>
                <w:iCs/>
                <w:color w:val="auto"/>
                <w:kern w:val="0"/>
                <w:sz w:val="24"/>
                <w:szCs w:val="24"/>
              </w:rPr>
              <w:t>b/π</w:t>
            </w:r>
            <w:r>
              <w:rPr>
                <w:rFonts w:hint="default" w:ascii="Times New Roman" w:hAnsi="Times New Roman" w:eastAsia="宋体" w:cs="Times New Roman"/>
                <w:color w:val="auto"/>
                <w:kern w:val="0"/>
                <w:sz w:val="24"/>
                <w:szCs w:val="24"/>
              </w:rPr>
              <w:t>时</w:t>
            </w:r>
          </w:p>
          <w:p w14:paraId="37617718">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声压级随着距离加倍衰减3dB左右，类似线声源衰减特性，r出的声压级按下列公示计算</w:t>
            </w:r>
            <w:r>
              <w:rPr>
                <w:rFonts w:hint="default" w:ascii="Times New Roman" w:hAnsi="Times New Roman" w:eastAsia="宋体" w:cs="Times New Roman"/>
                <w:iCs/>
                <w:color w:val="auto"/>
                <w:kern w:val="0"/>
                <w:sz w:val="24"/>
                <w:szCs w:val="24"/>
              </w:rPr>
              <w:t>LA(r)=LA(r0)-</w:t>
            </w:r>
            <w:r>
              <w:rPr>
                <w:rFonts w:hint="default" w:ascii="Times New Roman" w:hAnsi="Times New Roman" w:eastAsia="宋体" w:cs="Times New Roman"/>
                <w:color w:val="auto"/>
                <w:kern w:val="0"/>
                <w:sz w:val="24"/>
                <w:szCs w:val="24"/>
              </w:rPr>
              <w:t>10lg（</w:t>
            </w:r>
            <w:r>
              <w:rPr>
                <w:rFonts w:hint="default" w:ascii="Times New Roman" w:hAnsi="Times New Roman" w:eastAsia="宋体" w:cs="Times New Roman"/>
                <w:iCs/>
                <w:color w:val="auto"/>
                <w:kern w:val="0"/>
                <w:sz w:val="24"/>
                <w:szCs w:val="24"/>
              </w:rPr>
              <w:t>r/r0</w:t>
            </w:r>
            <w:r>
              <w:rPr>
                <w:rFonts w:hint="default" w:ascii="Times New Roman" w:hAnsi="Times New Roman" w:eastAsia="宋体" w:cs="Times New Roman"/>
                <w:color w:val="auto"/>
                <w:kern w:val="0"/>
                <w:sz w:val="24"/>
                <w:szCs w:val="24"/>
              </w:rPr>
              <w:t>）</w:t>
            </w:r>
          </w:p>
          <w:p w14:paraId="65A6886A">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③当</w:t>
            </w:r>
            <w:r>
              <w:rPr>
                <w:rFonts w:hint="default" w:ascii="Times New Roman" w:hAnsi="Times New Roman" w:eastAsia="宋体" w:cs="Times New Roman"/>
                <w:iCs/>
                <w:color w:val="auto"/>
                <w:kern w:val="0"/>
                <w:sz w:val="24"/>
                <w:szCs w:val="24"/>
              </w:rPr>
              <w:t>r&gt;b/π</w:t>
            </w:r>
            <w:r>
              <w:rPr>
                <w:rFonts w:hint="default" w:ascii="Times New Roman" w:hAnsi="Times New Roman" w:eastAsia="宋体" w:cs="Times New Roman"/>
                <w:color w:val="auto"/>
                <w:kern w:val="0"/>
                <w:sz w:val="24"/>
                <w:szCs w:val="24"/>
              </w:rPr>
              <w:t>时声压级随着距离加倍衰减趋近于6dB，类似点声源衰减特性，r处的声压级按下列公式计算：</w:t>
            </w:r>
            <w:r>
              <w:rPr>
                <w:rFonts w:hint="default" w:ascii="Times New Roman" w:hAnsi="Times New Roman" w:eastAsia="宋体" w:cs="Times New Roman"/>
                <w:iCs/>
                <w:color w:val="auto"/>
                <w:kern w:val="0"/>
                <w:sz w:val="24"/>
                <w:szCs w:val="24"/>
              </w:rPr>
              <w:t>LA(r)=LA(r0)-</w:t>
            </w:r>
            <w:r>
              <w:rPr>
                <w:rFonts w:hint="default" w:ascii="Times New Roman" w:hAnsi="Times New Roman" w:eastAsia="宋体" w:cs="Times New Roman"/>
                <w:color w:val="auto"/>
                <w:kern w:val="0"/>
                <w:sz w:val="24"/>
                <w:szCs w:val="24"/>
              </w:rPr>
              <w:t>20lg（</w:t>
            </w:r>
            <w:r>
              <w:rPr>
                <w:rFonts w:hint="default" w:ascii="Times New Roman" w:hAnsi="Times New Roman" w:eastAsia="宋体" w:cs="Times New Roman"/>
                <w:iCs/>
                <w:color w:val="auto"/>
                <w:kern w:val="0"/>
                <w:sz w:val="24"/>
                <w:szCs w:val="24"/>
              </w:rPr>
              <w:t>r/r0</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iCs/>
                <w:color w:val="auto"/>
                <w:kern w:val="0"/>
                <w:sz w:val="24"/>
                <w:szCs w:val="24"/>
              </w:rPr>
              <w:t>r0=</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iCs/>
                <w:color w:val="auto"/>
                <w:kern w:val="0"/>
                <w:sz w:val="24"/>
                <w:szCs w:val="24"/>
              </w:rPr>
              <w:t>b/a</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iCs/>
                <w:color w:val="auto"/>
                <w:kern w:val="0"/>
                <w:sz w:val="24"/>
                <w:szCs w:val="24"/>
              </w:rPr>
              <w:t>LA(r0)=LA(r0)-</w:t>
            </w:r>
            <w:r>
              <w:rPr>
                <w:rFonts w:hint="default" w:ascii="Times New Roman" w:hAnsi="Times New Roman" w:eastAsia="宋体" w:cs="Times New Roman"/>
                <w:color w:val="auto"/>
                <w:kern w:val="0"/>
                <w:sz w:val="24"/>
                <w:szCs w:val="24"/>
              </w:rPr>
              <w:t>10lg（</w:t>
            </w:r>
            <w:r>
              <w:rPr>
                <w:rFonts w:hint="default" w:ascii="Times New Roman" w:hAnsi="Times New Roman" w:eastAsia="宋体" w:cs="Times New Roman"/>
                <w:iCs/>
                <w:color w:val="auto"/>
                <w:kern w:val="0"/>
                <w:sz w:val="24"/>
                <w:szCs w:val="24"/>
              </w:rPr>
              <w:t>b/a</w:t>
            </w:r>
            <w:r>
              <w:rPr>
                <w:rFonts w:hint="default" w:ascii="Times New Roman" w:hAnsi="Times New Roman" w:eastAsia="宋体" w:cs="Times New Roman"/>
                <w:color w:val="auto"/>
                <w:kern w:val="0"/>
                <w:sz w:val="24"/>
                <w:szCs w:val="24"/>
              </w:rPr>
              <w:t>）</w:t>
            </w:r>
          </w:p>
          <w:p w14:paraId="5EBA849A">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w:t>
            </w:r>
            <w:r>
              <w:rPr>
                <w:rFonts w:hint="eastAsia"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）预测点等效声级贡献值</w:t>
            </w:r>
          </w:p>
          <w:p w14:paraId="5BF2E9C5">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第</w:t>
            </w:r>
            <w:r>
              <w:rPr>
                <w:rFonts w:hint="default" w:ascii="Times New Roman" w:hAnsi="Times New Roman" w:eastAsia="宋体" w:cs="Times New Roman"/>
                <w:iCs/>
                <w:color w:val="auto"/>
                <w:kern w:val="0"/>
                <w:sz w:val="24"/>
                <w:szCs w:val="24"/>
              </w:rPr>
              <w:t>i</w:t>
            </w:r>
            <w:r>
              <w:rPr>
                <w:rFonts w:hint="default" w:ascii="Times New Roman" w:hAnsi="Times New Roman" w:eastAsia="宋体" w:cs="Times New Roman"/>
                <w:color w:val="auto"/>
                <w:kern w:val="0"/>
                <w:sz w:val="24"/>
                <w:szCs w:val="24"/>
              </w:rPr>
              <w:t>个室外声源在预测点产生的A声级为</w:t>
            </w:r>
            <w:r>
              <w:rPr>
                <w:rFonts w:hint="default" w:ascii="Times New Roman" w:hAnsi="Times New Roman" w:eastAsia="宋体" w:cs="Times New Roman"/>
                <w:iCs/>
                <w:color w:val="auto"/>
                <w:kern w:val="0"/>
                <w:sz w:val="24"/>
                <w:szCs w:val="24"/>
              </w:rPr>
              <w:t>LAi</w:t>
            </w:r>
            <w:r>
              <w:rPr>
                <w:rFonts w:hint="default" w:ascii="Times New Roman" w:hAnsi="Times New Roman" w:eastAsia="宋体" w:cs="Times New Roman"/>
                <w:color w:val="auto"/>
                <w:kern w:val="0"/>
                <w:sz w:val="24"/>
                <w:szCs w:val="24"/>
              </w:rPr>
              <w:t>，在T时间内该声源工作时间为</w:t>
            </w:r>
            <w:r>
              <w:rPr>
                <w:rFonts w:hint="default" w:ascii="Times New Roman" w:hAnsi="Times New Roman" w:eastAsia="宋体" w:cs="Times New Roman"/>
                <w:iCs/>
                <w:color w:val="auto"/>
                <w:kern w:val="0"/>
                <w:sz w:val="24"/>
                <w:szCs w:val="24"/>
              </w:rPr>
              <w:t>ti</w:t>
            </w:r>
            <w:r>
              <w:rPr>
                <w:rFonts w:hint="default" w:ascii="Times New Roman" w:hAnsi="Times New Roman" w:eastAsia="宋体" w:cs="Times New Roman"/>
                <w:color w:val="auto"/>
                <w:kern w:val="0"/>
                <w:sz w:val="24"/>
                <w:szCs w:val="24"/>
              </w:rPr>
              <w:t>；第j个等效室外声源在预测点产生的A声级为</w:t>
            </w:r>
            <w:r>
              <w:rPr>
                <w:rFonts w:hint="default" w:ascii="Times New Roman" w:hAnsi="Times New Roman" w:eastAsia="宋体" w:cs="Times New Roman"/>
                <w:iCs/>
                <w:color w:val="auto"/>
                <w:kern w:val="0"/>
                <w:sz w:val="24"/>
                <w:szCs w:val="24"/>
              </w:rPr>
              <w:t>LAj</w:t>
            </w:r>
            <w:r>
              <w:rPr>
                <w:rFonts w:hint="default" w:ascii="Times New Roman" w:hAnsi="Times New Roman" w:eastAsia="宋体" w:cs="Times New Roman"/>
                <w:color w:val="auto"/>
                <w:kern w:val="0"/>
                <w:sz w:val="24"/>
                <w:szCs w:val="24"/>
              </w:rPr>
              <w:t>，本项目各声源对预测点产生的贡献值（</w:t>
            </w:r>
            <w:r>
              <w:rPr>
                <w:rFonts w:hint="default" w:ascii="Times New Roman" w:hAnsi="Times New Roman" w:eastAsia="宋体" w:cs="Times New Roman"/>
                <w:iCs/>
                <w:color w:val="auto"/>
                <w:kern w:val="0"/>
                <w:sz w:val="24"/>
                <w:szCs w:val="24"/>
              </w:rPr>
              <w:t>Leqg</w:t>
            </w:r>
            <w:r>
              <w:rPr>
                <w:rFonts w:hint="default" w:ascii="Times New Roman" w:hAnsi="Times New Roman" w:eastAsia="宋体" w:cs="Times New Roman"/>
                <w:color w:val="auto"/>
                <w:kern w:val="0"/>
                <w:sz w:val="24"/>
                <w:szCs w:val="24"/>
              </w:rPr>
              <w:t>）按下列公式计算：</w:t>
            </w:r>
          </w:p>
          <w:p w14:paraId="572BB4CD">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370455" cy="416560"/>
                  <wp:effectExtent l="0" t="0" r="10795"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7"/>
                          <a:stretch>
                            <a:fillRect/>
                          </a:stretch>
                        </pic:blipFill>
                        <pic:spPr>
                          <a:xfrm>
                            <a:off x="0" y="0"/>
                            <a:ext cx="2370455" cy="416560"/>
                          </a:xfrm>
                          <a:prstGeom prst="rect">
                            <a:avLst/>
                          </a:prstGeom>
                          <a:noFill/>
                          <a:ln>
                            <a:noFill/>
                          </a:ln>
                        </pic:spPr>
                      </pic:pic>
                    </a:graphicData>
                  </a:graphic>
                </wp:inline>
              </w:drawing>
            </w:r>
            <w:r>
              <w:rPr>
                <w:bCs/>
                <w:color w:val="auto"/>
                <w:szCs w:val="24"/>
                <w:shd w:val="clear" w:color="auto" w:fill="FFFFFF"/>
                <w:lang w:bidi="en-US"/>
              </w:rPr>
              <w:t>（式4-</w:t>
            </w:r>
            <w:r>
              <w:rPr>
                <w:rFonts w:hint="eastAsia"/>
                <w:bCs/>
                <w:color w:val="auto"/>
                <w:szCs w:val="24"/>
                <w:shd w:val="clear" w:color="auto" w:fill="FFFFFF"/>
                <w:lang w:val="en-US" w:eastAsia="zh-CN" w:bidi="en-US"/>
              </w:rPr>
              <w:t>10</w:t>
            </w:r>
            <w:r>
              <w:rPr>
                <w:bCs/>
                <w:color w:val="auto"/>
                <w:szCs w:val="24"/>
                <w:shd w:val="clear" w:color="auto" w:fill="FFFFFF"/>
                <w:lang w:bidi="en-US"/>
              </w:rPr>
              <w:t>）</w:t>
            </w:r>
          </w:p>
          <w:p w14:paraId="348CD568">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式中：</w:t>
            </w:r>
            <w:r>
              <w:rPr>
                <w:rFonts w:hint="default" w:ascii="Times New Roman" w:hAnsi="Times New Roman" w:eastAsia="宋体" w:cs="Times New Roman"/>
                <w:i/>
                <w:iCs/>
                <w:color w:val="auto"/>
                <w:kern w:val="0"/>
                <w:sz w:val="24"/>
                <w:szCs w:val="24"/>
              </w:rPr>
              <w:t>Leqg</w:t>
            </w:r>
            <w:r>
              <w:rPr>
                <w:rFonts w:hint="default" w:ascii="Times New Roman" w:hAnsi="Times New Roman" w:eastAsia="宋体" w:cs="Times New Roman"/>
                <w:color w:val="auto"/>
                <w:kern w:val="0"/>
                <w:sz w:val="24"/>
                <w:szCs w:val="24"/>
              </w:rPr>
              <w:t>—建设小项目声源在预测点的等效声级贡献值，dB（A）；</w:t>
            </w:r>
            <w:r>
              <w:rPr>
                <w:rFonts w:hint="default" w:ascii="Times New Roman" w:hAnsi="Times New Roman" w:eastAsia="宋体" w:cs="Times New Roman"/>
                <w:i/>
                <w:iCs/>
                <w:color w:val="auto"/>
                <w:kern w:val="0"/>
                <w:sz w:val="24"/>
                <w:szCs w:val="24"/>
              </w:rPr>
              <w:t>T</w:t>
            </w:r>
            <w:r>
              <w:rPr>
                <w:rFonts w:hint="default" w:ascii="Times New Roman" w:hAnsi="Times New Roman" w:eastAsia="宋体" w:cs="Times New Roman"/>
                <w:color w:val="auto"/>
                <w:kern w:val="0"/>
                <w:sz w:val="24"/>
                <w:szCs w:val="24"/>
              </w:rPr>
              <w:t>—用于计算等效声级的时间，S；</w:t>
            </w:r>
            <w:r>
              <w:rPr>
                <w:rFonts w:hint="default" w:ascii="Times New Roman" w:hAnsi="Times New Roman" w:eastAsia="宋体" w:cs="Times New Roman"/>
                <w:i/>
                <w:iCs/>
                <w:color w:val="auto"/>
                <w:kern w:val="0"/>
                <w:sz w:val="24"/>
                <w:szCs w:val="24"/>
              </w:rPr>
              <w:t>ti</w:t>
            </w:r>
            <w:r>
              <w:rPr>
                <w:rFonts w:hint="default" w:ascii="Times New Roman" w:hAnsi="Times New Roman" w:eastAsia="宋体" w:cs="Times New Roman"/>
                <w:color w:val="auto"/>
                <w:kern w:val="0"/>
                <w:sz w:val="24"/>
                <w:szCs w:val="24"/>
              </w:rPr>
              <w:t>—在T时间内i声源工作时间，S；</w:t>
            </w:r>
            <w:r>
              <w:rPr>
                <w:rFonts w:hint="default" w:ascii="Times New Roman" w:hAnsi="Times New Roman" w:eastAsia="宋体" w:cs="Times New Roman"/>
                <w:i/>
                <w:iCs/>
                <w:color w:val="auto"/>
                <w:kern w:val="0"/>
                <w:sz w:val="24"/>
                <w:szCs w:val="24"/>
              </w:rPr>
              <w:t>tj</w:t>
            </w:r>
            <w:r>
              <w:rPr>
                <w:rFonts w:hint="default" w:ascii="Times New Roman" w:hAnsi="Times New Roman" w:eastAsia="宋体" w:cs="Times New Roman"/>
                <w:color w:val="auto"/>
                <w:kern w:val="0"/>
                <w:sz w:val="24"/>
                <w:szCs w:val="24"/>
              </w:rPr>
              <w:t>—在T时间内j声源工作时间，S；N—室外声源个数，1个；M等效室外声源个数，1个；</w:t>
            </w:r>
          </w:p>
          <w:p w14:paraId="240F8F7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本项目各室内声源等效成面声源均采用当</w:t>
            </w:r>
            <w:r>
              <w:rPr>
                <w:rFonts w:hint="default" w:ascii="Times New Roman" w:hAnsi="Times New Roman" w:eastAsia="宋体" w:cs="Times New Roman"/>
                <w:iCs/>
                <w:color w:val="auto"/>
                <w:kern w:val="0"/>
                <w:sz w:val="24"/>
                <w:szCs w:val="24"/>
              </w:rPr>
              <w:t>r&gt;b/π</w:t>
            </w:r>
            <w:r>
              <w:rPr>
                <w:rFonts w:hint="default" w:ascii="Times New Roman" w:hAnsi="Times New Roman" w:eastAsia="宋体" w:cs="Times New Roman"/>
                <w:color w:val="auto"/>
                <w:kern w:val="0"/>
                <w:sz w:val="24"/>
                <w:szCs w:val="24"/>
              </w:rPr>
              <w:t>时的计算公式计算。对于同一个构筑物内的点声源，本次通过声级叠加的方式计算得出综合噪声源强</w:t>
            </w:r>
            <w:r>
              <w:rPr>
                <w:rFonts w:hint="default" w:ascii="Times New Roman" w:hAnsi="Times New Roman" w:eastAsia="宋体" w:cs="Times New Roman"/>
                <w:iCs/>
                <w:color w:val="auto"/>
                <w:kern w:val="0"/>
                <w:sz w:val="24"/>
                <w:szCs w:val="24"/>
              </w:rPr>
              <w:t>LA</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iCs/>
                <w:color w:val="auto"/>
                <w:kern w:val="0"/>
                <w:sz w:val="24"/>
                <w:szCs w:val="24"/>
              </w:rPr>
              <w:t>r0</w:t>
            </w:r>
            <w:r>
              <w:rPr>
                <w:rFonts w:hint="default" w:ascii="Times New Roman" w:hAnsi="Times New Roman" w:eastAsia="宋体" w:cs="Times New Roman"/>
                <w:color w:val="auto"/>
                <w:kern w:val="0"/>
                <w:sz w:val="24"/>
                <w:szCs w:val="24"/>
              </w:rPr>
              <w:t>)，将其等效成面声源，再运用</w:t>
            </w:r>
            <w:r>
              <w:rPr>
                <w:rFonts w:hint="default" w:ascii="Times New Roman" w:hAnsi="Times New Roman" w:eastAsia="宋体" w:cs="Times New Roman"/>
                <w:iCs/>
                <w:color w:val="auto"/>
                <w:kern w:val="0"/>
                <w:sz w:val="24"/>
                <w:szCs w:val="24"/>
              </w:rPr>
              <w:t>LA(r)=LA(r0)-</w:t>
            </w:r>
            <w:r>
              <w:rPr>
                <w:rFonts w:hint="default" w:ascii="Times New Roman" w:hAnsi="Times New Roman" w:eastAsia="宋体" w:cs="Times New Roman"/>
                <w:color w:val="auto"/>
                <w:kern w:val="0"/>
                <w:sz w:val="24"/>
                <w:szCs w:val="24"/>
              </w:rPr>
              <w:t>20lg（</w:t>
            </w:r>
            <w:r>
              <w:rPr>
                <w:rFonts w:hint="default" w:ascii="Times New Roman" w:hAnsi="Times New Roman" w:eastAsia="宋体" w:cs="Times New Roman"/>
                <w:iCs/>
                <w:color w:val="auto"/>
                <w:kern w:val="0"/>
                <w:sz w:val="24"/>
                <w:szCs w:val="24"/>
              </w:rPr>
              <w:t>r/r0</w:t>
            </w:r>
            <w:r>
              <w:rPr>
                <w:rFonts w:hint="default" w:ascii="Times New Roman" w:hAnsi="Times New Roman" w:eastAsia="宋体" w:cs="Times New Roman"/>
                <w:color w:val="auto"/>
                <w:kern w:val="0"/>
                <w:sz w:val="24"/>
                <w:szCs w:val="24"/>
              </w:rPr>
              <w:t>）计算得出单个声源对厂界的影响贡献值</w:t>
            </w:r>
            <w:r>
              <w:rPr>
                <w:rFonts w:hint="default" w:ascii="Times New Roman" w:hAnsi="Times New Roman" w:eastAsia="宋体" w:cs="Times New Roman"/>
                <w:iCs/>
                <w:color w:val="auto"/>
                <w:kern w:val="0"/>
                <w:sz w:val="24"/>
                <w:szCs w:val="24"/>
              </w:rPr>
              <w:t>LA(r)</w:t>
            </w:r>
            <w:r>
              <w:rPr>
                <w:rFonts w:hint="default" w:ascii="Times New Roman" w:hAnsi="Times New Roman" w:eastAsia="宋体" w:cs="Times New Roman"/>
                <w:color w:val="auto"/>
                <w:kern w:val="0"/>
                <w:sz w:val="24"/>
                <w:szCs w:val="24"/>
              </w:rPr>
              <w:t>，计算出各噪声源的</w:t>
            </w:r>
            <w:r>
              <w:rPr>
                <w:rFonts w:hint="default" w:ascii="Times New Roman" w:hAnsi="Times New Roman" w:eastAsia="宋体" w:cs="Times New Roman"/>
                <w:iCs/>
                <w:color w:val="auto"/>
                <w:kern w:val="0"/>
                <w:sz w:val="24"/>
                <w:szCs w:val="24"/>
              </w:rPr>
              <w:t>LA(r)</w:t>
            </w:r>
            <w:r>
              <w:rPr>
                <w:rFonts w:hint="default" w:ascii="Times New Roman" w:hAnsi="Times New Roman" w:eastAsia="宋体" w:cs="Times New Roman"/>
                <w:color w:val="auto"/>
                <w:kern w:val="0"/>
                <w:sz w:val="24"/>
                <w:szCs w:val="24"/>
              </w:rPr>
              <w:t>后再综合计算项目各噪声源对各厂界的噪声影响贡献值。</w:t>
            </w:r>
          </w:p>
          <w:p w14:paraId="7F7E382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color w:val="auto"/>
                <w:sz w:val="24"/>
                <w:szCs w:val="24"/>
                <w:lang w:val="zh-CN"/>
              </w:rPr>
              <w:t>项目噪声设备经以上措施处理后，各噪声源对厂界噪声的贡献值见下表所示。</w:t>
            </w:r>
          </w:p>
          <w:p w14:paraId="007F6E18">
            <w:pPr>
              <w:keepNext w:val="0"/>
              <w:keepLines w:val="0"/>
              <w:pageBreakBefore w:val="0"/>
              <w:widowControl w:val="0"/>
              <w:kinsoku/>
              <w:wordWrap/>
              <w:overflowPunct/>
              <w:topLinePunct/>
              <w:autoSpaceDE/>
              <w:autoSpaceDN/>
              <w:bidi w:val="0"/>
              <w:adjustRightInd/>
              <w:snapToGrid/>
              <w:spacing w:beforeAutospacing="0" w:afterAutospacing="0" w:line="360" w:lineRule="auto"/>
              <w:ind w:right="0" w:firstLine="482" w:firstLineChars="200"/>
              <w:jc w:val="center"/>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表4-1</w:t>
            </w:r>
            <w:r>
              <w:rPr>
                <w:rFonts w:hint="eastAsia" w:ascii="Times New Roman" w:hAnsi="Times New Roman" w:eastAsia="宋体" w:cs="Times New Roman"/>
                <w:b/>
                <w:color w:val="auto"/>
                <w:sz w:val="24"/>
                <w:szCs w:val="24"/>
                <w:lang w:val="en-US" w:eastAsia="zh-CN"/>
              </w:rPr>
              <w:t xml:space="preserve">4  </w:t>
            </w:r>
            <w:r>
              <w:rPr>
                <w:rFonts w:hint="default" w:ascii="Times New Roman" w:hAnsi="Times New Roman" w:eastAsia="宋体" w:cs="Times New Roman"/>
                <w:b/>
                <w:color w:val="auto"/>
                <w:sz w:val="24"/>
                <w:szCs w:val="24"/>
                <w:lang w:val="zh-CN"/>
              </w:rPr>
              <w:t>各噪声源对厂界的噪声值预测</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val="zh-CN"/>
              </w:rPr>
              <w:t>(单位：dB[A])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2720"/>
              <w:gridCol w:w="1519"/>
              <w:gridCol w:w="1519"/>
              <w:gridCol w:w="1519"/>
              <w:gridCol w:w="1522"/>
            </w:tblGrid>
            <w:tr w14:paraId="1C16D5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cantSplit/>
                <w:trHeight w:val="284" w:hRule="atLeast"/>
                <w:jc w:val="center"/>
              </w:trPr>
              <w:tc>
                <w:tcPr>
                  <w:tcW w:w="1546" w:type="pct"/>
                  <w:noWrap w:val="0"/>
                  <w:vAlign w:val="center"/>
                </w:tcPr>
                <w:p w14:paraId="2F665EFA">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噪声源名称</w:t>
                  </w:r>
                </w:p>
              </w:tc>
              <w:tc>
                <w:tcPr>
                  <w:tcW w:w="863" w:type="pct"/>
                  <w:noWrap w:val="0"/>
                  <w:vAlign w:val="center"/>
                </w:tcPr>
                <w:p w14:paraId="7D9F1BE0">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厂界东</w:t>
                  </w:r>
                </w:p>
              </w:tc>
              <w:tc>
                <w:tcPr>
                  <w:tcW w:w="863" w:type="pct"/>
                  <w:noWrap w:val="0"/>
                  <w:vAlign w:val="center"/>
                </w:tcPr>
                <w:p w14:paraId="10BF270A">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厂界南</w:t>
                  </w:r>
                </w:p>
              </w:tc>
              <w:tc>
                <w:tcPr>
                  <w:tcW w:w="863" w:type="pct"/>
                  <w:noWrap w:val="0"/>
                  <w:vAlign w:val="center"/>
                </w:tcPr>
                <w:p w14:paraId="553C59DA">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厂界西</w:t>
                  </w:r>
                </w:p>
              </w:tc>
              <w:tc>
                <w:tcPr>
                  <w:tcW w:w="864" w:type="pct"/>
                  <w:noWrap w:val="0"/>
                  <w:vAlign w:val="center"/>
                </w:tcPr>
                <w:p w14:paraId="2E331A08">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厂界北</w:t>
                  </w:r>
                </w:p>
              </w:tc>
            </w:tr>
            <w:tr w14:paraId="3A55B0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cantSplit/>
                <w:trHeight w:val="284" w:hRule="atLeast"/>
                <w:jc w:val="center"/>
              </w:trPr>
              <w:tc>
                <w:tcPr>
                  <w:tcW w:w="1546" w:type="pct"/>
                  <w:noWrap w:val="0"/>
                  <w:vAlign w:val="center"/>
                </w:tcPr>
                <w:p w14:paraId="58A79A75">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贡献值（昼间）</w:t>
                  </w:r>
                </w:p>
              </w:tc>
              <w:tc>
                <w:tcPr>
                  <w:tcW w:w="863" w:type="pct"/>
                  <w:noWrap w:val="0"/>
                  <w:vAlign w:val="center"/>
                </w:tcPr>
                <w:p w14:paraId="30EA68FF">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42.5</w:t>
                  </w:r>
                </w:p>
              </w:tc>
              <w:tc>
                <w:tcPr>
                  <w:tcW w:w="863" w:type="pct"/>
                  <w:noWrap w:val="0"/>
                  <w:vAlign w:val="center"/>
                </w:tcPr>
                <w:p w14:paraId="72EB4A43">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44.8</w:t>
                  </w:r>
                </w:p>
              </w:tc>
              <w:tc>
                <w:tcPr>
                  <w:tcW w:w="863" w:type="pct"/>
                  <w:noWrap w:val="0"/>
                  <w:vAlign w:val="center"/>
                </w:tcPr>
                <w:p w14:paraId="73C46D78">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47.2</w:t>
                  </w:r>
                </w:p>
              </w:tc>
              <w:tc>
                <w:tcPr>
                  <w:tcW w:w="864" w:type="pct"/>
                  <w:noWrap w:val="0"/>
                  <w:vAlign w:val="center"/>
                </w:tcPr>
                <w:p w14:paraId="3B088102">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43.</w:t>
                  </w:r>
                  <w:r>
                    <w:rPr>
                      <w:rFonts w:hint="default" w:ascii="Times New Roman" w:hAnsi="Times New Roman" w:eastAsia="宋体" w:cs="Times New Roman"/>
                      <w:color w:val="auto"/>
                      <w:sz w:val="21"/>
                      <w:szCs w:val="21"/>
                      <w:lang w:val="en-US" w:eastAsia="zh-CN"/>
                    </w:rPr>
                    <w:t>7</w:t>
                  </w:r>
                </w:p>
              </w:tc>
            </w:tr>
            <w:tr w14:paraId="7BBC237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cantSplit/>
                <w:trHeight w:val="284" w:hRule="atLeast"/>
                <w:jc w:val="center"/>
              </w:trPr>
              <w:tc>
                <w:tcPr>
                  <w:tcW w:w="1546" w:type="pct"/>
                  <w:noWrap w:val="0"/>
                  <w:vAlign w:val="center"/>
                </w:tcPr>
                <w:p w14:paraId="01DAAF8E">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3454" w:type="pct"/>
                  <w:gridSpan w:val="4"/>
                  <w:noWrap w:val="0"/>
                  <w:vAlign w:val="center"/>
                </w:tcPr>
                <w:p w14:paraId="3E94713F">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color w:val="auto"/>
                      <w:sz w:val="21"/>
                      <w:szCs w:val="21"/>
                    </w:rPr>
                  </w:pPr>
                  <w:r>
                    <w:rPr>
                      <w:rFonts w:hint="eastAsia" w:ascii="Times New Roman" w:cs="Times New Roman"/>
                      <w:color w:val="auto"/>
                      <w:sz w:val="21"/>
                      <w:szCs w:val="21"/>
                      <w:lang w:val="en-US" w:eastAsia="zh-CN"/>
                    </w:rPr>
                    <w:t>60</w:t>
                  </w:r>
                  <w:r>
                    <w:rPr>
                      <w:rFonts w:hint="default" w:ascii="Times New Roman" w:hAnsi="Times New Roman" w:eastAsia="宋体" w:cs="Times New Roman"/>
                      <w:color w:val="auto"/>
                      <w:sz w:val="21"/>
                      <w:szCs w:val="21"/>
                    </w:rPr>
                    <w:t>（昼）</w:t>
                  </w:r>
                </w:p>
              </w:tc>
            </w:tr>
            <w:tr w14:paraId="13464C4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cantSplit/>
                <w:trHeight w:val="284" w:hRule="atLeast"/>
                <w:jc w:val="center"/>
              </w:trPr>
              <w:tc>
                <w:tcPr>
                  <w:tcW w:w="1546" w:type="pct"/>
                  <w:noWrap w:val="0"/>
                  <w:vAlign w:val="center"/>
                </w:tcPr>
                <w:p w14:paraId="38793FBE">
                  <w:pPr>
                    <w:pStyle w:val="116"/>
                    <w:keepNext w:val="0"/>
                    <w:keepLines w:val="0"/>
                    <w:pageBreakBefore w:val="0"/>
                    <w:widowControl w:val="0"/>
                    <w:kinsoku/>
                    <w:wordWrap/>
                    <w:overflowPunct/>
                    <w:topLinePunct/>
                    <w:autoSpaceDE/>
                    <w:autoSpaceDN/>
                    <w:bidi w:val="0"/>
                    <w:adjustRightInd/>
                    <w:snapToGrid/>
                    <w:spacing w:before="0" w:beforeAutospacing="0" w:afterAutospacing="0" w:line="240" w:lineRule="auto"/>
                    <w:ind w:left="0" w:leftChars="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是否达标</w:t>
                  </w:r>
                </w:p>
              </w:tc>
              <w:tc>
                <w:tcPr>
                  <w:tcW w:w="863" w:type="pct"/>
                  <w:noWrap w:val="0"/>
                  <w:vAlign w:val="center"/>
                </w:tcPr>
                <w:p w14:paraId="51C29842">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863" w:type="pct"/>
                  <w:noWrap w:val="0"/>
                  <w:vAlign w:val="center"/>
                </w:tcPr>
                <w:p w14:paraId="50110450">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863" w:type="pct"/>
                  <w:noWrap w:val="0"/>
                  <w:vAlign w:val="center"/>
                </w:tcPr>
                <w:p w14:paraId="4CB8935B">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864" w:type="pct"/>
                  <w:noWrap w:val="0"/>
                  <w:vAlign w:val="center"/>
                </w:tcPr>
                <w:p w14:paraId="597757EA">
                  <w:pPr>
                    <w:keepNext w:val="0"/>
                    <w:keepLines w:val="0"/>
                    <w:pageBreakBefore w:val="0"/>
                    <w:widowControl w:val="0"/>
                    <w:kinsoku/>
                    <w:wordWrap/>
                    <w:overflowPunct/>
                    <w:topLinePunct/>
                    <w:autoSpaceDE/>
                    <w:autoSpaceDN/>
                    <w:bidi w:val="0"/>
                    <w:adjustRightInd/>
                    <w:snapToGrid/>
                    <w:spacing w:beforeAutospacing="0" w:afterAutospacing="0" w:line="240" w:lineRule="auto"/>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7B3945AF">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20" w:firstLineChars="200"/>
              <w:textAlignment w:val="baseline"/>
              <w:rPr>
                <w:rFonts w:hint="default" w:ascii="Times New Roman" w:hAnsi="Times New Roman" w:eastAsia="宋体" w:cs="Times New Roman"/>
                <w:b w:val="0"/>
                <w:bCs/>
                <w:color w:val="auto"/>
                <w:sz w:val="21"/>
                <w:szCs w:val="21"/>
                <w:lang w:val="zh-CN"/>
              </w:rPr>
            </w:pPr>
            <w:r>
              <w:rPr>
                <w:rFonts w:hint="default" w:ascii="Times New Roman" w:hAnsi="Times New Roman" w:eastAsia="宋体" w:cs="Times New Roman"/>
                <w:b w:val="0"/>
                <w:bCs/>
                <w:color w:val="auto"/>
                <w:sz w:val="21"/>
                <w:szCs w:val="21"/>
                <w:lang w:val="zh-CN"/>
              </w:rPr>
              <w:t>注：厂区夜间不生产。</w:t>
            </w:r>
          </w:p>
          <w:p w14:paraId="1A66D69D">
            <w:pPr>
              <w:pStyle w:val="4"/>
              <w:numPr>
                <w:ilvl w:val="2"/>
                <w:numId w:val="0"/>
              </w:numPr>
              <w:rPr>
                <w:rFonts w:hint="default"/>
                <w:color w:val="auto"/>
                <w:lang w:val="zh-CN"/>
              </w:rPr>
            </w:pPr>
          </w:p>
          <w:p w14:paraId="063F8E27">
            <w:pPr>
              <w:keepNext w:val="0"/>
              <w:keepLines w:val="0"/>
              <w:pageBreakBefore w:val="0"/>
              <w:widowControl w:val="0"/>
              <w:kinsoku/>
              <w:wordWrap/>
              <w:overflowPunct/>
              <w:topLinePunct/>
              <w:autoSpaceDE/>
              <w:autoSpaceDN/>
              <w:bidi w:val="0"/>
              <w:adjustRightInd/>
              <w:snapToGrid/>
              <w:spacing w:beforeAutospacing="0" w:afterAutospacing="0" w:line="360" w:lineRule="auto"/>
              <w:ind w:right="0" w:firstLine="482" w:firstLineChars="200"/>
              <w:jc w:val="center"/>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表</w:t>
            </w:r>
            <w:r>
              <w:rPr>
                <w:rFonts w:hint="eastAsia" w:ascii="Times New Roman" w:hAnsi="Times New Roman" w:eastAsia="宋体" w:cs="Times New Roman"/>
                <w:b/>
                <w:color w:val="auto"/>
                <w:sz w:val="24"/>
                <w:szCs w:val="24"/>
                <w:lang w:val="zh-CN"/>
              </w:rPr>
              <w:t>4</w:t>
            </w:r>
            <w:r>
              <w:rPr>
                <w:rFonts w:hint="default" w:ascii="Times New Roman" w:hAnsi="Times New Roman" w:eastAsia="宋体" w:cs="Times New Roman"/>
                <w:b/>
                <w:color w:val="auto"/>
                <w:sz w:val="24"/>
                <w:szCs w:val="24"/>
                <w:lang w:val="zh-CN"/>
              </w:rPr>
              <w:t>-</w:t>
            </w:r>
            <w:r>
              <w:rPr>
                <w:rFonts w:hint="eastAsia" w:ascii="Times New Roman" w:hAnsi="Times New Roman" w:eastAsia="宋体" w:cs="Times New Roman"/>
                <w:b/>
                <w:color w:val="auto"/>
                <w:sz w:val="24"/>
                <w:szCs w:val="24"/>
                <w:lang w:val="zh-CN"/>
              </w:rPr>
              <w:t>15</w:t>
            </w:r>
            <w:r>
              <w:rPr>
                <w:rFonts w:hint="default" w:ascii="Times New Roman" w:hAnsi="Times New Roman" w:eastAsia="宋体" w:cs="Times New Roman"/>
                <w:b/>
                <w:color w:val="auto"/>
                <w:sz w:val="24"/>
                <w:szCs w:val="24"/>
                <w:lang w:val="zh-CN"/>
              </w:rPr>
              <w:t xml:space="preserve"> </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val="zh-CN"/>
              </w:rPr>
              <w:t>项目</w:t>
            </w:r>
            <w:r>
              <w:rPr>
                <w:rFonts w:hint="eastAsia" w:ascii="Times New Roman" w:hAnsi="Times New Roman" w:eastAsia="宋体" w:cs="Times New Roman"/>
                <w:b/>
                <w:color w:val="auto"/>
                <w:sz w:val="24"/>
                <w:szCs w:val="24"/>
                <w:lang w:val="zh-CN"/>
              </w:rPr>
              <w:t>环境保护目标处</w:t>
            </w:r>
            <w:r>
              <w:rPr>
                <w:rFonts w:hint="default" w:ascii="Times New Roman" w:hAnsi="Times New Roman" w:eastAsia="宋体" w:cs="Times New Roman"/>
                <w:b/>
                <w:color w:val="auto"/>
                <w:sz w:val="24"/>
                <w:szCs w:val="24"/>
                <w:lang w:val="zh-CN"/>
              </w:rPr>
              <w:t>噪声影响预测一览表</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val="zh-CN"/>
              </w:rPr>
              <w:t>单位：dB（A）</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94"/>
              <w:gridCol w:w="853"/>
              <w:gridCol w:w="854"/>
              <w:gridCol w:w="854"/>
              <w:gridCol w:w="854"/>
              <w:gridCol w:w="854"/>
              <w:gridCol w:w="854"/>
              <w:gridCol w:w="854"/>
              <w:gridCol w:w="788"/>
            </w:tblGrid>
            <w:tr w14:paraId="774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02" w:type="pct"/>
                  <w:vMerge w:val="restart"/>
                  <w:noWrap w:val="0"/>
                  <w:vAlign w:val="center"/>
                </w:tcPr>
                <w:p w14:paraId="019EAE22">
                  <w:pPr>
                    <w:keepNext w:val="0"/>
                    <w:keepLines w:val="0"/>
                    <w:pageBreakBefore w:val="0"/>
                    <w:kinsoku/>
                    <w:overflowPunct/>
                    <w:bidi w:val="0"/>
                    <w:adjustRightInd/>
                    <w:snapToGrid/>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预测点</w:t>
                  </w:r>
                </w:p>
              </w:tc>
              <w:tc>
                <w:tcPr>
                  <w:tcW w:w="936" w:type="pct"/>
                  <w:gridSpan w:val="2"/>
                  <w:noWrap w:val="0"/>
                  <w:vAlign w:val="center"/>
                </w:tcPr>
                <w:p w14:paraId="1D622571">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ascii="Times New Roman" w:hAnsi="Times New Roman" w:cs="Times New Roman"/>
                      <w:b/>
                      <w:bCs/>
                      <w:color w:val="auto"/>
                      <w:sz w:val="21"/>
                      <w:szCs w:val="21"/>
                    </w:rPr>
                    <w:t>贡献值</w:t>
                  </w:r>
                </w:p>
              </w:tc>
              <w:tc>
                <w:tcPr>
                  <w:tcW w:w="971" w:type="pct"/>
                  <w:gridSpan w:val="2"/>
                  <w:noWrap w:val="0"/>
                  <w:vAlign w:val="center"/>
                </w:tcPr>
                <w:p w14:paraId="674AD926">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背景值</w:t>
                  </w:r>
                </w:p>
              </w:tc>
              <w:tc>
                <w:tcPr>
                  <w:tcW w:w="971" w:type="pct"/>
                  <w:gridSpan w:val="2"/>
                  <w:noWrap w:val="0"/>
                  <w:vAlign w:val="center"/>
                </w:tcPr>
                <w:p w14:paraId="076C6153">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预测值</w:t>
                  </w:r>
                </w:p>
              </w:tc>
              <w:tc>
                <w:tcPr>
                  <w:tcW w:w="971" w:type="pct"/>
                  <w:gridSpan w:val="2"/>
                  <w:noWrap w:val="0"/>
                  <w:vAlign w:val="center"/>
                </w:tcPr>
                <w:p w14:paraId="5F94DD89">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标准值</w:t>
                  </w:r>
                </w:p>
              </w:tc>
              <w:tc>
                <w:tcPr>
                  <w:tcW w:w="448" w:type="pct"/>
                  <w:vMerge w:val="restart"/>
                  <w:noWrap w:val="0"/>
                  <w:vAlign w:val="center"/>
                </w:tcPr>
                <w:p w14:paraId="294DBA2E">
                  <w:pPr>
                    <w:keepNext w:val="0"/>
                    <w:keepLines w:val="0"/>
                    <w:pageBreakBefore w:val="0"/>
                    <w:kinsoku/>
                    <w:overflowPunct/>
                    <w:bidi w:val="0"/>
                    <w:adjustRightInd/>
                    <w:snapToGrid/>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是否达标</w:t>
                  </w:r>
                </w:p>
              </w:tc>
            </w:tr>
            <w:tr w14:paraId="589A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02" w:type="pct"/>
                  <w:vMerge w:val="continue"/>
                  <w:noWrap w:val="0"/>
                  <w:vAlign w:val="center"/>
                </w:tcPr>
                <w:p w14:paraId="019C3295">
                  <w:pPr>
                    <w:keepNext w:val="0"/>
                    <w:keepLines w:val="0"/>
                    <w:pageBreakBefore w:val="0"/>
                    <w:kinsoku/>
                    <w:overflowPunct/>
                    <w:bidi w:val="0"/>
                    <w:adjustRightInd/>
                    <w:snapToGrid/>
                    <w:jc w:val="center"/>
                    <w:rPr>
                      <w:rFonts w:ascii="Times New Roman" w:hAnsi="Times New Roman" w:cs="Times New Roman"/>
                      <w:b/>
                      <w:bCs/>
                      <w:color w:val="auto"/>
                      <w:sz w:val="21"/>
                      <w:szCs w:val="21"/>
                    </w:rPr>
                  </w:pPr>
                </w:p>
              </w:tc>
              <w:tc>
                <w:tcPr>
                  <w:tcW w:w="451" w:type="pct"/>
                  <w:noWrap w:val="0"/>
                  <w:vAlign w:val="center"/>
                </w:tcPr>
                <w:p w14:paraId="37A254AC">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昼间</w:t>
                  </w:r>
                </w:p>
              </w:tc>
              <w:tc>
                <w:tcPr>
                  <w:tcW w:w="484" w:type="pct"/>
                  <w:noWrap w:val="0"/>
                  <w:vAlign w:val="center"/>
                </w:tcPr>
                <w:p w14:paraId="1F8AC489">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夜间</w:t>
                  </w:r>
                </w:p>
              </w:tc>
              <w:tc>
                <w:tcPr>
                  <w:tcW w:w="485" w:type="pct"/>
                  <w:noWrap w:val="0"/>
                  <w:vAlign w:val="center"/>
                </w:tcPr>
                <w:p w14:paraId="7F836F23">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昼间</w:t>
                  </w:r>
                </w:p>
              </w:tc>
              <w:tc>
                <w:tcPr>
                  <w:tcW w:w="485" w:type="pct"/>
                  <w:noWrap w:val="0"/>
                  <w:vAlign w:val="center"/>
                </w:tcPr>
                <w:p w14:paraId="7108CF3D">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夜间</w:t>
                  </w:r>
                </w:p>
              </w:tc>
              <w:tc>
                <w:tcPr>
                  <w:tcW w:w="485" w:type="pct"/>
                  <w:noWrap w:val="0"/>
                  <w:vAlign w:val="center"/>
                </w:tcPr>
                <w:p w14:paraId="60F7597C">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昼间</w:t>
                  </w:r>
                </w:p>
              </w:tc>
              <w:tc>
                <w:tcPr>
                  <w:tcW w:w="485" w:type="pct"/>
                  <w:noWrap w:val="0"/>
                  <w:vAlign w:val="center"/>
                </w:tcPr>
                <w:p w14:paraId="016C652A">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夜间</w:t>
                  </w:r>
                </w:p>
              </w:tc>
              <w:tc>
                <w:tcPr>
                  <w:tcW w:w="485" w:type="pct"/>
                  <w:noWrap w:val="0"/>
                  <w:vAlign w:val="center"/>
                </w:tcPr>
                <w:p w14:paraId="56017394">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昼间</w:t>
                  </w:r>
                </w:p>
              </w:tc>
              <w:tc>
                <w:tcPr>
                  <w:tcW w:w="485" w:type="pct"/>
                  <w:noWrap w:val="0"/>
                  <w:vAlign w:val="center"/>
                </w:tcPr>
                <w:p w14:paraId="072176E4">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r>
                    <w:rPr>
                      <w:rFonts w:hint="eastAsia" w:ascii="Times New Roman" w:hAnsi="Times New Roman" w:cs="Times New Roman"/>
                      <w:b/>
                      <w:bCs/>
                      <w:color w:val="auto"/>
                      <w:sz w:val="21"/>
                      <w:szCs w:val="21"/>
                    </w:rPr>
                    <w:t>夜间</w:t>
                  </w:r>
                </w:p>
              </w:tc>
              <w:tc>
                <w:tcPr>
                  <w:tcW w:w="448" w:type="pct"/>
                  <w:vMerge w:val="continue"/>
                  <w:noWrap w:val="0"/>
                  <w:vAlign w:val="center"/>
                </w:tcPr>
                <w:p w14:paraId="12A2CBAE">
                  <w:pPr>
                    <w:keepNext w:val="0"/>
                    <w:keepLines w:val="0"/>
                    <w:pageBreakBefore w:val="0"/>
                    <w:kinsoku/>
                    <w:overflowPunct/>
                    <w:bidi w:val="0"/>
                    <w:adjustRightInd/>
                    <w:snapToGrid/>
                    <w:jc w:val="center"/>
                    <w:rPr>
                      <w:rFonts w:hint="eastAsia" w:ascii="Times New Roman" w:hAnsi="Times New Roman" w:cs="Times New Roman"/>
                      <w:b/>
                      <w:bCs/>
                      <w:color w:val="auto"/>
                      <w:sz w:val="21"/>
                      <w:szCs w:val="21"/>
                    </w:rPr>
                  </w:pPr>
                </w:p>
              </w:tc>
            </w:tr>
            <w:tr w14:paraId="46F4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02" w:type="pct"/>
                  <w:noWrap w:val="0"/>
                  <w:vAlign w:val="center"/>
                </w:tcPr>
                <w:p w14:paraId="52400968">
                  <w:pPr>
                    <w:keepNext w:val="0"/>
                    <w:keepLines w:val="0"/>
                    <w:pageBreakBefore w:val="0"/>
                    <w:kinsoku/>
                    <w:overflowPunct/>
                    <w:bidi w:val="0"/>
                    <w:adjustRightInd/>
                    <w:snapToGrid/>
                    <w:jc w:val="center"/>
                    <w:rPr>
                      <w:rFonts w:ascii="Times New Roman" w:hAnsi="Times New Roman" w:cs="Times New Roman"/>
                      <w:b/>
                      <w:color w:val="auto"/>
                      <w:sz w:val="21"/>
                      <w:szCs w:val="21"/>
                    </w:rPr>
                  </w:pPr>
                  <w:r>
                    <w:rPr>
                      <w:rFonts w:hint="eastAsia" w:ascii="Times New Roman" w:hAnsi="Times New Roman" w:cs="Times New Roman"/>
                      <w:color w:val="auto"/>
                      <w:sz w:val="21"/>
                      <w:szCs w:val="21"/>
                    </w:rPr>
                    <w:t>村民散户1</w:t>
                  </w:r>
                </w:p>
              </w:tc>
              <w:tc>
                <w:tcPr>
                  <w:tcW w:w="451" w:type="pct"/>
                  <w:noWrap w:val="0"/>
                  <w:vAlign w:val="center"/>
                </w:tcPr>
                <w:p w14:paraId="2B17EE01">
                  <w:pPr>
                    <w:keepNext w:val="0"/>
                    <w:keepLines w:val="0"/>
                    <w:pageBreakBefore w:val="0"/>
                    <w:kinsoku/>
                    <w:overflowPunct/>
                    <w:bidi w:val="0"/>
                    <w:adjustRightInd/>
                    <w:snapToGri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20.7</w:t>
                  </w:r>
                </w:p>
              </w:tc>
              <w:tc>
                <w:tcPr>
                  <w:tcW w:w="484" w:type="pct"/>
                  <w:noWrap w:val="0"/>
                  <w:vAlign w:val="center"/>
                </w:tcPr>
                <w:p w14:paraId="3C8A7B4B">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485" w:type="pct"/>
                  <w:noWrap w:val="0"/>
                  <w:vAlign w:val="center"/>
                </w:tcPr>
                <w:p w14:paraId="78311E1B">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52.3</w:t>
                  </w:r>
                </w:p>
              </w:tc>
              <w:tc>
                <w:tcPr>
                  <w:tcW w:w="485" w:type="pct"/>
                  <w:noWrap w:val="0"/>
                  <w:vAlign w:val="center"/>
                </w:tcPr>
                <w:p w14:paraId="433F646C">
                  <w:pPr>
                    <w:keepNext w:val="0"/>
                    <w:keepLines w:val="0"/>
                    <w:pageBreakBefore w:val="0"/>
                    <w:kinsoku/>
                    <w:overflowPunct/>
                    <w:bidi w:val="0"/>
                    <w:adjustRightInd/>
                    <w:snapToGrid/>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w:t>
                  </w:r>
                </w:p>
              </w:tc>
              <w:tc>
                <w:tcPr>
                  <w:tcW w:w="485" w:type="pct"/>
                  <w:noWrap w:val="0"/>
                  <w:vAlign w:val="center"/>
                </w:tcPr>
                <w:p w14:paraId="4FAED637">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52.30</w:t>
                  </w:r>
                </w:p>
              </w:tc>
              <w:tc>
                <w:tcPr>
                  <w:tcW w:w="485" w:type="pct"/>
                  <w:noWrap w:val="0"/>
                  <w:vAlign w:val="center"/>
                </w:tcPr>
                <w:p w14:paraId="7E7E20EC">
                  <w:pPr>
                    <w:keepNext w:val="0"/>
                    <w:keepLines w:val="0"/>
                    <w:pageBreakBefore w:val="0"/>
                    <w:kinsoku/>
                    <w:overflowPunct/>
                    <w:bidi w:val="0"/>
                    <w:adjustRightInd/>
                    <w:snapToGrid/>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w:t>
                  </w:r>
                </w:p>
              </w:tc>
              <w:tc>
                <w:tcPr>
                  <w:tcW w:w="485" w:type="pct"/>
                  <w:noWrap w:val="0"/>
                  <w:vAlign w:val="center"/>
                </w:tcPr>
                <w:p w14:paraId="65237162">
                  <w:pPr>
                    <w:keepNext w:val="0"/>
                    <w:keepLines w:val="0"/>
                    <w:pageBreakBefore w:val="0"/>
                    <w:kinsoku/>
                    <w:overflowPunct/>
                    <w:bidi w:val="0"/>
                    <w:adjustRightInd/>
                    <w:snapToGrid/>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60</w:t>
                  </w:r>
                </w:p>
              </w:tc>
              <w:tc>
                <w:tcPr>
                  <w:tcW w:w="485" w:type="pct"/>
                  <w:noWrap w:val="0"/>
                  <w:vAlign w:val="center"/>
                </w:tcPr>
                <w:p w14:paraId="2DFC0C10">
                  <w:pPr>
                    <w:keepNext w:val="0"/>
                    <w:keepLines w:val="0"/>
                    <w:pageBreakBefore w:val="0"/>
                    <w:kinsoku/>
                    <w:overflowPunct/>
                    <w:bidi w:val="0"/>
                    <w:adjustRightInd/>
                    <w:snapToGrid/>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50</w:t>
                  </w:r>
                </w:p>
              </w:tc>
              <w:tc>
                <w:tcPr>
                  <w:tcW w:w="448" w:type="pct"/>
                  <w:noWrap w:val="0"/>
                  <w:vAlign w:val="center"/>
                </w:tcPr>
                <w:p w14:paraId="19E70894">
                  <w:pPr>
                    <w:keepNext w:val="0"/>
                    <w:keepLines w:val="0"/>
                    <w:pageBreakBefore w:val="0"/>
                    <w:kinsoku/>
                    <w:overflowPunct/>
                    <w:bidi w:val="0"/>
                    <w:adjustRightInd/>
                    <w:snapToGri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达标</w:t>
                  </w:r>
                </w:p>
              </w:tc>
            </w:tr>
            <w:tr w14:paraId="2233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02" w:type="pct"/>
                  <w:noWrap w:val="0"/>
                  <w:vAlign w:val="center"/>
                </w:tcPr>
                <w:p w14:paraId="4537B54A">
                  <w:pPr>
                    <w:keepNext w:val="0"/>
                    <w:keepLines w:val="0"/>
                    <w:pageBreakBefore w:val="0"/>
                    <w:kinsoku/>
                    <w:overflowPunct/>
                    <w:bidi w:val="0"/>
                    <w:adjustRightInd/>
                    <w:snapToGrid/>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村民散户2</w:t>
                  </w:r>
                </w:p>
              </w:tc>
              <w:tc>
                <w:tcPr>
                  <w:tcW w:w="451" w:type="pct"/>
                  <w:noWrap w:val="0"/>
                  <w:vAlign w:val="center"/>
                </w:tcPr>
                <w:p w14:paraId="2B425A0F">
                  <w:pPr>
                    <w:keepNext w:val="0"/>
                    <w:keepLines w:val="0"/>
                    <w:pageBreakBefore w:val="0"/>
                    <w:kinsoku/>
                    <w:overflowPunct/>
                    <w:bidi w:val="0"/>
                    <w:adjustRightInd/>
                    <w:snapToGri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35.6</w:t>
                  </w:r>
                </w:p>
              </w:tc>
              <w:tc>
                <w:tcPr>
                  <w:tcW w:w="484" w:type="pct"/>
                  <w:noWrap w:val="0"/>
                  <w:vAlign w:val="center"/>
                </w:tcPr>
                <w:p w14:paraId="05D60E8E">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485" w:type="pct"/>
                  <w:noWrap w:val="0"/>
                  <w:vAlign w:val="center"/>
                </w:tcPr>
                <w:p w14:paraId="4D33A960">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52.3</w:t>
                  </w:r>
                </w:p>
              </w:tc>
              <w:tc>
                <w:tcPr>
                  <w:tcW w:w="485" w:type="pct"/>
                  <w:noWrap w:val="0"/>
                  <w:vAlign w:val="center"/>
                </w:tcPr>
                <w:p w14:paraId="4B6F143F">
                  <w:pPr>
                    <w:keepNext w:val="0"/>
                    <w:keepLines w:val="0"/>
                    <w:pageBreakBefore w:val="0"/>
                    <w:kinsoku/>
                    <w:overflowPunct/>
                    <w:bidi w:val="0"/>
                    <w:adjustRightInd/>
                    <w:snapToGrid/>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w:t>
                  </w:r>
                </w:p>
              </w:tc>
              <w:tc>
                <w:tcPr>
                  <w:tcW w:w="485" w:type="pct"/>
                  <w:noWrap w:val="0"/>
                  <w:vAlign w:val="center"/>
                </w:tcPr>
                <w:p w14:paraId="30A9FA8F">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52.32</w:t>
                  </w:r>
                </w:p>
              </w:tc>
              <w:tc>
                <w:tcPr>
                  <w:tcW w:w="485" w:type="pct"/>
                  <w:noWrap w:val="0"/>
                  <w:vAlign w:val="center"/>
                </w:tcPr>
                <w:p w14:paraId="768A4375">
                  <w:pPr>
                    <w:keepNext w:val="0"/>
                    <w:keepLines w:val="0"/>
                    <w:pageBreakBefore w:val="0"/>
                    <w:kinsoku/>
                    <w:overflowPunct/>
                    <w:bidi w:val="0"/>
                    <w:adjustRightInd/>
                    <w:snapToGrid/>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w:t>
                  </w:r>
                </w:p>
              </w:tc>
              <w:tc>
                <w:tcPr>
                  <w:tcW w:w="485" w:type="pct"/>
                  <w:noWrap w:val="0"/>
                  <w:vAlign w:val="center"/>
                </w:tcPr>
                <w:p w14:paraId="1110BA75">
                  <w:pPr>
                    <w:keepNext w:val="0"/>
                    <w:keepLines w:val="0"/>
                    <w:pageBreakBefore w:val="0"/>
                    <w:kinsoku/>
                    <w:overflowPunct/>
                    <w:bidi w:val="0"/>
                    <w:adjustRightInd/>
                    <w:snapToGrid/>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60</w:t>
                  </w:r>
                </w:p>
              </w:tc>
              <w:tc>
                <w:tcPr>
                  <w:tcW w:w="485" w:type="pct"/>
                  <w:noWrap w:val="0"/>
                  <w:vAlign w:val="center"/>
                </w:tcPr>
                <w:p w14:paraId="468E4D0E">
                  <w:pPr>
                    <w:keepNext w:val="0"/>
                    <w:keepLines w:val="0"/>
                    <w:pageBreakBefore w:val="0"/>
                    <w:kinsoku/>
                    <w:overflowPunct/>
                    <w:bidi w:val="0"/>
                    <w:adjustRightInd/>
                    <w:snapToGrid/>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rPr>
                    <w:t>50</w:t>
                  </w:r>
                </w:p>
              </w:tc>
              <w:tc>
                <w:tcPr>
                  <w:tcW w:w="448" w:type="pct"/>
                  <w:noWrap w:val="0"/>
                  <w:vAlign w:val="center"/>
                </w:tcPr>
                <w:p w14:paraId="7894A69E">
                  <w:pPr>
                    <w:keepNext w:val="0"/>
                    <w:keepLines w:val="0"/>
                    <w:pageBreakBefore w:val="0"/>
                    <w:kinsoku/>
                    <w:overflowPunct/>
                    <w:bidi w:val="0"/>
                    <w:adjustRightInd/>
                    <w:snapToGrid/>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达标</w:t>
                  </w:r>
                </w:p>
              </w:tc>
            </w:tr>
          </w:tbl>
          <w:p w14:paraId="6872AF44">
            <w:pPr>
              <w:keepNext w:val="0"/>
              <w:keepLines w:val="0"/>
              <w:pageBreakBefore w:val="0"/>
              <w:widowControl w:val="0"/>
              <w:kinsoku/>
              <w:wordWrap/>
              <w:overflowPunct/>
              <w:topLinePunct/>
              <w:autoSpaceDE/>
              <w:autoSpaceDN/>
              <w:bidi w:val="0"/>
              <w:adjustRightInd/>
              <w:snapToGrid/>
              <w:spacing w:beforeAutospacing="0" w:afterAutospacing="0" w:line="360" w:lineRule="auto"/>
              <w:ind w:right="0" w:firstLine="472" w:firstLineChars="200"/>
              <w:textAlignment w:val="baseline"/>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根据预测结果，本项目</w:t>
            </w:r>
            <w:r>
              <w:rPr>
                <w:rFonts w:hint="eastAsia" w:ascii="Times New Roman" w:hAnsi="Times New Roman" w:cs="Times New Roman"/>
                <w:color w:val="auto"/>
                <w:spacing w:val="-2"/>
                <w:sz w:val="24"/>
                <w:szCs w:val="24"/>
              </w:rPr>
              <w:t>产噪</w:t>
            </w:r>
            <w:r>
              <w:rPr>
                <w:rFonts w:ascii="Times New Roman" w:hAnsi="Times New Roman" w:cs="Times New Roman"/>
                <w:color w:val="auto"/>
                <w:spacing w:val="-2"/>
                <w:sz w:val="24"/>
                <w:szCs w:val="24"/>
              </w:rPr>
              <w:t>设备经</w:t>
            </w:r>
            <w:r>
              <w:rPr>
                <w:rFonts w:hint="eastAsia" w:ascii="Times New Roman" w:hAnsi="Times New Roman" w:cs="Times New Roman"/>
                <w:color w:val="auto"/>
                <w:spacing w:val="-2"/>
                <w:sz w:val="24"/>
                <w:szCs w:val="24"/>
              </w:rPr>
              <w:t>采取</w:t>
            </w:r>
            <w:r>
              <w:rPr>
                <w:rFonts w:ascii="Times New Roman" w:hAnsi="Times New Roman" w:cs="Times New Roman"/>
                <w:color w:val="auto"/>
                <w:spacing w:val="-2"/>
                <w:sz w:val="24"/>
                <w:szCs w:val="24"/>
              </w:rPr>
              <w:t>相关的对策措施后，建设项目厂界噪声满足《工业企业厂界环境噪声排放标准》</w:t>
            </w:r>
            <w:r>
              <w:rPr>
                <w:rFonts w:hint="eastAsia" w:ascii="宋体" w:hAnsi="宋体"/>
                <w:color w:val="auto"/>
                <w:spacing w:val="-2"/>
                <w:sz w:val="24"/>
                <w:szCs w:val="24"/>
              </w:rPr>
              <w:t>(</w:t>
            </w:r>
            <w:r>
              <w:rPr>
                <w:rFonts w:ascii="Times New Roman" w:hAnsi="Times New Roman" w:cs="Times New Roman"/>
                <w:color w:val="auto"/>
                <w:spacing w:val="-2"/>
                <w:sz w:val="24"/>
                <w:szCs w:val="24"/>
              </w:rPr>
              <w:t>GB12348-2008</w:t>
            </w:r>
            <w:r>
              <w:rPr>
                <w:rFonts w:hint="eastAsia" w:ascii="宋体" w:hAnsi="宋体"/>
                <w:color w:val="auto"/>
                <w:spacing w:val="-2"/>
                <w:sz w:val="24"/>
                <w:szCs w:val="24"/>
              </w:rPr>
              <w:t>)</w:t>
            </w:r>
            <w:r>
              <w:rPr>
                <w:rFonts w:ascii="Times New Roman" w:hAnsi="Times New Roman" w:cs="Times New Roman"/>
                <w:color w:val="auto"/>
                <w:spacing w:val="-2"/>
                <w:sz w:val="24"/>
                <w:szCs w:val="24"/>
              </w:rPr>
              <w:t>中</w:t>
            </w:r>
            <w:r>
              <w:rPr>
                <w:rFonts w:hint="eastAsia" w:ascii="Times New Roman" w:hAnsi="Times New Roman" w:cs="Times New Roman"/>
                <w:color w:val="auto"/>
                <w:spacing w:val="-2"/>
                <w:sz w:val="24"/>
                <w:szCs w:val="24"/>
              </w:rPr>
              <w:t>2</w:t>
            </w:r>
            <w:r>
              <w:rPr>
                <w:rFonts w:ascii="Times New Roman" w:hAnsi="Times New Roman" w:cs="Times New Roman"/>
                <w:color w:val="auto"/>
                <w:spacing w:val="-2"/>
                <w:sz w:val="24"/>
                <w:szCs w:val="24"/>
              </w:rPr>
              <w:t>类标准要求。</w:t>
            </w:r>
            <w:r>
              <w:rPr>
                <w:rFonts w:hint="eastAsia" w:cs="Times New Roman"/>
                <w:color w:val="auto"/>
                <w:sz w:val="24"/>
                <w:lang w:val="en-US" w:eastAsia="zh-CN"/>
              </w:rPr>
              <w:t>敏感点噪声能够达到</w:t>
            </w:r>
            <w:r>
              <w:rPr>
                <w:rFonts w:hint="default" w:ascii="Times New Roman" w:hAnsi="Times New Roman" w:cs="Times New Roman"/>
                <w:color w:val="auto"/>
                <w:sz w:val="24"/>
              </w:rPr>
              <w:t>《声环境质量标准》（GB3096-2008）中</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类标准。因此，建设项目投产后对周围声环境影响较小。</w:t>
            </w:r>
          </w:p>
          <w:p w14:paraId="5FE17B49">
            <w:pPr>
              <w:keepNext w:val="0"/>
              <w:keepLines w:val="0"/>
              <w:pageBreakBefore w:val="0"/>
              <w:kinsoku/>
              <w:overflowPunct/>
              <w:bidi w:val="0"/>
              <w:adjustRightInd/>
              <w:snapToGrid/>
              <w:spacing w:line="360" w:lineRule="auto"/>
              <w:ind w:firstLine="472" w:firstLineChars="200"/>
              <w:rPr>
                <w:rFonts w:hint="default" w:ascii="Times New Roman" w:hAnsi="Times New Roman" w:eastAsia="宋体" w:cs="Times New Roman"/>
                <w:b/>
                <w:bCs/>
                <w:color w:val="auto"/>
                <w:kern w:val="0"/>
                <w:sz w:val="24"/>
                <w:szCs w:val="24"/>
              </w:rPr>
            </w:pPr>
            <w:r>
              <w:rPr>
                <w:rFonts w:hint="eastAsia" w:ascii="Times New Roman" w:hAnsi="Times New Roman" w:cs="Times New Roman"/>
                <w:color w:val="auto"/>
                <w:spacing w:val="-2"/>
                <w:sz w:val="24"/>
                <w:szCs w:val="24"/>
              </w:rPr>
              <w:t>为进一步防止项目生产产生的噪声对周边环境的影响,确保厂界噪声达标排放，本环评建议</w:t>
            </w:r>
            <w:r>
              <w:rPr>
                <w:rFonts w:hint="eastAsia" w:ascii="Times New Roman" w:hAnsi="Times New Roman" w:cs="Times New Roman"/>
                <w:color w:val="auto"/>
                <w:spacing w:val="-2"/>
                <w:sz w:val="24"/>
                <w:szCs w:val="24"/>
                <w:lang w:eastAsia="zh-CN"/>
              </w:rPr>
              <w:t>采取以下措施</w:t>
            </w:r>
            <w:r>
              <w:rPr>
                <w:rFonts w:hint="eastAsia" w:ascii="Times New Roman" w:hAnsi="Times New Roman" w:cs="Times New Roman"/>
                <w:color w:val="auto"/>
                <w:spacing w:val="-2"/>
                <w:sz w:val="24"/>
                <w:szCs w:val="24"/>
              </w:rPr>
              <w:t>：</w:t>
            </w:r>
          </w:p>
          <w:p w14:paraId="11DF8CFD">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firstLineChars="200"/>
              <w:rPr>
                <w:rFonts w:hint="default" w:ascii="Times New Roman" w:hAnsi="Times New Roman" w:eastAsia="宋体" w:cs="Times New Roman"/>
                <w:b/>
                <w:bCs/>
                <w:color w:val="auto"/>
                <w:kern w:val="24"/>
                <w:sz w:val="24"/>
                <w:szCs w:val="24"/>
              </w:rPr>
            </w:pPr>
            <w:r>
              <w:rPr>
                <w:rFonts w:hint="default" w:ascii="Times New Roman" w:hAnsi="Times New Roman" w:eastAsia="宋体" w:cs="Times New Roman"/>
                <w:b/>
                <w:bCs/>
                <w:color w:val="auto"/>
                <w:kern w:val="24"/>
                <w:sz w:val="24"/>
                <w:szCs w:val="24"/>
              </w:rPr>
              <w:t>（1）从噪声源上采取的治理措施</w:t>
            </w:r>
          </w:p>
          <w:p w14:paraId="62A6C05D">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根据本项目噪声源特征，建议在设计和设备采购阶段，优先选用低噪声设备，从而从声源上降低设备本身的噪声。拟建项目生产设备均置于室内，通过加装减震垫、厂房隔声等降噪措施，可使其噪声源强降低15dB(A)以上。</w:t>
            </w:r>
          </w:p>
          <w:p w14:paraId="6260A865">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firstLineChars="200"/>
              <w:rPr>
                <w:rFonts w:hint="default" w:ascii="Times New Roman" w:hAnsi="Times New Roman" w:eastAsia="宋体" w:cs="Times New Roman"/>
                <w:b/>
                <w:bCs/>
                <w:color w:val="auto"/>
                <w:kern w:val="24"/>
                <w:sz w:val="24"/>
                <w:szCs w:val="24"/>
              </w:rPr>
            </w:pPr>
            <w:r>
              <w:rPr>
                <w:rFonts w:hint="default" w:ascii="Times New Roman" w:hAnsi="Times New Roman" w:eastAsia="宋体" w:cs="Times New Roman"/>
                <w:b/>
                <w:bCs/>
                <w:color w:val="auto"/>
                <w:kern w:val="24"/>
                <w:sz w:val="24"/>
                <w:szCs w:val="24"/>
              </w:rPr>
              <w:t>（2）从噪声传播途径上采取的治理措施</w:t>
            </w:r>
          </w:p>
          <w:p w14:paraId="6C6BCEBB">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1）采用</w:t>
            </w:r>
            <w:r>
              <w:rPr>
                <w:rFonts w:hint="eastAsia" w:ascii="Times New Roman" w:hAnsi="Times New Roman" w:eastAsia="宋体" w:cs="Times New Roman"/>
                <w:bCs/>
                <w:color w:val="auto"/>
                <w:kern w:val="24"/>
                <w:sz w:val="24"/>
                <w:szCs w:val="24"/>
                <w:lang w:eastAsia="zh-CN"/>
              </w:rPr>
              <w:t>“</w:t>
            </w:r>
            <w:r>
              <w:rPr>
                <w:rFonts w:hint="default" w:ascii="Times New Roman" w:hAnsi="Times New Roman" w:eastAsia="宋体" w:cs="Times New Roman"/>
                <w:bCs/>
                <w:color w:val="auto"/>
                <w:kern w:val="24"/>
                <w:sz w:val="24"/>
                <w:szCs w:val="24"/>
              </w:rPr>
              <w:t>闹静分开</w:t>
            </w:r>
            <w:r>
              <w:rPr>
                <w:rFonts w:hint="eastAsia" w:ascii="Times New Roman" w:hAnsi="Times New Roman" w:eastAsia="宋体" w:cs="Times New Roman"/>
                <w:bCs/>
                <w:color w:val="auto"/>
                <w:kern w:val="24"/>
                <w:sz w:val="24"/>
                <w:szCs w:val="24"/>
                <w:lang w:eastAsia="zh-CN"/>
              </w:rPr>
              <w:t>”</w:t>
            </w:r>
            <w:r>
              <w:rPr>
                <w:rFonts w:hint="default" w:ascii="Times New Roman" w:hAnsi="Times New Roman" w:eastAsia="宋体" w:cs="Times New Roman"/>
                <w:bCs/>
                <w:color w:val="auto"/>
                <w:kern w:val="24"/>
                <w:sz w:val="24"/>
                <w:szCs w:val="24"/>
              </w:rPr>
              <w:t>和合理布局的设施原则，尽量将高噪声源远离声敏感区域或厂界。</w:t>
            </w:r>
          </w:p>
          <w:p w14:paraId="3FE25C28">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2）在主要噪声源设备及厂房周围，宜布置对噪声较不敏感的、有利于隔声的建筑物、构筑物，如辅助车间、仓库等。</w:t>
            </w:r>
          </w:p>
          <w:p w14:paraId="66053333">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3）在满足工艺流程要求的前提下，高噪声设备宜相对集中，并尽量布置在厂房内。</w:t>
            </w:r>
          </w:p>
          <w:p w14:paraId="5D019191">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4）在充分利用地形、地物隔挡噪声，主要噪声源低位布置。</w:t>
            </w:r>
          </w:p>
          <w:p w14:paraId="42CDD722">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5）有强烈震动的设备，不布置在楼板或平台上。</w:t>
            </w:r>
          </w:p>
          <w:p w14:paraId="4A53D674">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6）设备布置时，充分考虑其配用的噪声控制专用设备的安装和维修空间。</w:t>
            </w:r>
          </w:p>
          <w:p w14:paraId="0C90A2FE">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firstLineChars="200"/>
              <w:rPr>
                <w:rFonts w:hint="default" w:ascii="Times New Roman" w:hAnsi="Times New Roman" w:eastAsia="宋体" w:cs="Times New Roman"/>
                <w:b/>
                <w:bCs/>
                <w:color w:val="auto"/>
                <w:kern w:val="24"/>
                <w:sz w:val="24"/>
                <w:szCs w:val="24"/>
              </w:rPr>
            </w:pPr>
            <w:r>
              <w:rPr>
                <w:rFonts w:hint="default" w:ascii="Times New Roman" w:hAnsi="Times New Roman" w:eastAsia="宋体" w:cs="Times New Roman"/>
                <w:b/>
                <w:bCs/>
                <w:color w:val="auto"/>
                <w:kern w:val="24"/>
                <w:sz w:val="24"/>
                <w:szCs w:val="24"/>
              </w:rPr>
              <w:t>（3）其他治理措施</w:t>
            </w:r>
          </w:p>
          <w:p w14:paraId="093509E5">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1）人员集中的</w:t>
            </w:r>
            <w:r>
              <w:rPr>
                <w:rFonts w:hint="eastAsia" w:ascii="Times New Roman" w:hAnsi="Times New Roman" w:eastAsia="宋体" w:cs="Times New Roman"/>
                <w:bCs/>
                <w:color w:val="auto"/>
                <w:kern w:val="24"/>
                <w:sz w:val="24"/>
                <w:szCs w:val="24"/>
                <w:lang w:eastAsia="zh-CN"/>
              </w:rPr>
              <w:t>办公室</w:t>
            </w:r>
            <w:r>
              <w:rPr>
                <w:rFonts w:hint="default" w:ascii="Times New Roman" w:hAnsi="Times New Roman" w:eastAsia="宋体" w:cs="Times New Roman"/>
                <w:bCs/>
                <w:color w:val="auto"/>
                <w:kern w:val="24"/>
                <w:sz w:val="24"/>
                <w:szCs w:val="24"/>
              </w:rPr>
              <w:t>，其门窗等应进行隔声处理，使环境达到相应噪声标准；在高噪音场所，值班人员或检修人员应加强个体防护，佩戴防噪耳塞、耳罩等。</w:t>
            </w:r>
          </w:p>
          <w:p w14:paraId="0DF2EC6F">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2）厂区加强绿化，在厂界四周设置绿化带以起到降噪的作用。</w:t>
            </w:r>
          </w:p>
          <w:p w14:paraId="4FBCC345">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3）加强设备维护，确保设备处于良好的运转状态，杜绝因设备不正常运转时产生的高噪声现象。</w:t>
            </w:r>
          </w:p>
          <w:p w14:paraId="0FE35F1E">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color w:val="auto"/>
              </w:rPr>
            </w:pPr>
            <w:r>
              <w:rPr>
                <w:rFonts w:hint="eastAsia" w:ascii="Times New Roman" w:hAnsi="Times New Roman" w:eastAsia="宋体" w:cs="Times New Roman"/>
                <w:b w:val="0"/>
                <w:bCs/>
                <w:color w:val="auto"/>
                <w:kern w:val="24"/>
                <w:sz w:val="24"/>
                <w:szCs w:val="24"/>
                <w:lang w:val="en-US" w:eastAsia="zh-CN" w:bidi="ar-SA"/>
              </w:rPr>
              <w:t>4</w:t>
            </w:r>
            <w:r>
              <w:rPr>
                <w:rFonts w:hint="default" w:ascii="Times New Roman" w:hAnsi="Times New Roman" w:eastAsia="宋体" w:cs="Times New Roman"/>
                <w:b w:val="0"/>
                <w:bCs/>
                <w:color w:val="auto"/>
                <w:kern w:val="24"/>
                <w:sz w:val="24"/>
                <w:szCs w:val="24"/>
                <w:lang w:val="en-US" w:eastAsia="zh-CN" w:bidi="ar-SA"/>
              </w:rPr>
              <w:t>）废气处理风机外安装隔声罩、下方加装减振垫，隔声量达到2</w:t>
            </w:r>
            <w:r>
              <w:rPr>
                <w:rFonts w:hint="eastAsia" w:ascii="Times New Roman" w:hAnsi="Times New Roman" w:eastAsia="宋体" w:cs="Times New Roman"/>
                <w:b w:val="0"/>
                <w:bCs/>
                <w:color w:val="auto"/>
                <w:kern w:val="24"/>
                <w:sz w:val="24"/>
                <w:szCs w:val="24"/>
                <w:lang w:val="en-US" w:eastAsia="zh-CN" w:bidi="ar-SA"/>
              </w:rPr>
              <w:t>0</w:t>
            </w:r>
            <w:r>
              <w:rPr>
                <w:rFonts w:hint="default" w:ascii="Times New Roman" w:hAnsi="Times New Roman" w:eastAsia="宋体" w:cs="Times New Roman"/>
                <w:b w:val="0"/>
                <w:bCs/>
                <w:color w:val="auto"/>
                <w:kern w:val="24"/>
                <w:sz w:val="24"/>
                <w:szCs w:val="24"/>
                <w:lang w:val="en-US" w:eastAsia="zh-CN" w:bidi="ar-SA"/>
              </w:rPr>
              <w:t>dB(A)。</w:t>
            </w:r>
          </w:p>
          <w:p w14:paraId="1935E2AB">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0" w:firstLineChars="200"/>
              <w:rPr>
                <w:rFonts w:hint="default"/>
                <w:color w:val="auto"/>
                <w:sz w:val="24"/>
                <w:szCs w:val="24"/>
                <w:lang w:val="zh-CN"/>
              </w:rPr>
            </w:pPr>
            <w:r>
              <w:rPr>
                <w:rFonts w:hint="default" w:ascii="Times New Roman" w:hAnsi="Times New Roman" w:eastAsia="宋体" w:cs="Times New Roman"/>
                <w:bCs/>
                <w:color w:val="auto"/>
                <w:kern w:val="24"/>
                <w:sz w:val="24"/>
                <w:szCs w:val="24"/>
              </w:rPr>
              <w:t>通过采取上述治理措施后，可确保所有厂界噪声均达到《工业企业厂界环境噪声排放标准》（GB12348-2008）</w:t>
            </w:r>
            <w:r>
              <w:rPr>
                <w:rFonts w:hint="eastAsia" w:cs="Times New Roman"/>
                <w:bCs/>
                <w:color w:val="auto"/>
                <w:kern w:val="24"/>
                <w:sz w:val="24"/>
                <w:szCs w:val="24"/>
                <w:lang w:val="en-US" w:eastAsia="zh-CN"/>
              </w:rPr>
              <w:t>2</w:t>
            </w:r>
            <w:r>
              <w:rPr>
                <w:rFonts w:hint="default" w:ascii="Times New Roman" w:hAnsi="Times New Roman" w:eastAsia="宋体" w:cs="Times New Roman"/>
                <w:bCs/>
                <w:color w:val="auto"/>
                <w:kern w:val="24"/>
                <w:sz w:val="24"/>
                <w:szCs w:val="24"/>
              </w:rPr>
              <w:t>类标准，满足环境保护的要求，因此其防治措施可行。</w:t>
            </w:r>
          </w:p>
          <w:p w14:paraId="6C9D460D">
            <w:pPr>
              <w:keepNext w:val="0"/>
              <w:keepLines w:val="0"/>
              <w:pageBreakBefore w:val="0"/>
              <w:widowControl w:val="0"/>
              <w:kinsoku/>
              <w:wordWrap/>
              <w:overflowPunct/>
              <w:topLinePunct/>
              <w:autoSpaceDE/>
              <w:autoSpaceDN/>
              <w:bidi w:val="0"/>
              <w:adjustRightInd/>
              <w:snapToGrid/>
              <w:spacing w:beforeAutospacing="0" w:afterAutospacing="0" w:line="360" w:lineRule="auto"/>
              <w:ind w:left="0" w:leftChars="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3、噪声监测计划</w:t>
            </w:r>
          </w:p>
          <w:p w14:paraId="6870DD0E">
            <w:pPr>
              <w:keepNext w:val="0"/>
              <w:keepLines w:val="0"/>
              <w:pageBreakBefore w:val="0"/>
              <w:kinsoku/>
              <w:overflowPunct/>
              <w:bidi w:val="0"/>
              <w:adjustRightInd/>
              <w:snapToGrid/>
              <w:spacing w:line="360" w:lineRule="auto"/>
              <w:ind w:firstLine="480" w:firstLineChars="200"/>
              <w:rPr>
                <w:rFonts w:hint="default" w:ascii="Times New Roman" w:hAnsi="Times New Roman" w:eastAsia="宋体" w:cs="Times New Roman"/>
                <w:color w:val="auto"/>
                <w:sz w:val="21"/>
                <w:szCs w:val="21"/>
              </w:rPr>
            </w:pPr>
            <w:r>
              <w:rPr>
                <w:rFonts w:hint="eastAsia" w:ascii="Times New Roman" w:hAnsi="Times New Roman" w:cs="Times New Roman"/>
                <w:color w:val="auto"/>
                <w:sz w:val="24"/>
                <w:szCs w:val="24"/>
              </w:rPr>
              <w:t>根据《排污单位自行监测技术指南 总则》（HJ819-2017）中对噪声监测要求</w:t>
            </w:r>
            <w:r>
              <w:rPr>
                <w:rFonts w:ascii="Times New Roman" w:hAnsi="Times New Roman" w:cs="Times New Roman"/>
                <w:color w:val="auto"/>
                <w:sz w:val="24"/>
                <w:szCs w:val="24"/>
              </w:rPr>
              <w:t>，项目监测点位设置、监测频次及最低监测频次按表4-</w:t>
            </w:r>
            <w:r>
              <w:rPr>
                <w:rFonts w:hint="eastAsia" w:ascii="Times New Roman" w:hAnsi="Times New Roman" w:cs="Times New Roman"/>
                <w:color w:val="auto"/>
                <w:sz w:val="24"/>
                <w:szCs w:val="24"/>
              </w:rPr>
              <w:t>16</w:t>
            </w:r>
            <w:r>
              <w:rPr>
                <w:rFonts w:ascii="Times New Roman" w:hAnsi="Times New Roman" w:cs="Times New Roman"/>
                <w:color w:val="auto"/>
                <w:sz w:val="24"/>
                <w:szCs w:val="24"/>
              </w:rPr>
              <w:t>执行。</w:t>
            </w:r>
            <w:r>
              <w:rPr>
                <w:rFonts w:hint="default" w:ascii="Times New Roman" w:hAnsi="Times New Roman" w:eastAsia="宋体" w:cs="Times New Roman"/>
                <w:color w:val="auto"/>
                <w:sz w:val="24"/>
                <w:szCs w:val="24"/>
              </w:rPr>
              <w:t>本项目噪声监测计划如下：</w:t>
            </w:r>
          </w:p>
          <w:p w14:paraId="776349AD">
            <w:pPr>
              <w:keepNext w:val="0"/>
              <w:keepLines w:val="0"/>
              <w:pageBreakBefore w:val="0"/>
              <w:widowControl w:val="0"/>
              <w:kinsoku/>
              <w:wordWrap/>
              <w:overflowPunct/>
              <w:topLinePunct/>
              <w:autoSpaceDE/>
              <w:autoSpaceDN/>
              <w:bidi w:val="0"/>
              <w:adjustRightInd/>
              <w:snapToGrid/>
              <w:spacing w:beforeAutospacing="0" w:afterAutospacing="0" w:line="360" w:lineRule="auto"/>
              <w:ind w:right="0" w:firstLine="482" w:firstLineChars="200"/>
              <w:jc w:val="center"/>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表4-</w:t>
            </w:r>
            <w:r>
              <w:rPr>
                <w:rFonts w:hint="default" w:ascii="Times New Roman" w:hAnsi="Times New Roman" w:eastAsia="宋体" w:cs="Times New Roman"/>
                <w:b/>
                <w:color w:val="auto"/>
                <w:sz w:val="24"/>
                <w:szCs w:val="24"/>
                <w:lang w:val="en-US" w:eastAsia="zh-CN"/>
              </w:rPr>
              <w:t>1</w:t>
            </w:r>
            <w:r>
              <w:rPr>
                <w:rFonts w:hint="eastAsia" w:ascii="Times New Roman" w:hAnsi="Times New Roman" w:eastAsia="宋体" w:cs="Times New Roman"/>
                <w:b/>
                <w:color w:val="auto"/>
                <w:sz w:val="24"/>
                <w:szCs w:val="24"/>
                <w:lang w:val="en-US" w:eastAsia="zh-CN"/>
              </w:rPr>
              <w:t xml:space="preserve">6  </w:t>
            </w:r>
            <w:r>
              <w:rPr>
                <w:rFonts w:hint="default" w:ascii="Times New Roman" w:hAnsi="Times New Roman" w:eastAsia="宋体" w:cs="Times New Roman"/>
                <w:b/>
                <w:color w:val="auto"/>
                <w:sz w:val="24"/>
                <w:szCs w:val="24"/>
                <w:lang w:val="zh-CN"/>
              </w:rPr>
              <w:t>项目噪声监测计划表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560"/>
              <w:gridCol w:w="1308"/>
              <w:gridCol w:w="1322"/>
              <w:gridCol w:w="3942"/>
            </w:tblGrid>
            <w:tr w14:paraId="1F44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78" w:type="pct"/>
                  <w:noWrap w:val="0"/>
                  <w:vAlign w:val="center"/>
                </w:tcPr>
                <w:p w14:paraId="4E21B648">
                  <w:pPr>
                    <w:keepNext w:val="0"/>
                    <w:keepLines w:val="0"/>
                    <w:pageBreakBefore w:val="0"/>
                    <w:kinsoku/>
                    <w:overflowPunct/>
                    <w:bidi w:val="0"/>
                    <w:adjustRightInd/>
                    <w:snapToGrid/>
                    <w:ind w:left="-120" w:leftChars="-50" w:right="-120" w:rightChars="-50"/>
                    <w:jc w:val="center"/>
                    <w:rPr>
                      <w:rFonts w:ascii="Times New Roman" w:hAnsi="Times New Roman" w:cs="Times New Roman"/>
                      <w:b/>
                      <w:color w:val="auto"/>
                      <w:sz w:val="21"/>
                      <w:szCs w:val="21"/>
                    </w:rPr>
                  </w:pPr>
                  <w:r>
                    <w:rPr>
                      <w:rFonts w:ascii="Times New Roman" w:hAnsi="Times New Roman" w:cs="Times New Roman"/>
                      <w:b/>
                      <w:color w:val="auto"/>
                      <w:sz w:val="21"/>
                      <w:szCs w:val="21"/>
                    </w:rPr>
                    <w:t>序号</w:t>
                  </w:r>
                </w:p>
              </w:tc>
              <w:tc>
                <w:tcPr>
                  <w:tcW w:w="886" w:type="pct"/>
                  <w:noWrap w:val="0"/>
                  <w:vAlign w:val="center"/>
                </w:tcPr>
                <w:p w14:paraId="2A6822BE">
                  <w:pPr>
                    <w:keepNext w:val="0"/>
                    <w:keepLines w:val="0"/>
                    <w:pageBreakBefore w:val="0"/>
                    <w:kinsoku/>
                    <w:overflowPunct/>
                    <w:bidi w:val="0"/>
                    <w:adjustRightInd/>
                    <w:snapToGrid/>
                    <w:jc w:val="center"/>
                    <w:rPr>
                      <w:rFonts w:ascii="Times New Roman" w:hAnsi="Times New Roman" w:cs="Times New Roman"/>
                      <w:b/>
                      <w:color w:val="auto"/>
                      <w:sz w:val="21"/>
                      <w:szCs w:val="21"/>
                    </w:rPr>
                  </w:pPr>
                  <w:r>
                    <w:rPr>
                      <w:rFonts w:ascii="Times New Roman" w:hAnsi="Times New Roman" w:cs="Times New Roman"/>
                      <w:b/>
                      <w:color w:val="auto"/>
                      <w:sz w:val="21"/>
                      <w:szCs w:val="21"/>
                    </w:rPr>
                    <w:t>监测点位</w:t>
                  </w:r>
                </w:p>
              </w:tc>
              <w:tc>
                <w:tcPr>
                  <w:tcW w:w="743" w:type="pct"/>
                  <w:noWrap w:val="0"/>
                  <w:vAlign w:val="center"/>
                </w:tcPr>
                <w:p w14:paraId="4D9318F9">
                  <w:pPr>
                    <w:keepNext w:val="0"/>
                    <w:keepLines w:val="0"/>
                    <w:pageBreakBefore w:val="0"/>
                    <w:kinsoku/>
                    <w:overflowPunct/>
                    <w:bidi w:val="0"/>
                    <w:adjustRightInd/>
                    <w:snapToGrid/>
                    <w:jc w:val="center"/>
                    <w:rPr>
                      <w:rFonts w:ascii="Times New Roman" w:hAnsi="Times New Roman" w:cs="Times New Roman"/>
                      <w:b/>
                      <w:color w:val="auto"/>
                      <w:sz w:val="21"/>
                      <w:szCs w:val="21"/>
                    </w:rPr>
                  </w:pPr>
                  <w:r>
                    <w:rPr>
                      <w:rFonts w:ascii="Times New Roman" w:hAnsi="Times New Roman" w:cs="Times New Roman"/>
                      <w:b/>
                      <w:color w:val="auto"/>
                      <w:sz w:val="21"/>
                      <w:szCs w:val="21"/>
                    </w:rPr>
                    <w:t>监测项目</w:t>
                  </w:r>
                </w:p>
              </w:tc>
              <w:tc>
                <w:tcPr>
                  <w:tcW w:w="751" w:type="pct"/>
                  <w:noWrap w:val="0"/>
                  <w:vAlign w:val="center"/>
                </w:tcPr>
                <w:p w14:paraId="3F476823">
                  <w:pPr>
                    <w:keepNext w:val="0"/>
                    <w:keepLines w:val="0"/>
                    <w:pageBreakBefore w:val="0"/>
                    <w:kinsoku/>
                    <w:overflowPunct/>
                    <w:bidi w:val="0"/>
                    <w:adjustRightInd/>
                    <w:snapToGrid/>
                    <w:jc w:val="center"/>
                    <w:rPr>
                      <w:rFonts w:ascii="Times New Roman" w:hAnsi="Times New Roman" w:cs="Times New Roman"/>
                      <w:b/>
                      <w:color w:val="auto"/>
                      <w:sz w:val="21"/>
                      <w:szCs w:val="21"/>
                    </w:rPr>
                  </w:pPr>
                  <w:r>
                    <w:rPr>
                      <w:rFonts w:ascii="Times New Roman" w:hAnsi="Times New Roman" w:cs="Times New Roman"/>
                      <w:b/>
                      <w:color w:val="auto"/>
                      <w:sz w:val="21"/>
                      <w:szCs w:val="21"/>
                    </w:rPr>
                    <w:t>频率</w:t>
                  </w:r>
                </w:p>
              </w:tc>
              <w:tc>
                <w:tcPr>
                  <w:tcW w:w="2240" w:type="pct"/>
                  <w:noWrap w:val="0"/>
                  <w:vAlign w:val="center"/>
                </w:tcPr>
                <w:p w14:paraId="774A7E98">
                  <w:pPr>
                    <w:keepNext w:val="0"/>
                    <w:keepLines w:val="0"/>
                    <w:pageBreakBefore w:val="0"/>
                    <w:kinsoku/>
                    <w:overflowPunct/>
                    <w:bidi w:val="0"/>
                    <w:adjustRightInd/>
                    <w:snapToGrid/>
                    <w:jc w:val="center"/>
                    <w:rPr>
                      <w:rFonts w:ascii="Times New Roman" w:hAnsi="Times New Roman" w:cs="Times New Roman"/>
                      <w:b/>
                      <w:color w:val="auto"/>
                      <w:sz w:val="21"/>
                      <w:szCs w:val="21"/>
                    </w:rPr>
                  </w:pPr>
                  <w:r>
                    <w:rPr>
                      <w:rFonts w:ascii="Times New Roman" w:hAnsi="Times New Roman" w:cs="Times New Roman"/>
                      <w:b/>
                      <w:color w:val="auto"/>
                      <w:sz w:val="21"/>
                      <w:szCs w:val="21"/>
                    </w:rPr>
                    <w:t>执行标准</w:t>
                  </w:r>
                </w:p>
              </w:tc>
            </w:tr>
            <w:tr w14:paraId="3AFA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78" w:type="pct"/>
                  <w:noWrap w:val="0"/>
                  <w:vAlign w:val="center"/>
                </w:tcPr>
                <w:p w14:paraId="41CFBA4A">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ascii="Times New Roman" w:hAnsi="Times New Roman" w:cs="Times New Roman"/>
                      <w:bCs/>
                      <w:color w:val="auto"/>
                      <w:sz w:val="21"/>
                      <w:szCs w:val="21"/>
                    </w:rPr>
                    <w:t>1</w:t>
                  </w:r>
                </w:p>
              </w:tc>
              <w:tc>
                <w:tcPr>
                  <w:tcW w:w="886" w:type="pct"/>
                  <w:noWrap w:val="0"/>
                  <w:vAlign w:val="center"/>
                </w:tcPr>
                <w:p w14:paraId="2912F4E5">
                  <w:pPr>
                    <w:keepNext w:val="0"/>
                    <w:keepLines w:val="0"/>
                    <w:pageBreakBefore w:val="0"/>
                    <w:kinsoku/>
                    <w:overflowPunct/>
                    <w:bidi w:val="0"/>
                    <w:adjustRightInd/>
                    <w:snapToGri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厂界东</w:t>
                  </w:r>
                </w:p>
              </w:tc>
              <w:tc>
                <w:tcPr>
                  <w:tcW w:w="743" w:type="pct"/>
                  <w:vMerge w:val="restart"/>
                  <w:noWrap w:val="0"/>
                  <w:vAlign w:val="center"/>
                </w:tcPr>
                <w:p w14:paraId="3029EDBE">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ascii="Times New Roman" w:hAnsi="Times New Roman" w:cs="Times New Roman"/>
                      <w:bCs/>
                      <w:color w:val="auto"/>
                      <w:sz w:val="21"/>
                      <w:szCs w:val="21"/>
                    </w:rPr>
                    <w:t>等效连续A声级（L</w:t>
                  </w:r>
                  <w:r>
                    <w:rPr>
                      <w:rFonts w:ascii="Times New Roman" w:hAnsi="Times New Roman" w:cs="Times New Roman"/>
                      <w:bCs/>
                      <w:color w:val="auto"/>
                      <w:sz w:val="21"/>
                      <w:szCs w:val="21"/>
                      <w:vertAlign w:val="subscript"/>
                    </w:rPr>
                    <w:t>eq</w:t>
                  </w:r>
                  <w:r>
                    <w:rPr>
                      <w:rFonts w:ascii="Times New Roman" w:hAnsi="Times New Roman" w:cs="Times New Roman"/>
                      <w:bCs/>
                      <w:color w:val="auto"/>
                      <w:sz w:val="21"/>
                      <w:szCs w:val="21"/>
                    </w:rPr>
                    <w:t>）</w:t>
                  </w:r>
                </w:p>
              </w:tc>
              <w:tc>
                <w:tcPr>
                  <w:tcW w:w="751" w:type="pct"/>
                  <w:noWrap w:val="0"/>
                  <w:vAlign w:val="center"/>
                </w:tcPr>
                <w:p w14:paraId="595DB302">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ascii="Times New Roman" w:hAnsi="Times New Roman" w:cs="Times New Roman"/>
                      <w:bCs/>
                      <w:color w:val="auto"/>
                      <w:sz w:val="21"/>
                      <w:szCs w:val="21"/>
                    </w:rPr>
                    <w:t>1次/季度</w:t>
                  </w:r>
                </w:p>
              </w:tc>
              <w:tc>
                <w:tcPr>
                  <w:tcW w:w="2240" w:type="pct"/>
                  <w:vMerge w:val="restart"/>
                  <w:noWrap w:val="0"/>
                  <w:vAlign w:val="center"/>
                </w:tcPr>
                <w:p w14:paraId="09C19CD1">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ascii="Times New Roman" w:hAnsi="Times New Roman" w:cs="Times New Roman"/>
                      <w:color w:val="auto"/>
                      <w:sz w:val="21"/>
                      <w:szCs w:val="21"/>
                    </w:rPr>
                    <w:t>《工业企业厂界环境噪声排放标准》（GB12348-2008）</w:t>
                  </w:r>
                  <w:r>
                    <w:rPr>
                      <w:rFonts w:hint="eastAsia" w:ascii="Times New Roman" w:hAnsi="Times New Roman" w:cs="Times New Roman"/>
                      <w:color w:val="auto"/>
                      <w:sz w:val="21"/>
                      <w:szCs w:val="21"/>
                    </w:rPr>
                    <w:t>2</w:t>
                  </w:r>
                  <w:r>
                    <w:rPr>
                      <w:rFonts w:ascii="Times New Roman" w:hAnsi="Times New Roman" w:cs="Times New Roman"/>
                      <w:color w:val="auto"/>
                      <w:sz w:val="21"/>
                      <w:szCs w:val="21"/>
                    </w:rPr>
                    <w:t>类标准要求</w:t>
                  </w:r>
                </w:p>
              </w:tc>
            </w:tr>
            <w:tr w14:paraId="2671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78" w:type="pct"/>
                  <w:noWrap w:val="0"/>
                  <w:vAlign w:val="center"/>
                </w:tcPr>
                <w:p w14:paraId="7E614639">
                  <w:pPr>
                    <w:keepNext w:val="0"/>
                    <w:keepLines w:val="0"/>
                    <w:pageBreakBefore w:val="0"/>
                    <w:kinsoku/>
                    <w:overflowPunct/>
                    <w:bidi w:val="0"/>
                    <w:adjustRightInd/>
                    <w:snapToGrid/>
                    <w:ind w:left="-120" w:leftChars="-50" w:right="-120" w:rightChars="-50"/>
                    <w:jc w:val="center"/>
                    <w:rPr>
                      <w:rFonts w:ascii="Times New Roman" w:hAnsi="Times New Roman" w:cs="Times New Roman"/>
                      <w:bCs/>
                      <w:color w:val="auto"/>
                      <w:sz w:val="21"/>
                      <w:szCs w:val="21"/>
                    </w:rPr>
                  </w:pPr>
                  <w:r>
                    <w:rPr>
                      <w:rFonts w:ascii="Times New Roman" w:hAnsi="Times New Roman" w:cs="Times New Roman"/>
                      <w:color w:val="auto"/>
                      <w:sz w:val="21"/>
                      <w:szCs w:val="21"/>
                    </w:rPr>
                    <w:t>2</w:t>
                  </w:r>
                </w:p>
              </w:tc>
              <w:tc>
                <w:tcPr>
                  <w:tcW w:w="886" w:type="pct"/>
                  <w:noWrap w:val="0"/>
                  <w:vAlign w:val="center"/>
                </w:tcPr>
                <w:p w14:paraId="73066C53">
                  <w:pPr>
                    <w:keepNext w:val="0"/>
                    <w:keepLines w:val="0"/>
                    <w:pageBreakBefore w:val="0"/>
                    <w:kinsoku/>
                    <w:overflowPunct/>
                    <w:bidi w:val="0"/>
                    <w:adjustRightInd/>
                    <w:snapToGrid/>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厂界南</w:t>
                  </w:r>
                </w:p>
              </w:tc>
              <w:tc>
                <w:tcPr>
                  <w:tcW w:w="743" w:type="pct"/>
                  <w:vMerge w:val="continue"/>
                  <w:noWrap w:val="0"/>
                  <w:vAlign w:val="center"/>
                </w:tcPr>
                <w:p w14:paraId="7A9F3AF6">
                  <w:pPr>
                    <w:keepNext w:val="0"/>
                    <w:keepLines w:val="0"/>
                    <w:pageBreakBefore w:val="0"/>
                    <w:kinsoku/>
                    <w:overflowPunct/>
                    <w:bidi w:val="0"/>
                    <w:adjustRightInd/>
                    <w:snapToGrid/>
                    <w:jc w:val="center"/>
                    <w:rPr>
                      <w:rFonts w:ascii="Times New Roman" w:hAnsi="Times New Roman" w:cs="Times New Roman"/>
                      <w:bCs/>
                      <w:color w:val="auto"/>
                      <w:sz w:val="21"/>
                      <w:szCs w:val="21"/>
                    </w:rPr>
                  </w:pPr>
                </w:p>
              </w:tc>
              <w:tc>
                <w:tcPr>
                  <w:tcW w:w="751" w:type="pct"/>
                  <w:noWrap w:val="0"/>
                  <w:vAlign w:val="center"/>
                </w:tcPr>
                <w:p w14:paraId="2E4BEC45">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ascii="Times New Roman" w:hAnsi="Times New Roman" w:cs="Times New Roman"/>
                      <w:bCs/>
                      <w:color w:val="auto"/>
                      <w:sz w:val="21"/>
                      <w:szCs w:val="21"/>
                    </w:rPr>
                    <w:t>1次/季度</w:t>
                  </w:r>
                </w:p>
              </w:tc>
              <w:tc>
                <w:tcPr>
                  <w:tcW w:w="2240" w:type="pct"/>
                  <w:vMerge w:val="continue"/>
                  <w:noWrap w:val="0"/>
                  <w:vAlign w:val="center"/>
                </w:tcPr>
                <w:p w14:paraId="6563503B">
                  <w:pPr>
                    <w:keepNext w:val="0"/>
                    <w:keepLines w:val="0"/>
                    <w:pageBreakBefore w:val="0"/>
                    <w:kinsoku/>
                    <w:overflowPunct/>
                    <w:bidi w:val="0"/>
                    <w:adjustRightInd/>
                    <w:snapToGrid/>
                    <w:jc w:val="center"/>
                    <w:rPr>
                      <w:rFonts w:ascii="Times New Roman" w:hAnsi="Times New Roman" w:cs="Times New Roman"/>
                      <w:color w:val="auto"/>
                      <w:sz w:val="21"/>
                      <w:szCs w:val="21"/>
                    </w:rPr>
                  </w:pPr>
                </w:p>
              </w:tc>
            </w:tr>
            <w:tr w14:paraId="26BC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78" w:type="pct"/>
                  <w:noWrap w:val="0"/>
                  <w:vAlign w:val="center"/>
                </w:tcPr>
                <w:p w14:paraId="343CF1A5">
                  <w:pPr>
                    <w:keepNext w:val="0"/>
                    <w:keepLines w:val="0"/>
                    <w:pageBreakBefore w:val="0"/>
                    <w:kinsoku/>
                    <w:overflowPunct/>
                    <w:bidi w:val="0"/>
                    <w:adjustRightInd/>
                    <w:snapToGrid/>
                    <w:ind w:left="-120" w:leftChars="-50" w:right="-120" w:rightChars="-50"/>
                    <w:jc w:val="center"/>
                    <w:rPr>
                      <w:rFonts w:ascii="Times New Roman" w:hAnsi="Times New Roman" w:cs="Times New Roman"/>
                      <w:bCs/>
                      <w:color w:val="auto"/>
                      <w:sz w:val="21"/>
                      <w:szCs w:val="21"/>
                    </w:rPr>
                  </w:pPr>
                  <w:r>
                    <w:rPr>
                      <w:rStyle w:val="37"/>
                      <w:rFonts w:ascii="Times New Roman" w:hAnsi="Times New Roman" w:cs="Times New Roman"/>
                      <w:color w:val="auto"/>
                      <w:sz w:val="21"/>
                      <w:szCs w:val="21"/>
                    </w:rPr>
                    <w:t>3</w:t>
                  </w:r>
                </w:p>
              </w:tc>
              <w:tc>
                <w:tcPr>
                  <w:tcW w:w="886" w:type="pct"/>
                  <w:noWrap w:val="0"/>
                  <w:vAlign w:val="center"/>
                </w:tcPr>
                <w:p w14:paraId="44E6635C">
                  <w:pPr>
                    <w:keepNext w:val="0"/>
                    <w:keepLines w:val="0"/>
                    <w:pageBreakBefore w:val="0"/>
                    <w:kinsoku/>
                    <w:overflowPunct/>
                    <w:bidi w:val="0"/>
                    <w:adjustRightInd/>
                    <w:snapToGrid/>
                    <w:jc w:val="center"/>
                    <w:rPr>
                      <w:rStyle w:val="37"/>
                      <w:rFonts w:ascii="Times New Roman" w:hAnsi="Times New Roman" w:cs="Times New Roman"/>
                      <w:color w:val="auto"/>
                      <w:sz w:val="21"/>
                      <w:szCs w:val="21"/>
                    </w:rPr>
                  </w:pPr>
                  <w:r>
                    <w:rPr>
                      <w:rFonts w:hint="eastAsia" w:ascii="Times New Roman" w:hAnsi="Times New Roman" w:cs="Times New Roman"/>
                      <w:color w:val="auto"/>
                      <w:sz w:val="21"/>
                      <w:szCs w:val="21"/>
                    </w:rPr>
                    <w:t>厂界西</w:t>
                  </w:r>
                </w:p>
              </w:tc>
              <w:tc>
                <w:tcPr>
                  <w:tcW w:w="743" w:type="pct"/>
                  <w:vMerge w:val="continue"/>
                  <w:noWrap w:val="0"/>
                  <w:vAlign w:val="center"/>
                </w:tcPr>
                <w:p w14:paraId="6CC44853">
                  <w:pPr>
                    <w:keepNext w:val="0"/>
                    <w:keepLines w:val="0"/>
                    <w:pageBreakBefore w:val="0"/>
                    <w:kinsoku/>
                    <w:overflowPunct/>
                    <w:bidi w:val="0"/>
                    <w:adjustRightInd/>
                    <w:snapToGrid/>
                    <w:jc w:val="center"/>
                    <w:rPr>
                      <w:rFonts w:ascii="Times New Roman" w:hAnsi="Times New Roman" w:cs="Times New Roman"/>
                      <w:bCs/>
                      <w:color w:val="auto"/>
                      <w:sz w:val="21"/>
                      <w:szCs w:val="21"/>
                    </w:rPr>
                  </w:pPr>
                </w:p>
              </w:tc>
              <w:tc>
                <w:tcPr>
                  <w:tcW w:w="751" w:type="pct"/>
                  <w:noWrap w:val="0"/>
                  <w:vAlign w:val="center"/>
                </w:tcPr>
                <w:p w14:paraId="3F0D4E62">
                  <w:pPr>
                    <w:keepNext w:val="0"/>
                    <w:keepLines w:val="0"/>
                    <w:pageBreakBefore w:val="0"/>
                    <w:kinsoku/>
                    <w:overflowPunct/>
                    <w:bidi w:val="0"/>
                    <w:adjustRightInd/>
                    <w:snapToGrid/>
                    <w:jc w:val="center"/>
                    <w:rPr>
                      <w:rFonts w:ascii="Times New Roman" w:hAnsi="Times New Roman" w:cs="Times New Roman"/>
                      <w:bCs/>
                      <w:color w:val="auto"/>
                      <w:sz w:val="21"/>
                      <w:szCs w:val="21"/>
                    </w:rPr>
                  </w:pPr>
                  <w:r>
                    <w:rPr>
                      <w:rFonts w:ascii="Times New Roman" w:hAnsi="Times New Roman" w:cs="Times New Roman"/>
                      <w:bCs/>
                      <w:color w:val="auto"/>
                      <w:sz w:val="21"/>
                      <w:szCs w:val="21"/>
                    </w:rPr>
                    <w:t>1次/季度</w:t>
                  </w:r>
                </w:p>
              </w:tc>
              <w:tc>
                <w:tcPr>
                  <w:tcW w:w="2240" w:type="pct"/>
                  <w:vMerge w:val="continue"/>
                  <w:noWrap w:val="0"/>
                  <w:vAlign w:val="center"/>
                </w:tcPr>
                <w:p w14:paraId="223A4F39">
                  <w:pPr>
                    <w:keepNext w:val="0"/>
                    <w:keepLines w:val="0"/>
                    <w:pageBreakBefore w:val="0"/>
                    <w:kinsoku/>
                    <w:overflowPunct/>
                    <w:bidi w:val="0"/>
                    <w:adjustRightInd/>
                    <w:snapToGrid/>
                    <w:jc w:val="center"/>
                    <w:rPr>
                      <w:rFonts w:ascii="Times New Roman" w:hAnsi="Times New Roman" w:cs="Times New Roman"/>
                      <w:bCs/>
                      <w:color w:val="auto"/>
                      <w:sz w:val="21"/>
                      <w:szCs w:val="21"/>
                    </w:rPr>
                  </w:pPr>
                </w:p>
              </w:tc>
            </w:tr>
            <w:tr w14:paraId="4C82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78" w:type="pct"/>
                  <w:noWrap w:val="0"/>
                  <w:vAlign w:val="center"/>
                </w:tcPr>
                <w:p w14:paraId="2AA66C12">
                  <w:pPr>
                    <w:keepNext w:val="0"/>
                    <w:keepLines w:val="0"/>
                    <w:pageBreakBefore w:val="0"/>
                    <w:kinsoku/>
                    <w:overflowPunct/>
                    <w:bidi w:val="0"/>
                    <w:adjustRightInd/>
                    <w:snapToGrid/>
                    <w:ind w:left="-120" w:leftChars="-50" w:right="-120" w:rightChars="-50"/>
                    <w:jc w:val="center"/>
                    <w:rPr>
                      <w:rFonts w:ascii="Times New Roman" w:hAnsi="Times New Roman" w:cs="Times New Roman"/>
                      <w:color w:val="auto"/>
                      <w:sz w:val="21"/>
                      <w:szCs w:val="21"/>
                    </w:rPr>
                  </w:pPr>
                  <w:r>
                    <w:rPr>
                      <w:rStyle w:val="37"/>
                      <w:rFonts w:ascii="Times New Roman" w:hAnsi="Times New Roman" w:cs="Times New Roman"/>
                      <w:color w:val="auto"/>
                      <w:sz w:val="21"/>
                      <w:szCs w:val="21"/>
                    </w:rPr>
                    <w:t>4</w:t>
                  </w:r>
                </w:p>
              </w:tc>
              <w:tc>
                <w:tcPr>
                  <w:tcW w:w="886" w:type="pct"/>
                  <w:noWrap w:val="0"/>
                  <w:vAlign w:val="center"/>
                </w:tcPr>
                <w:p w14:paraId="57AD4494">
                  <w:pPr>
                    <w:keepNext w:val="0"/>
                    <w:keepLines w:val="0"/>
                    <w:pageBreakBefore w:val="0"/>
                    <w:kinsoku/>
                    <w:overflowPunct/>
                    <w:bidi w:val="0"/>
                    <w:adjustRightInd/>
                    <w:snapToGrid/>
                    <w:jc w:val="center"/>
                    <w:rPr>
                      <w:rStyle w:val="37"/>
                      <w:rFonts w:ascii="Times New Roman" w:hAnsi="Times New Roman" w:cs="Times New Roman"/>
                      <w:color w:val="auto"/>
                      <w:sz w:val="21"/>
                      <w:szCs w:val="21"/>
                    </w:rPr>
                  </w:pPr>
                  <w:r>
                    <w:rPr>
                      <w:rFonts w:hint="eastAsia" w:ascii="Times New Roman" w:hAnsi="Times New Roman" w:cs="Times New Roman"/>
                      <w:color w:val="auto"/>
                      <w:sz w:val="21"/>
                      <w:szCs w:val="21"/>
                    </w:rPr>
                    <w:t>厂界北</w:t>
                  </w:r>
                </w:p>
              </w:tc>
              <w:tc>
                <w:tcPr>
                  <w:tcW w:w="743" w:type="pct"/>
                  <w:vMerge w:val="continue"/>
                  <w:noWrap w:val="0"/>
                  <w:vAlign w:val="center"/>
                </w:tcPr>
                <w:p w14:paraId="311FA2E0">
                  <w:pPr>
                    <w:keepNext w:val="0"/>
                    <w:keepLines w:val="0"/>
                    <w:pageBreakBefore w:val="0"/>
                    <w:kinsoku/>
                    <w:overflowPunct/>
                    <w:bidi w:val="0"/>
                    <w:adjustRightInd/>
                    <w:snapToGrid/>
                    <w:ind w:left="-120" w:leftChars="-50" w:right="-120" w:rightChars="-50"/>
                    <w:jc w:val="center"/>
                    <w:rPr>
                      <w:rStyle w:val="37"/>
                      <w:rFonts w:ascii="Times New Roman" w:hAnsi="Times New Roman" w:cs="Times New Roman"/>
                      <w:color w:val="auto"/>
                      <w:sz w:val="21"/>
                      <w:szCs w:val="21"/>
                    </w:rPr>
                  </w:pPr>
                </w:p>
              </w:tc>
              <w:tc>
                <w:tcPr>
                  <w:tcW w:w="751" w:type="pct"/>
                  <w:noWrap w:val="0"/>
                  <w:vAlign w:val="center"/>
                </w:tcPr>
                <w:p w14:paraId="5F7AB49B">
                  <w:pPr>
                    <w:keepNext w:val="0"/>
                    <w:keepLines w:val="0"/>
                    <w:pageBreakBefore w:val="0"/>
                    <w:kinsoku/>
                    <w:overflowPunct/>
                    <w:bidi w:val="0"/>
                    <w:adjustRightInd/>
                    <w:snapToGrid/>
                    <w:ind w:left="-120" w:leftChars="-50" w:right="-120" w:rightChars="-50"/>
                    <w:jc w:val="center"/>
                    <w:rPr>
                      <w:rStyle w:val="37"/>
                      <w:rFonts w:ascii="Times New Roman" w:hAnsi="Times New Roman" w:cs="Times New Roman"/>
                      <w:color w:val="auto"/>
                      <w:sz w:val="21"/>
                      <w:szCs w:val="21"/>
                    </w:rPr>
                  </w:pPr>
                  <w:r>
                    <w:rPr>
                      <w:rFonts w:ascii="Times New Roman" w:hAnsi="Times New Roman" w:cs="Times New Roman"/>
                      <w:bCs/>
                      <w:color w:val="auto"/>
                      <w:sz w:val="21"/>
                      <w:szCs w:val="21"/>
                    </w:rPr>
                    <w:t>1次/季度</w:t>
                  </w:r>
                </w:p>
              </w:tc>
              <w:tc>
                <w:tcPr>
                  <w:tcW w:w="2240" w:type="pct"/>
                  <w:vMerge w:val="continue"/>
                  <w:noWrap w:val="0"/>
                  <w:vAlign w:val="center"/>
                </w:tcPr>
                <w:p w14:paraId="0F1C782A">
                  <w:pPr>
                    <w:keepNext w:val="0"/>
                    <w:keepLines w:val="0"/>
                    <w:pageBreakBefore w:val="0"/>
                    <w:kinsoku/>
                    <w:overflowPunct/>
                    <w:bidi w:val="0"/>
                    <w:adjustRightInd/>
                    <w:snapToGrid/>
                    <w:ind w:left="-120" w:leftChars="-50" w:right="-120" w:rightChars="-50"/>
                    <w:jc w:val="center"/>
                    <w:rPr>
                      <w:rStyle w:val="37"/>
                      <w:rFonts w:ascii="Times New Roman" w:hAnsi="Times New Roman" w:cs="Times New Roman"/>
                      <w:color w:val="auto"/>
                      <w:sz w:val="21"/>
                      <w:szCs w:val="21"/>
                    </w:rPr>
                  </w:pPr>
                </w:p>
              </w:tc>
            </w:tr>
            <w:tr w14:paraId="3F78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78" w:type="pct"/>
                  <w:noWrap w:val="0"/>
                  <w:vAlign w:val="center"/>
                </w:tcPr>
                <w:p w14:paraId="40DD2D5D">
                  <w:pPr>
                    <w:keepNext w:val="0"/>
                    <w:keepLines w:val="0"/>
                    <w:pageBreakBefore w:val="0"/>
                    <w:kinsoku/>
                    <w:overflowPunct/>
                    <w:bidi w:val="0"/>
                    <w:adjustRightInd/>
                    <w:snapToGrid/>
                    <w:ind w:left="-120" w:leftChars="-50" w:right="-120" w:rightChars="-50"/>
                    <w:jc w:val="center"/>
                    <w:rPr>
                      <w:rStyle w:val="37"/>
                      <w:rFonts w:hint="eastAsia" w:ascii="Times New Roman" w:hAnsi="Times New Roman" w:eastAsia="宋体" w:cs="Times New Roman"/>
                      <w:color w:val="auto"/>
                      <w:sz w:val="21"/>
                      <w:szCs w:val="21"/>
                      <w:lang w:val="en-US" w:eastAsia="zh-CN"/>
                    </w:rPr>
                  </w:pPr>
                  <w:r>
                    <w:rPr>
                      <w:rStyle w:val="37"/>
                      <w:rFonts w:hint="eastAsia" w:cs="Times New Roman"/>
                      <w:color w:val="auto"/>
                      <w:sz w:val="21"/>
                      <w:szCs w:val="21"/>
                      <w:lang w:val="en-US" w:eastAsia="zh-CN"/>
                    </w:rPr>
                    <w:t>5</w:t>
                  </w:r>
                </w:p>
              </w:tc>
              <w:tc>
                <w:tcPr>
                  <w:tcW w:w="886" w:type="pct"/>
                  <w:noWrap w:val="0"/>
                  <w:vAlign w:val="center"/>
                </w:tcPr>
                <w:p w14:paraId="415DADE5">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北侧敏感点</w:t>
                  </w:r>
                </w:p>
              </w:tc>
              <w:tc>
                <w:tcPr>
                  <w:tcW w:w="743" w:type="pct"/>
                  <w:vMerge w:val="continue"/>
                  <w:noWrap w:val="0"/>
                  <w:vAlign w:val="center"/>
                </w:tcPr>
                <w:p w14:paraId="1FD205F1">
                  <w:pPr>
                    <w:keepNext w:val="0"/>
                    <w:keepLines w:val="0"/>
                    <w:pageBreakBefore w:val="0"/>
                    <w:kinsoku/>
                    <w:overflowPunct/>
                    <w:bidi w:val="0"/>
                    <w:adjustRightInd/>
                    <w:snapToGrid/>
                    <w:ind w:left="-120" w:leftChars="-50" w:right="-120" w:rightChars="-50"/>
                    <w:jc w:val="center"/>
                    <w:rPr>
                      <w:rStyle w:val="37"/>
                      <w:rFonts w:ascii="Times New Roman" w:hAnsi="Times New Roman" w:cs="Times New Roman"/>
                      <w:color w:val="auto"/>
                      <w:sz w:val="21"/>
                      <w:szCs w:val="21"/>
                    </w:rPr>
                  </w:pPr>
                </w:p>
              </w:tc>
              <w:tc>
                <w:tcPr>
                  <w:tcW w:w="751" w:type="pct"/>
                  <w:noWrap w:val="0"/>
                  <w:vAlign w:val="center"/>
                </w:tcPr>
                <w:p w14:paraId="77CCEC3E">
                  <w:pPr>
                    <w:keepNext w:val="0"/>
                    <w:keepLines w:val="0"/>
                    <w:pageBreakBefore w:val="0"/>
                    <w:kinsoku/>
                    <w:overflowPunct/>
                    <w:bidi w:val="0"/>
                    <w:adjustRightInd/>
                    <w:snapToGrid/>
                    <w:ind w:left="-120" w:leftChars="-50" w:right="-120" w:rightChars="-50"/>
                    <w:jc w:val="center"/>
                    <w:rPr>
                      <w:rFonts w:ascii="Times New Roman" w:hAnsi="Times New Roman" w:cs="Times New Roman"/>
                      <w:bCs/>
                      <w:color w:val="auto"/>
                      <w:sz w:val="21"/>
                      <w:szCs w:val="21"/>
                    </w:rPr>
                  </w:pPr>
                  <w:r>
                    <w:rPr>
                      <w:rFonts w:ascii="Times New Roman" w:hAnsi="Times New Roman" w:cs="Times New Roman"/>
                      <w:bCs/>
                      <w:color w:val="auto"/>
                      <w:sz w:val="21"/>
                      <w:szCs w:val="21"/>
                    </w:rPr>
                    <w:t>1次/季度</w:t>
                  </w:r>
                </w:p>
              </w:tc>
              <w:tc>
                <w:tcPr>
                  <w:tcW w:w="2240" w:type="pct"/>
                  <w:vMerge w:val="restart"/>
                  <w:noWrap w:val="0"/>
                  <w:vAlign w:val="center"/>
                </w:tcPr>
                <w:p w14:paraId="033678DD">
                  <w:pPr>
                    <w:keepNext w:val="0"/>
                    <w:keepLines w:val="0"/>
                    <w:pageBreakBefore w:val="0"/>
                    <w:kinsoku/>
                    <w:overflowPunct/>
                    <w:bidi w:val="0"/>
                    <w:adjustRightInd/>
                    <w:snapToGrid/>
                    <w:ind w:left="-120" w:leftChars="-50" w:right="-120" w:rightChars="-50"/>
                    <w:jc w:val="center"/>
                    <w:rPr>
                      <w:rStyle w:val="37"/>
                      <w:rFonts w:ascii="Times New Roman" w:hAnsi="Times New Roman" w:cs="Times New Roman"/>
                      <w:color w:val="auto"/>
                      <w:sz w:val="21"/>
                      <w:szCs w:val="21"/>
                    </w:rPr>
                  </w:pPr>
                  <w:r>
                    <w:rPr>
                      <w:rStyle w:val="37"/>
                      <w:rFonts w:hint="default" w:ascii="Times New Roman" w:hAnsi="Times New Roman" w:cs="Times New Roman"/>
                      <w:color w:val="auto"/>
                      <w:sz w:val="21"/>
                      <w:szCs w:val="21"/>
                    </w:rPr>
                    <w:t>《声环境质量标准》（GB3096-2008）中</w:t>
                  </w:r>
                  <w:r>
                    <w:rPr>
                      <w:rStyle w:val="37"/>
                      <w:rFonts w:hint="eastAsia" w:ascii="Times New Roman" w:hAnsi="Times New Roman" w:cs="Times New Roman"/>
                      <w:color w:val="auto"/>
                      <w:sz w:val="21"/>
                      <w:szCs w:val="21"/>
                      <w:lang w:val="en-US" w:eastAsia="zh-CN"/>
                    </w:rPr>
                    <w:t>2</w:t>
                  </w:r>
                  <w:r>
                    <w:rPr>
                      <w:rStyle w:val="37"/>
                      <w:rFonts w:hint="default" w:ascii="Times New Roman" w:hAnsi="Times New Roman" w:cs="Times New Roman"/>
                      <w:color w:val="auto"/>
                      <w:sz w:val="21"/>
                      <w:szCs w:val="21"/>
                    </w:rPr>
                    <w:t>类标准</w:t>
                  </w:r>
                </w:p>
              </w:tc>
            </w:tr>
            <w:tr w14:paraId="0CDF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78" w:type="pct"/>
                  <w:noWrap w:val="0"/>
                  <w:vAlign w:val="center"/>
                </w:tcPr>
                <w:p w14:paraId="47F4A5C2">
                  <w:pPr>
                    <w:keepNext w:val="0"/>
                    <w:keepLines w:val="0"/>
                    <w:pageBreakBefore w:val="0"/>
                    <w:kinsoku/>
                    <w:overflowPunct/>
                    <w:bidi w:val="0"/>
                    <w:adjustRightInd/>
                    <w:snapToGrid/>
                    <w:ind w:left="-120" w:leftChars="-50" w:right="-120" w:rightChars="-50"/>
                    <w:jc w:val="center"/>
                    <w:rPr>
                      <w:rStyle w:val="37"/>
                      <w:rFonts w:hint="eastAsia" w:ascii="Times New Roman" w:hAnsi="Times New Roman" w:eastAsia="宋体" w:cs="Times New Roman"/>
                      <w:color w:val="auto"/>
                      <w:sz w:val="21"/>
                      <w:szCs w:val="21"/>
                      <w:lang w:val="en-US" w:eastAsia="zh-CN"/>
                    </w:rPr>
                  </w:pPr>
                  <w:r>
                    <w:rPr>
                      <w:rStyle w:val="37"/>
                      <w:rFonts w:hint="eastAsia" w:cs="Times New Roman"/>
                      <w:color w:val="auto"/>
                      <w:sz w:val="21"/>
                      <w:szCs w:val="21"/>
                      <w:lang w:val="en-US" w:eastAsia="zh-CN"/>
                    </w:rPr>
                    <w:t>6</w:t>
                  </w:r>
                </w:p>
              </w:tc>
              <w:tc>
                <w:tcPr>
                  <w:tcW w:w="886" w:type="pct"/>
                  <w:noWrap w:val="0"/>
                  <w:vAlign w:val="center"/>
                </w:tcPr>
                <w:p w14:paraId="59727F2C">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东侧敏感点</w:t>
                  </w:r>
                </w:p>
              </w:tc>
              <w:tc>
                <w:tcPr>
                  <w:tcW w:w="743" w:type="pct"/>
                  <w:vMerge w:val="continue"/>
                  <w:noWrap w:val="0"/>
                  <w:vAlign w:val="center"/>
                </w:tcPr>
                <w:p w14:paraId="74F303DC">
                  <w:pPr>
                    <w:keepNext w:val="0"/>
                    <w:keepLines w:val="0"/>
                    <w:pageBreakBefore w:val="0"/>
                    <w:kinsoku/>
                    <w:overflowPunct/>
                    <w:bidi w:val="0"/>
                    <w:adjustRightInd/>
                    <w:snapToGrid/>
                    <w:ind w:left="-120" w:leftChars="-50" w:right="-120" w:rightChars="-50"/>
                    <w:jc w:val="center"/>
                    <w:rPr>
                      <w:rStyle w:val="37"/>
                      <w:rFonts w:ascii="Times New Roman" w:hAnsi="Times New Roman" w:cs="Times New Roman"/>
                      <w:color w:val="auto"/>
                      <w:sz w:val="21"/>
                      <w:szCs w:val="21"/>
                    </w:rPr>
                  </w:pPr>
                </w:p>
              </w:tc>
              <w:tc>
                <w:tcPr>
                  <w:tcW w:w="751" w:type="pct"/>
                  <w:noWrap w:val="0"/>
                  <w:vAlign w:val="center"/>
                </w:tcPr>
                <w:p w14:paraId="0E23D797">
                  <w:pPr>
                    <w:keepNext w:val="0"/>
                    <w:keepLines w:val="0"/>
                    <w:pageBreakBefore w:val="0"/>
                    <w:kinsoku/>
                    <w:overflowPunct/>
                    <w:bidi w:val="0"/>
                    <w:adjustRightInd/>
                    <w:snapToGrid/>
                    <w:ind w:left="-120" w:leftChars="-50" w:right="-120" w:rightChars="-50"/>
                    <w:jc w:val="center"/>
                    <w:rPr>
                      <w:rFonts w:ascii="Times New Roman" w:hAnsi="Times New Roman" w:cs="Times New Roman"/>
                      <w:bCs/>
                      <w:color w:val="auto"/>
                      <w:sz w:val="21"/>
                      <w:szCs w:val="21"/>
                    </w:rPr>
                  </w:pPr>
                  <w:r>
                    <w:rPr>
                      <w:rFonts w:ascii="Times New Roman" w:hAnsi="Times New Roman" w:cs="Times New Roman"/>
                      <w:bCs/>
                      <w:color w:val="auto"/>
                      <w:sz w:val="21"/>
                      <w:szCs w:val="21"/>
                    </w:rPr>
                    <w:t>1次/季度</w:t>
                  </w:r>
                </w:p>
              </w:tc>
              <w:tc>
                <w:tcPr>
                  <w:tcW w:w="2240" w:type="pct"/>
                  <w:vMerge w:val="continue"/>
                  <w:noWrap w:val="0"/>
                  <w:vAlign w:val="center"/>
                </w:tcPr>
                <w:p w14:paraId="705E540C">
                  <w:pPr>
                    <w:keepNext w:val="0"/>
                    <w:keepLines w:val="0"/>
                    <w:pageBreakBefore w:val="0"/>
                    <w:kinsoku/>
                    <w:overflowPunct/>
                    <w:bidi w:val="0"/>
                    <w:adjustRightInd/>
                    <w:snapToGrid/>
                    <w:ind w:left="-120" w:leftChars="-50" w:right="-120" w:rightChars="-50"/>
                    <w:jc w:val="center"/>
                    <w:rPr>
                      <w:rStyle w:val="37"/>
                      <w:rFonts w:ascii="Times New Roman" w:hAnsi="Times New Roman" w:cs="Times New Roman"/>
                      <w:color w:val="auto"/>
                      <w:sz w:val="21"/>
                      <w:szCs w:val="21"/>
                    </w:rPr>
                  </w:pPr>
                </w:p>
              </w:tc>
            </w:tr>
          </w:tbl>
          <w:p w14:paraId="207C0602">
            <w:pPr>
              <w:keepNext w:val="0"/>
              <w:keepLines w:val="0"/>
              <w:pageBreakBefore w:val="0"/>
              <w:kinsoku/>
              <w:overflowPunct/>
              <w:bidi w:val="0"/>
              <w:adjustRightInd/>
              <w:snapToGrid/>
              <w:rPr>
                <w:color w:val="auto"/>
              </w:rPr>
            </w:pPr>
          </w:p>
          <w:p w14:paraId="3D94B07D">
            <w:pPr>
              <w:keepNext w:val="0"/>
              <w:keepLines w:val="0"/>
              <w:pageBreakBefore w:val="0"/>
              <w:kinsoku/>
              <w:overflowPunct/>
              <w:bidi w:val="0"/>
              <w:adjustRightInd/>
              <w:snapToGrid/>
              <w:spacing w:line="360" w:lineRule="auto"/>
              <w:ind w:firstLine="442" w:firstLineChars="200"/>
              <w:rPr>
                <w:b/>
                <w:bCs/>
                <w:color w:val="auto"/>
                <w:spacing w:val="-10"/>
                <w:sz w:val="24"/>
              </w:rPr>
            </w:pPr>
            <w:r>
              <w:rPr>
                <w:b/>
                <w:bCs/>
                <w:color w:val="auto"/>
                <w:spacing w:val="-10"/>
                <w:sz w:val="24"/>
              </w:rPr>
              <w:t>四、固体废物</w:t>
            </w:r>
          </w:p>
          <w:p w14:paraId="3279CA1C">
            <w:pPr>
              <w:keepNext w:val="0"/>
              <w:keepLines w:val="0"/>
              <w:pageBreakBefore w:val="0"/>
              <w:kinsoku/>
              <w:overflowPunct/>
              <w:bidi w:val="0"/>
              <w:adjustRightInd/>
              <w:snapToGrid/>
              <w:spacing w:line="360" w:lineRule="auto"/>
              <w:ind w:firstLine="442" w:firstLineChars="200"/>
              <w:rPr>
                <w:b/>
                <w:bCs/>
                <w:color w:val="auto"/>
                <w:spacing w:val="-10"/>
                <w:sz w:val="24"/>
              </w:rPr>
            </w:pPr>
            <w:r>
              <w:rPr>
                <w:b/>
                <w:bCs/>
                <w:color w:val="auto"/>
                <w:spacing w:val="-10"/>
                <w:sz w:val="24"/>
              </w:rPr>
              <w:t>1、固体废物产排情况</w:t>
            </w:r>
          </w:p>
          <w:p w14:paraId="152AF44F">
            <w:pPr>
              <w:keepNext w:val="0"/>
              <w:keepLines w:val="0"/>
              <w:pageBreakBefore w:val="0"/>
              <w:widowControl/>
              <w:kinsoku/>
              <w:overflowPunct/>
              <w:bidi w:val="0"/>
              <w:adjustRightInd/>
              <w:snapToGrid/>
              <w:spacing w:line="360" w:lineRule="auto"/>
              <w:ind w:firstLine="480" w:firstLineChars="200"/>
              <w:rPr>
                <w:color w:val="auto"/>
                <w:kern w:val="0"/>
                <w:sz w:val="24"/>
              </w:rPr>
            </w:pPr>
            <w:r>
              <w:rPr>
                <w:color w:val="auto"/>
                <w:kern w:val="0"/>
                <w:sz w:val="24"/>
              </w:rPr>
              <w:t>项目固体废物有</w:t>
            </w:r>
            <w:r>
              <w:rPr>
                <w:rFonts w:hint="eastAsia"/>
                <w:color w:val="auto"/>
                <w:kern w:val="0"/>
                <w:sz w:val="24"/>
                <w:lang w:val="en-US" w:eastAsia="zh-CN"/>
              </w:rPr>
              <w:t>边角料</w:t>
            </w:r>
            <w:r>
              <w:rPr>
                <w:rFonts w:hint="eastAsia"/>
                <w:color w:val="auto"/>
                <w:kern w:val="0"/>
                <w:sz w:val="24"/>
              </w:rPr>
              <w:t>、</w:t>
            </w:r>
            <w:r>
              <w:rPr>
                <w:rFonts w:hint="eastAsia"/>
                <w:color w:val="auto"/>
                <w:kern w:val="0"/>
                <w:sz w:val="24"/>
                <w:lang w:val="en-US" w:eastAsia="zh-CN"/>
              </w:rPr>
              <w:t>布袋除尘器收尘</w:t>
            </w:r>
            <w:r>
              <w:rPr>
                <w:rFonts w:hint="eastAsia"/>
                <w:color w:val="auto"/>
                <w:kern w:val="0"/>
                <w:sz w:val="24"/>
              </w:rPr>
              <w:t>、</w:t>
            </w:r>
            <w:r>
              <w:rPr>
                <w:rFonts w:hint="eastAsia"/>
                <w:color w:val="auto"/>
                <w:sz w:val="24"/>
                <w:lang w:val="en-US" w:eastAsia="zh-CN"/>
              </w:rPr>
              <w:t>炉渣</w:t>
            </w:r>
            <w:r>
              <w:rPr>
                <w:rFonts w:hint="eastAsia"/>
                <w:color w:val="auto"/>
                <w:kern w:val="0"/>
                <w:sz w:val="24"/>
                <w:lang w:val="en-US" w:eastAsia="zh-CN"/>
              </w:rPr>
              <w:t>、废树脂、废布袋、喷淋塔沉淀池</w:t>
            </w:r>
            <w:r>
              <w:rPr>
                <w:rFonts w:hint="eastAsia"/>
                <w:color w:val="auto"/>
                <w:sz w:val="24"/>
                <w:lang w:eastAsia="zh-CN"/>
              </w:rPr>
              <w:t>沉渣、</w:t>
            </w:r>
            <w:r>
              <w:rPr>
                <w:color w:val="auto"/>
                <w:sz w:val="24"/>
              </w:rPr>
              <w:t>废</w:t>
            </w:r>
            <w:r>
              <w:rPr>
                <w:rFonts w:hint="eastAsia"/>
                <w:color w:val="auto"/>
                <w:sz w:val="24"/>
              </w:rPr>
              <w:t>润滑油桶、废润滑油</w:t>
            </w:r>
            <w:r>
              <w:rPr>
                <w:rFonts w:hint="eastAsia"/>
                <w:color w:val="auto"/>
                <w:sz w:val="24"/>
                <w:lang w:eastAsia="zh-CN"/>
              </w:rPr>
              <w:t>、废催化剂</w:t>
            </w:r>
            <w:r>
              <w:rPr>
                <w:color w:val="auto"/>
                <w:kern w:val="0"/>
                <w:sz w:val="24"/>
              </w:rPr>
              <w:t>以及生活垃圾。</w:t>
            </w:r>
          </w:p>
          <w:p w14:paraId="4B43749A">
            <w:pPr>
              <w:keepNext w:val="0"/>
              <w:keepLines w:val="0"/>
              <w:pageBreakBefore w:val="0"/>
              <w:widowControl/>
              <w:kinsoku/>
              <w:overflowPunct/>
              <w:bidi w:val="0"/>
              <w:adjustRightInd/>
              <w:snapToGrid/>
              <w:spacing w:line="360" w:lineRule="auto"/>
              <w:ind w:firstLine="480" w:firstLineChars="200"/>
              <w:rPr>
                <w:color w:val="auto"/>
                <w:sz w:val="24"/>
              </w:rPr>
            </w:pPr>
            <w:r>
              <w:rPr>
                <w:color w:val="auto"/>
                <w:sz w:val="24"/>
              </w:rPr>
              <w:t>（1）危险废物</w:t>
            </w:r>
          </w:p>
          <w:p w14:paraId="7424B854">
            <w:pPr>
              <w:keepNext w:val="0"/>
              <w:keepLines w:val="0"/>
              <w:pageBreakBefore w:val="0"/>
              <w:numPr>
                <w:ilvl w:val="0"/>
                <w:numId w:val="0"/>
              </w:numPr>
              <w:kinsoku/>
              <w:overflowPunct/>
              <w:bidi w:val="0"/>
              <w:adjustRightInd/>
              <w:snapToGrid/>
              <w:spacing w:line="360" w:lineRule="auto"/>
              <w:ind w:firstLine="480" w:firstLineChars="200"/>
              <w:rPr>
                <w:rFonts w:hint="eastAsia"/>
                <w:color w:val="auto"/>
                <w:sz w:val="24"/>
                <w:lang w:val="en-US" w:eastAsia="zh-CN"/>
              </w:rPr>
            </w:pPr>
            <w:r>
              <w:rPr>
                <w:color w:val="auto"/>
                <w:sz w:val="24"/>
              </w:rPr>
              <w:t>①</w:t>
            </w:r>
            <w:r>
              <w:rPr>
                <w:rFonts w:hint="eastAsia"/>
                <w:color w:val="auto"/>
                <w:sz w:val="24"/>
              </w:rPr>
              <w:t>废润滑油</w:t>
            </w:r>
            <w:r>
              <w:rPr>
                <w:rFonts w:hint="eastAsia"/>
                <w:color w:val="auto"/>
                <w:sz w:val="24"/>
                <w:lang w:eastAsia="zh-CN"/>
              </w:rPr>
              <w:t>：</w:t>
            </w:r>
            <w:r>
              <w:rPr>
                <w:color w:val="auto"/>
                <w:sz w:val="24"/>
              </w:rPr>
              <w:t>根据企业提供资料，本项目设备运行维护</w:t>
            </w:r>
            <w:r>
              <w:rPr>
                <w:rFonts w:hint="eastAsia"/>
                <w:color w:val="auto"/>
                <w:sz w:val="24"/>
              </w:rPr>
              <w:t>使用润滑油会产生废润滑油</w:t>
            </w:r>
            <w:r>
              <w:rPr>
                <w:color w:val="auto"/>
                <w:sz w:val="24"/>
              </w:rPr>
              <w:t>，</w:t>
            </w:r>
            <w:r>
              <w:rPr>
                <w:rFonts w:hint="eastAsia"/>
                <w:color w:val="auto"/>
                <w:sz w:val="24"/>
              </w:rPr>
              <w:t>本项目润滑油用量为0.</w:t>
            </w:r>
            <w:r>
              <w:rPr>
                <w:rFonts w:hint="eastAsia"/>
                <w:color w:val="auto"/>
                <w:sz w:val="24"/>
                <w:lang w:val="en-US" w:eastAsia="zh-CN"/>
              </w:rPr>
              <w:t>2</w:t>
            </w:r>
            <w:r>
              <w:rPr>
                <w:rFonts w:hint="eastAsia"/>
                <w:color w:val="auto"/>
                <w:sz w:val="24"/>
              </w:rPr>
              <w:t>t/a，废润滑油</w:t>
            </w:r>
            <w:r>
              <w:rPr>
                <w:rFonts w:hint="eastAsia"/>
                <w:color w:val="auto"/>
                <w:sz w:val="24"/>
                <w:lang w:eastAsia="zh-CN"/>
              </w:rPr>
              <w:t>产生量约</w:t>
            </w:r>
            <w:r>
              <w:rPr>
                <w:rFonts w:hint="eastAsia"/>
                <w:color w:val="auto"/>
                <w:sz w:val="24"/>
                <w:lang w:val="en-US" w:eastAsia="zh-CN"/>
              </w:rPr>
              <w:t>0.02t</w:t>
            </w:r>
            <w:r>
              <w:rPr>
                <w:rFonts w:hint="eastAsia"/>
                <w:color w:val="auto"/>
                <w:sz w:val="24"/>
              </w:rPr>
              <w:t>/a</w:t>
            </w:r>
            <w:r>
              <w:rPr>
                <w:rFonts w:hint="eastAsia"/>
                <w:color w:val="auto"/>
                <w:sz w:val="24"/>
                <w:lang w:eastAsia="zh-CN"/>
              </w:rPr>
              <w:t>。</w:t>
            </w:r>
            <w:r>
              <w:rPr>
                <w:rFonts w:hint="default"/>
                <w:color w:val="auto"/>
                <w:sz w:val="24"/>
                <w:lang w:val="en-US" w:eastAsia="zh-CN"/>
              </w:rPr>
              <w:t>根据《国家危险废物名录》（202</w:t>
            </w:r>
            <w:r>
              <w:rPr>
                <w:rFonts w:hint="eastAsia"/>
                <w:color w:val="auto"/>
                <w:sz w:val="24"/>
                <w:lang w:val="en-US" w:eastAsia="zh-CN"/>
              </w:rPr>
              <w:t>5</w:t>
            </w:r>
            <w:r>
              <w:rPr>
                <w:rFonts w:hint="default"/>
                <w:color w:val="auto"/>
                <w:sz w:val="24"/>
                <w:lang w:val="en-US" w:eastAsia="zh-CN"/>
              </w:rPr>
              <w:t>年版），</w:t>
            </w:r>
            <w:r>
              <w:rPr>
                <w:rFonts w:hint="eastAsia"/>
                <w:color w:val="auto"/>
                <w:sz w:val="24"/>
              </w:rPr>
              <w:t>废润滑油</w:t>
            </w:r>
            <w:r>
              <w:rPr>
                <w:rFonts w:hint="default"/>
                <w:color w:val="auto"/>
                <w:sz w:val="24"/>
                <w:lang w:val="en-US" w:eastAsia="zh-CN"/>
              </w:rPr>
              <w:t>属危险废物，废物类别为HW08废矿物油与含矿物油废物，行业来源为非特定行业，危废代码900-214-08。</w:t>
            </w:r>
            <w:r>
              <w:rPr>
                <w:rFonts w:hint="eastAsia"/>
                <w:color w:val="auto"/>
                <w:sz w:val="24"/>
              </w:rPr>
              <w:t>废润滑油</w:t>
            </w:r>
            <w:r>
              <w:rPr>
                <w:rFonts w:hint="eastAsia"/>
                <w:color w:val="auto"/>
                <w:sz w:val="24"/>
                <w:lang w:val="en-US" w:eastAsia="zh-CN"/>
              </w:rPr>
              <w:t>收集后暂存于危废间，定期委托有资质单位处置。</w:t>
            </w:r>
          </w:p>
          <w:p w14:paraId="542169FB">
            <w:pPr>
              <w:keepNext w:val="0"/>
              <w:keepLines w:val="0"/>
              <w:pageBreakBefore w:val="0"/>
              <w:numPr>
                <w:ilvl w:val="0"/>
                <w:numId w:val="0"/>
              </w:numPr>
              <w:kinsoku/>
              <w:overflowPunct/>
              <w:bidi w:val="0"/>
              <w:adjustRightInd/>
              <w:snapToGrid/>
              <w:spacing w:line="360" w:lineRule="auto"/>
              <w:ind w:firstLine="480" w:firstLineChars="200"/>
              <w:rPr>
                <w:rFonts w:hint="eastAsia" w:ascii="Times New Roman" w:hAnsi="Times New Roman" w:eastAsia="宋体" w:cs="Times New Roman"/>
                <w:color w:val="auto"/>
                <w:sz w:val="24"/>
                <w:lang w:val="en-US" w:eastAsia="zh-CN"/>
              </w:rPr>
            </w:pPr>
            <w:r>
              <w:rPr>
                <w:bCs/>
                <w:color w:val="auto"/>
                <w:sz w:val="24"/>
              </w:rPr>
              <w:fldChar w:fldCharType="begin"/>
            </w:r>
            <w:r>
              <w:rPr>
                <w:bCs/>
                <w:color w:val="auto"/>
                <w:sz w:val="24"/>
              </w:rPr>
              <w:instrText xml:space="preserve"> = 2 \* GB3 </w:instrText>
            </w:r>
            <w:r>
              <w:rPr>
                <w:bCs/>
                <w:color w:val="auto"/>
                <w:sz w:val="24"/>
              </w:rPr>
              <w:fldChar w:fldCharType="separate"/>
            </w:r>
            <w:r>
              <w:rPr>
                <w:bCs/>
                <w:color w:val="auto"/>
                <w:sz w:val="24"/>
              </w:rPr>
              <w:t>②</w:t>
            </w:r>
            <w:r>
              <w:rPr>
                <w:bCs/>
                <w:color w:val="auto"/>
                <w:sz w:val="24"/>
              </w:rPr>
              <w:fldChar w:fldCharType="end"/>
            </w:r>
            <w:r>
              <w:rPr>
                <w:rFonts w:hint="eastAsia"/>
                <w:color w:val="auto"/>
                <w:sz w:val="24"/>
              </w:rPr>
              <w:t>废润滑油</w:t>
            </w:r>
            <w:r>
              <w:rPr>
                <w:rFonts w:hint="eastAsia" w:ascii="Times New Roman" w:hAnsi="Times New Roman" w:eastAsia="宋体" w:cs="Times New Roman"/>
                <w:color w:val="auto"/>
                <w:kern w:val="2"/>
                <w:sz w:val="24"/>
                <w:szCs w:val="21"/>
                <w:lang w:val="en-US" w:eastAsia="zh-CN" w:bidi="ar-SA"/>
              </w:rPr>
              <w:t>桶：</w:t>
            </w:r>
            <w:r>
              <w:rPr>
                <w:color w:val="auto"/>
                <w:sz w:val="24"/>
              </w:rPr>
              <w:t>根据企业提供资料，本项目设备运行维护</w:t>
            </w:r>
            <w:r>
              <w:rPr>
                <w:rFonts w:hint="eastAsia"/>
                <w:color w:val="auto"/>
                <w:sz w:val="24"/>
              </w:rPr>
              <w:t>使用润滑油会产生废润滑油桶</w:t>
            </w:r>
            <w:r>
              <w:rPr>
                <w:color w:val="auto"/>
                <w:sz w:val="24"/>
              </w:rPr>
              <w:t>，</w:t>
            </w:r>
            <w:r>
              <w:rPr>
                <w:rFonts w:hint="eastAsia"/>
                <w:color w:val="auto"/>
                <w:sz w:val="24"/>
              </w:rPr>
              <w:t>本项目润滑油用量为0.</w:t>
            </w:r>
            <w:r>
              <w:rPr>
                <w:rFonts w:hint="eastAsia"/>
                <w:color w:val="auto"/>
                <w:sz w:val="24"/>
                <w:lang w:val="en-US" w:eastAsia="zh-CN"/>
              </w:rPr>
              <w:t>2</w:t>
            </w:r>
            <w:r>
              <w:rPr>
                <w:rFonts w:hint="eastAsia"/>
                <w:color w:val="auto"/>
                <w:sz w:val="24"/>
              </w:rPr>
              <w:t>t/a，润滑油</w:t>
            </w:r>
            <w:r>
              <w:rPr>
                <w:color w:val="auto"/>
                <w:sz w:val="24"/>
              </w:rPr>
              <w:t>包装桶规格按</w:t>
            </w:r>
            <w:r>
              <w:rPr>
                <w:rFonts w:hint="eastAsia"/>
                <w:color w:val="auto"/>
                <w:sz w:val="24"/>
              </w:rPr>
              <w:t>25</w:t>
            </w:r>
            <w:r>
              <w:rPr>
                <w:color w:val="auto"/>
                <w:sz w:val="24"/>
              </w:rPr>
              <w:t>kg/桶计，空桶按</w:t>
            </w:r>
            <w:r>
              <w:rPr>
                <w:rFonts w:hint="eastAsia"/>
                <w:color w:val="auto"/>
                <w:sz w:val="24"/>
                <w:lang w:val="en-US" w:eastAsia="zh-CN"/>
              </w:rPr>
              <w:t>1.0</w:t>
            </w:r>
            <w:r>
              <w:rPr>
                <w:color w:val="auto"/>
                <w:sz w:val="24"/>
              </w:rPr>
              <w:t>kg/桶计算</w:t>
            </w:r>
            <w:r>
              <w:rPr>
                <w:rFonts w:hint="eastAsia"/>
                <w:color w:val="auto"/>
                <w:sz w:val="24"/>
              </w:rPr>
              <w:t>，废润滑油桶</w:t>
            </w:r>
            <w:r>
              <w:rPr>
                <w:color w:val="auto"/>
                <w:sz w:val="24"/>
              </w:rPr>
              <w:t>产生量</w:t>
            </w:r>
            <w:r>
              <w:rPr>
                <w:rFonts w:hint="eastAsia" w:ascii="Times New Roman" w:hAnsi="Times New Roman" w:eastAsia="宋体" w:cs="Times New Roman"/>
                <w:color w:val="auto"/>
                <w:sz w:val="24"/>
                <w:lang w:val="en-US" w:eastAsia="zh-CN"/>
              </w:rPr>
              <w:t>约0.008t/a。根据《国家危险废物名录》（202</w:t>
            </w: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年版）可知，属于危险废物（HW</w:t>
            </w:r>
            <w:r>
              <w:rPr>
                <w:rFonts w:hint="eastAsia" w:cs="Times New Roman"/>
                <w:color w:val="auto"/>
                <w:sz w:val="24"/>
                <w:lang w:val="en-US" w:eastAsia="zh-CN"/>
              </w:rPr>
              <w:t>08</w:t>
            </w:r>
            <w:r>
              <w:rPr>
                <w:rFonts w:hint="eastAsia" w:ascii="Times New Roman" w:hAnsi="Times New Roman" w:eastAsia="宋体" w:cs="Times New Roman"/>
                <w:color w:val="auto"/>
                <w:sz w:val="24"/>
                <w:lang w:val="en-US" w:eastAsia="zh-CN"/>
              </w:rPr>
              <w:t>，危废代码为900-</w:t>
            </w:r>
            <w:r>
              <w:rPr>
                <w:rFonts w:hint="eastAsia" w:cs="Times New Roman"/>
                <w:color w:val="auto"/>
                <w:sz w:val="24"/>
                <w:lang w:val="en-US" w:eastAsia="zh-CN"/>
              </w:rPr>
              <w:t>249</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08</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收集后暂存于危废间，定期委托有资质单位处置。</w:t>
            </w:r>
          </w:p>
          <w:p w14:paraId="5714E0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bCs/>
                <w:color w:val="auto"/>
                <w:sz w:val="24"/>
                <w:lang w:val="en-US" w:eastAsia="zh-CN"/>
              </w:rPr>
              <w:t>③</w:t>
            </w:r>
            <w:r>
              <w:rPr>
                <w:rFonts w:hint="eastAsia" w:ascii="Times New Roman" w:hAnsi="Times New Roman" w:eastAsia="宋体" w:cs="Times New Roman"/>
                <w:color w:val="auto"/>
                <w:sz w:val="24"/>
                <w:lang w:val="en-US" w:eastAsia="zh-CN"/>
              </w:rPr>
              <w:t>废催化剂：生物质锅炉烟气采用SCR脱硝，使用钒钛系催化剂，催化剂每年每年更换一次，每次产生0.05t。根据《国家危险废物名录》（202</w:t>
            </w: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年版）可知，属于危险废物（HW50，危废代码为772-007-50）。废催化剂暂存于危废间，定期委托有资质单位处置。</w:t>
            </w:r>
          </w:p>
          <w:p w14:paraId="20A6FA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（2）一般工业固废</w:t>
            </w:r>
          </w:p>
          <w:p w14:paraId="19CFA3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fldChar w:fldCharType="begin"/>
            </w:r>
            <w:r>
              <w:rPr>
                <w:rFonts w:hint="eastAsia" w:ascii="Times New Roman" w:hAnsi="Times New Roman" w:eastAsia="宋体" w:cs="Times New Roman"/>
                <w:color w:val="auto"/>
                <w:sz w:val="24"/>
                <w:lang w:val="en-US" w:eastAsia="zh-CN"/>
              </w:rPr>
              <w:instrText xml:space="preserve"> = 1 \* GB3 </w:instrText>
            </w:r>
            <w:r>
              <w:rPr>
                <w:rFonts w:hint="eastAsia" w:ascii="Times New Roman" w:hAnsi="Times New Roman" w:eastAsia="宋体" w:cs="Times New Roman"/>
                <w:color w:val="auto"/>
                <w:sz w:val="24"/>
                <w:lang w:val="en-US" w:eastAsia="zh-CN"/>
              </w:rPr>
              <w:fldChar w:fldCharType="separate"/>
            </w:r>
            <w:r>
              <w:rPr>
                <w:rFonts w:hint="eastAsia" w:ascii="Times New Roman" w:hAnsi="Times New Roman" w:eastAsia="宋体" w:cs="Times New Roman"/>
                <w:color w:val="auto"/>
                <w:sz w:val="24"/>
                <w:lang w:val="en-US" w:eastAsia="zh-CN"/>
              </w:rPr>
              <w:t>①</w:t>
            </w:r>
            <w:r>
              <w:rPr>
                <w:rFonts w:hint="eastAsia" w:ascii="Times New Roman" w:hAnsi="Times New Roman" w:eastAsia="宋体" w:cs="Times New Roman"/>
                <w:color w:val="auto"/>
                <w:sz w:val="24"/>
                <w:lang w:val="en-US" w:eastAsia="zh-CN"/>
              </w:rPr>
              <w:fldChar w:fldCharType="end"/>
            </w:r>
            <w:r>
              <w:rPr>
                <w:rFonts w:hint="eastAsia" w:ascii="Times New Roman" w:hAnsi="Times New Roman" w:eastAsia="宋体" w:cs="Times New Roman"/>
                <w:color w:val="auto"/>
                <w:sz w:val="24"/>
                <w:lang w:val="en-US" w:eastAsia="zh-CN"/>
              </w:rPr>
              <w:t>边角料：项目生产过程会产生边角料，</w:t>
            </w:r>
            <w:r>
              <w:rPr>
                <w:rFonts w:hint="eastAsia" w:cs="Times New Roman"/>
                <w:color w:val="auto"/>
                <w:sz w:val="24"/>
                <w:lang w:val="en-US" w:eastAsia="zh-CN"/>
              </w:rPr>
              <w:t>按10%的原料计算，</w:t>
            </w:r>
            <w:r>
              <w:rPr>
                <w:rFonts w:hint="eastAsia" w:ascii="Times New Roman" w:hAnsi="Times New Roman" w:eastAsia="宋体" w:cs="Times New Roman"/>
                <w:color w:val="auto"/>
                <w:sz w:val="24"/>
                <w:lang w:val="en-US" w:eastAsia="zh-CN"/>
              </w:rPr>
              <w:t>产生量约为</w:t>
            </w:r>
            <w:r>
              <w:rPr>
                <w:rFonts w:hint="eastAsia" w:cs="Times New Roman"/>
                <w:color w:val="auto"/>
                <w:sz w:val="24"/>
                <w:lang w:val="en-US" w:eastAsia="zh-CN"/>
              </w:rPr>
              <w:t>200</w:t>
            </w:r>
            <w:r>
              <w:rPr>
                <w:rFonts w:hint="eastAsia" w:ascii="Times New Roman" w:hAnsi="Times New Roman" w:eastAsia="宋体" w:cs="Times New Roman"/>
                <w:color w:val="auto"/>
                <w:sz w:val="24"/>
                <w:lang w:val="en-US" w:eastAsia="zh-CN"/>
              </w:rPr>
              <w:t>0t/a，收集后</w:t>
            </w:r>
            <w:r>
              <w:rPr>
                <w:rFonts w:hint="eastAsia" w:cs="Times New Roman"/>
                <w:color w:val="auto"/>
                <w:sz w:val="24"/>
                <w:lang w:val="en-US" w:eastAsia="zh-CN"/>
              </w:rPr>
              <w:t>外售综合利用</w:t>
            </w:r>
            <w:r>
              <w:rPr>
                <w:rFonts w:hint="eastAsia" w:ascii="Times New Roman" w:hAnsi="Times New Roman" w:eastAsia="宋体" w:cs="Times New Roman"/>
                <w:color w:val="auto"/>
                <w:sz w:val="24"/>
                <w:lang w:val="en-US" w:eastAsia="zh-CN"/>
              </w:rPr>
              <w:t>。</w:t>
            </w:r>
          </w:p>
          <w:p w14:paraId="161ABE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fldChar w:fldCharType="begin"/>
            </w:r>
            <w:r>
              <w:rPr>
                <w:rFonts w:hint="eastAsia" w:ascii="Times New Roman" w:hAnsi="Times New Roman" w:eastAsia="宋体" w:cs="Times New Roman"/>
                <w:color w:val="auto"/>
                <w:sz w:val="24"/>
                <w:lang w:val="en-US" w:eastAsia="zh-CN"/>
              </w:rPr>
              <w:instrText xml:space="preserve"> = 2 \* GB3 </w:instrText>
            </w:r>
            <w:r>
              <w:rPr>
                <w:rFonts w:hint="eastAsia" w:ascii="Times New Roman" w:hAnsi="Times New Roman" w:eastAsia="宋体" w:cs="Times New Roman"/>
                <w:color w:val="auto"/>
                <w:sz w:val="24"/>
                <w:lang w:val="en-US" w:eastAsia="zh-CN"/>
              </w:rPr>
              <w:fldChar w:fldCharType="separate"/>
            </w: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lang w:val="en-US" w:eastAsia="zh-CN"/>
              </w:rPr>
              <w:fldChar w:fldCharType="end"/>
            </w:r>
            <w:r>
              <w:rPr>
                <w:rFonts w:hint="eastAsia" w:ascii="Times New Roman" w:hAnsi="Times New Roman" w:eastAsia="宋体" w:cs="Times New Roman"/>
                <w:color w:val="auto"/>
                <w:sz w:val="24"/>
                <w:lang w:val="en-US" w:eastAsia="zh-CN"/>
              </w:rPr>
              <w:t>布袋除尘器收尘：项目布袋除尘器收集的粉尘约</w:t>
            </w:r>
            <w:r>
              <w:rPr>
                <w:rFonts w:hint="eastAsia" w:cs="Times New Roman"/>
                <w:color w:val="auto"/>
                <w:sz w:val="24"/>
                <w:lang w:val="en-US" w:eastAsia="zh-CN"/>
              </w:rPr>
              <w:t>1.054</w:t>
            </w:r>
            <w:r>
              <w:rPr>
                <w:rFonts w:hint="eastAsia" w:ascii="Times New Roman" w:hAnsi="Times New Roman" w:eastAsia="宋体" w:cs="Times New Roman"/>
                <w:color w:val="auto"/>
                <w:sz w:val="24"/>
                <w:lang w:val="en-US" w:eastAsia="zh-CN"/>
              </w:rPr>
              <w:t>t/a，收集后</w:t>
            </w:r>
            <w:r>
              <w:rPr>
                <w:rFonts w:hint="eastAsia" w:cs="Times New Roman"/>
                <w:color w:val="auto"/>
                <w:sz w:val="24"/>
                <w:lang w:val="en-US" w:eastAsia="zh-CN"/>
              </w:rPr>
              <w:t>外售综合利用</w:t>
            </w:r>
            <w:r>
              <w:rPr>
                <w:rFonts w:hint="eastAsia" w:ascii="Times New Roman" w:hAnsi="Times New Roman" w:eastAsia="宋体" w:cs="Times New Roman"/>
                <w:color w:val="auto"/>
                <w:sz w:val="24"/>
                <w:lang w:val="en-US" w:eastAsia="zh-CN"/>
              </w:rPr>
              <w:t>。</w:t>
            </w:r>
          </w:p>
          <w:p w14:paraId="762CEB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③炉渣：锅炉燃烧生物质产生的炉渣，由当地村民承包负责处理，被当地农民充当农业肥料使用。炉渣产生量按燃料用量的3%计算，则锅炉炉渣产生量为</w:t>
            </w:r>
            <w:r>
              <w:rPr>
                <w:rFonts w:hint="eastAsia" w:cs="Times New Roman"/>
                <w:color w:val="auto"/>
                <w:sz w:val="24"/>
                <w:lang w:val="en-US" w:eastAsia="zh-CN"/>
              </w:rPr>
              <w:t>63.9</w:t>
            </w:r>
            <w:r>
              <w:rPr>
                <w:rFonts w:hint="eastAsia" w:ascii="Times New Roman" w:hAnsi="Times New Roman" w:eastAsia="宋体" w:cs="Times New Roman"/>
                <w:color w:val="auto"/>
                <w:sz w:val="24"/>
                <w:lang w:val="en-US" w:eastAsia="zh-CN"/>
              </w:rPr>
              <w:t>t/a，作为农肥处理。</w:t>
            </w:r>
          </w:p>
          <w:p w14:paraId="573C96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ascii="Times New Roman" w:hAnsi="Times New Roman" w:eastAsia="宋体" w:cs="Times New Roman"/>
                <w:color w:val="auto"/>
                <w:sz w:val="24"/>
                <w:lang w:val="en-US" w:eastAsia="zh-CN"/>
              </w:rPr>
              <w:t>④废树脂：</w:t>
            </w:r>
            <w:r>
              <w:rPr>
                <w:rFonts w:hint="eastAsia" w:cs="Times New Roman"/>
                <w:color w:val="auto"/>
                <w:sz w:val="24"/>
                <w:lang w:val="en-US" w:eastAsia="zh-CN"/>
              </w:rPr>
              <w:t>根据建设单位提供资料，</w:t>
            </w:r>
            <w:r>
              <w:rPr>
                <w:rFonts w:hint="eastAsia" w:ascii="Times New Roman" w:hAnsi="Times New Roman" w:eastAsia="宋体" w:cs="Times New Roman"/>
                <w:color w:val="auto"/>
                <w:sz w:val="24"/>
                <w:lang w:val="en-US" w:eastAsia="zh-CN"/>
              </w:rPr>
              <w:t>锅炉</w:t>
            </w:r>
            <w:r>
              <w:rPr>
                <w:rFonts w:hint="eastAsia" w:cs="Times New Roman"/>
                <w:color w:val="auto"/>
                <w:sz w:val="24"/>
                <w:lang w:val="en-US" w:eastAsia="zh-CN"/>
              </w:rPr>
              <w:t>自带</w:t>
            </w:r>
            <w:r>
              <w:rPr>
                <w:rFonts w:hint="eastAsia" w:ascii="Times New Roman" w:hAnsi="Times New Roman" w:eastAsia="宋体" w:cs="Times New Roman"/>
                <w:color w:val="auto"/>
                <w:sz w:val="24"/>
                <w:lang w:val="en-US" w:eastAsia="zh-CN"/>
              </w:rPr>
              <w:t>软水制备</w:t>
            </w:r>
            <w:r>
              <w:rPr>
                <w:rFonts w:hint="eastAsia" w:cs="Times New Roman"/>
                <w:color w:val="auto"/>
                <w:sz w:val="24"/>
                <w:lang w:val="en-US" w:eastAsia="zh-CN"/>
              </w:rPr>
              <w:t>系统</w:t>
            </w:r>
            <w:r>
              <w:rPr>
                <w:rFonts w:hint="eastAsia" w:ascii="Times New Roman" w:hAnsi="Times New Roman" w:eastAsia="宋体" w:cs="Times New Roman"/>
                <w:color w:val="auto"/>
                <w:sz w:val="24"/>
                <w:lang w:val="en-US" w:eastAsia="zh-CN"/>
              </w:rPr>
              <w:t>，软水制备采用离子交换柱工艺。交换树脂定期需要进行更换，软水树脂可以再生反复使用，本项目每年更换一次，每次更换的树脂量为0.</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t，收集后外售给资源回收公司。</w:t>
            </w:r>
          </w:p>
          <w:p w14:paraId="39A438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5 \* GB3 \* MERGEFORMAT </w:instrText>
            </w:r>
            <w:r>
              <w:rPr>
                <w:rFonts w:hint="eastAsia"/>
                <w:color w:val="auto"/>
                <w:lang w:val="en-US" w:eastAsia="zh-CN"/>
              </w:rPr>
              <w:fldChar w:fldCharType="separate"/>
            </w:r>
            <w:r>
              <w:rPr>
                <w:color w:val="auto"/>
              </w:rPr>
              <w:t>⑤</w:t>
            </w:r>
            <w:r>
              <w:rPr>
                <w:rFonts w:hint="eastAsia"/>
                <w:color w:val="auto"/>
                <w:lang w:val="en-US" w:eastAsia="zh-CN"/>
              </w:rPr>
              <w:fldChar w:fldCharType="end"/>
            </w:r>
            <w:r>
              <w:rPr>
                <w:rFonts w:hint="eastAsia"/>
                <w:color w:val="auto"/>
                <w:kern w:val="0"/>
                <w:sz w:val="24"/>
                <w:lang w:val="en-US" w:eastAsia="zh-CN"/>
              </w:rPr>
              <w:t>废布袋：项目布袋除尘器定期更换，废布袋年均产生量约为0.01t/a，收集后外售给资源回收公司。</w:t>
            </w:r>
          </w:p>
          <w:p w14:paraId="317ACF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6 \* GB3 \* MERGEFORMAT </w:instrText>
            </w:r>
            <w:r>
              <w:rPr>
                <w:rFonts w:hint="eastAsia"/>
                <w:color w:val="auto"/>
                <w:lang w:val="en-US" w:eastAsia="zh-CN"/>
              </w:rPr>
              <w:fldChar w:fldCharType="separate"/>
            </w:r>
            <w:r>
              <w:rPr>
                <w:color w:val="auto"/>
              </w:rPr>
              <w:t>⑥</w:t>
            </w:r>
            <w:r>
              <w:rPr>
                <w:rFonts w:hint="eastAsia"/>
                <w:color w:val="auto"/>
                <w:lang w:val="en-US" w:eastAsia="zh-CN"/>
              </w:rPr>
              <w:fldChar w:fldCharType="end"/>
            </w:r>
            <w:r>
              <w:rPr>
                <w:rFonts w:hint="eastAsia"/>
                <w:color w:val="auto"/>
                <w:kern w:val="0"/>
                <w:sz w:val="24"/>
                <w:lang w:val="en-US" w:eastAsia="zh-CN"/>
              </w:rPr>
              <w:t>沉淀池</w:t>
            </w:r>
            <w:r>
              <w:rPr>
                <w:rFonts w:hint="eastAsia"/>
                <w:color w:val="auto"/>
                <w:sz w:val="24"/>
                <w:lang w:eastAsia="zh-CN"/>
              </w:rPr>
              <w:t>沉渣：</w:t>
            </w:r>
            <w:r>
              <w:rPr>
                <w:rFonts w:hint="eastAsia"/>
                <w:color w:val="auto"/>
                <w:sz w:val="24"/>
                <w:lang w:val="en-US" w:eastAsia="zh-CN"/>
              </w:rPr>
              <w:t>沉淀池沉渣产生量约为0.03t/a，沉渣捞取后外售。</w:t>
            </w:r>
          </w:p>
          <w:p w14:paraId="168B5D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（3）生活垃圾</w:t>
            </w:r>
          </w:p>
          <w:p w14:paraId="416CCE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项目新增员工20人，年工作300天，生活垃圾产生量按照0.5kg/人·天计算，则生活垃圾产生量为10kg/d（3t/a）。生活垃圾在厂区内统一收集后，由环卫部门定期清运。</w:t>
            </w:r>
          </w:p>
          <w:p w14:paraId="005B6D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本项目固体废物污染源源强核算情况详见下表。 </w:t>
            </w:r>
          </w:p>
          <w:p w14:paraId="3AC95B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w:t>
            </w:r>
            <w:r>
              <w:rPr>
                <w:rFonts w:hint="default" w:ascii="Times New Roman" w:hAnsi="Times New Roman" w:eastAsia="宋体" w:cs="Times New Roman"/>
                <w:color w:val="auto"/>
                <w:sz w:val="24"/>
                <w:lang w:val="en-US" w:eastAsia="zh-CN"/>
              </w:rPr>
              <w:t>固体废物源强及</w:t>
            </w:r>
            <w:r>
              <w:rPr>
                <w:rFonts w:hint="eastAsia" w:ascii="Times New Roman" w:hAnsi="Times New Roman" w:eastAsia="宋体" w:cs="Times New Roman"/>
                <w:color w:val="auto"/>
                <w:sz w:val="24"/>
                <w:lang w:val="en-US" w:eastAsia="zh-CN"/>
              </w:rPr>
              <w:t>处置措施</w:t>
            </w:r>
            <w:r>
              <w:rPr>
                <w:rFonts w:hint="default" w:ascii="Times New Roman" w:hAnsi="Times New Roman" w:eastAsia="宋体" w:cs="Times New Roman"/>
                <w:color w:val="auto"/>
                <w:sz w:val="24"/>
                <w:lang w:val="en-US" w:eastAsia="zh-CN"/>
              </w:rPr>
              <w:t>见下表：</w:t>
            </w:r>
          </w:p>
          <w:p w14:paraId="125873CD">
            <w:pPr>
              <w:keepNext w:val="0"/>
              <w:keepLines w:val="0"/>
              <w:pageBreakBefore w:val="0"/>
              <w:widowControl w:val="0"/>
              <w:kinsoku/>
              <w:wordWrap/>
              <w:overflowPunct/>
              <w:topLinePunct/>
              <w:autoSpaceDE/>
              <w:autoSpaceDN/>
              <w:bidi w:val="0"/>
              <w:adjustRightInd/>
              <w:snapToGrid/>
              <w:spacing w:beforeAutospacing="0" w:afterAutospacing="0" w:line="360" w:lineRule="auto"/>
              <w:ind w:right="0" w:firstLine="482" w:firstLineChars="200"/>
              <w:jc w:val="center"/>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zh-CN"/>
              </w:rPr>
              <w:t>表</w:t>
            </w:r>
            <w:r>
              <w:rPr>
                <w:rFonts w:hint="default" w:ascii="Times New Roman" w:hAnsi="Times New Roman" w:eastAsia="宋体" w:cs="Times New Roman"/>
                <w:b/>
                <w:color w:val="auto"/>
                <w:sz w:val="24"/>
                <w:szCs w:val="24"/>
                <w:lang w:val="en-US" w:eastAsia="zh-CN"/>
              </w:rPr>
              <w:t>4-</w:t>
            </w:r>
            <w:r>
              <w:rPr>
                <w:rFonts w:hint="eastAsia" w:ascii="Times New Roman" w:hAnsi="Times New Roman" w:eastAsia="宋体" w:cs="Times New Roman"/>
                <w:b/>
                <w:color w:val="auto"/>
                <w:sz w:val="24"/>
                <w:szCs w:val="24"/>
                <w:lang w:val="en-US" w:eastAsia="zh-CN"/>
              </w:rPr>
              <w:t xml:space="preserve">17 </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val="zh-CN" w:eastAsia="zh-CN"/>
              </w:rPr>
              <w:t>固体废物</w:t>
            </w:r>
            <w:r>
              <w:rPr>
                <w:rFonts w:hint="default" w:ascii="Times New Roman" w:hAnsi="Times New Roman" w:eastAsia="宋体" w:cs="Times New Roman"/>
                <w:b/>
                <w:color w:val="auto"/>
                <w:sz w:val="24"/>
                <w:szCs w:val="24"/>
                <w:lang w:val="zh-CN"/>
              </w:rPr>
              <w:t>产生及排放情况一览表</w:t>
            </w:r>
            <w:r>
              <w:rPr>
                <w:rFonts w:hint="eastAsia" w:ascii="Times New Roman" w:hAnsi="Times New Roman" w:eastAsia="宋体" w:cs="Times New Roman"/>
                <w:b/>
                <w:color w:val="auto"/>
                <w:sz w:val="24"/>
                <w:szCs w:val="24"/>
                <w:lang w:val="en-US" w:eastAsia="zh-CN"/>
              </w:rPr>
              <w:t xml:space="preserve">   </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393"/>
              <w:gridCol w:w="917"/>
              <w:gridCol w:w="1037"/>
              <w:gridCol w:w="1765"/>
              <w:gridCol w:w="812"/>
              <w:gridCol w:w="2177"/>
            </w:tblGrid>
            <w:tr w14:paraId="7451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41F42514">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序号</w:t>
                  </w:r>
                </w:p>
              </w:tc>
              <w:tc>
                <w:tcPr>
                  <w:tcW w:w="792" w:type="pct"/>
                  <w:noWrap w:val="0"/>
                  <w:vAlign w:val="center"/>
                </w:tcPr>
                <w:p w14:paraId="6E4CC36F">
                  <w:pPr>
                    <w:keepNext w:val="0"/>
                    <w:keepLines w:val="0"/>
                    <w:pageBreakBefore w:val="0"/>
                    <w:kinsoku/>
                    <w:overflowPunct/>
                    <w:bidi w:val="0"/>
                    <w:adjustRightInd/>
                    <w:snapToGrid/>
                    <w:jc w:val="center"/>
                    <w:rPr>
                      <w:rFonts w:hint="default"/>
                      <w:b/>
                      <w:bCs/>
                      <w:color w:val="auto"/>
                      <w:sz w:val="21"/>
                      <w:szCs w:val="21"/>
                    </w:rPr>
                  </w:pPr>
                  <w:r>
                    <w:rPr>
                      <w:rFonts w:hint="default"/>
                      <w:b/>
                      <w:bCs/>
                      <w:color w:val="auto"/>
                      <w:sz w:val="21"/>
                      <w:szCs w:val="21"/>
                      <w:lang w:eastAsia="zh-CN"/>
                    </w:rPr>
                    <w:t>固废</w:t>
                  </w:r>
                  <w:r>
                    <w:rPr>
                      <w:rFonts w:hint="default"/>
                      <w:b/>
                      <w:bCs/>
                      <w:color w:val="auto"/>
                      <w:sz w:val="21"/>
                      <w:szCs w:val="21"/>
                    </w:rPr>
                    <w:t>名称</w:t>
                  </w:r>
                </w:p>
              </w:tc>
              <w:tc>
                <w:tcPr>
                  <w:tcW w:w="521" w:type="pct"/>
                  <w:noWrap w:val="0"/>
                  <w:vAlign w:val="center"/>
                </w:tcPr>
                <w:p w14:paraId="5547F181">
                  <w:pPr>
                    <w:keepNext w:val="0"/>
                    <w:keepLines w:val="0"/>
                    <w:pageBreakBefore w:val="0"/>
                    <w:kinsoku/>
                    <w:overflowPunct/>
                    <w:bidi w:val="0"/>
                    <w:adjustRightInd/>
                    <w:snapToGrid/>
                    <w:jc w:val="center"/>
                    <w:rPr>
                      <w:rFonts w:hint="default"/>
                      <w:b/>
                      <w:bCs/>
                      <w:color w:val="auto"/>
                      <w:sz w:val="21"/>
                      <w:szCs w:val="21"/>
                      <w:lang w:eastAsia="zh-CN"/>
                    </w:rPr>
                  </w:pPr>
                  <w:r>
                    <w:rPr>
                      <w:rFonts w:hint="eastAsia"/>
                      <w:b/>
                      <w:bCs/>
                      <w:color w:val="auto"/>
                      <w:sz w:val="21"/>
                      <w:szCs w:val="21"/>
                      <w:lang w:eastAsia="zh-CN"/>
                    </w:rPr>
                    <w:t>属性</w:t>
                  </w:r>
                </w:p>
              </w:tc>
              <w:tc>
                <w:tcPr>
                  <w:tcW w:w="589" w:type="pct"/>
                  <w:noWrap w:val="0"/>
                  <w:vAlign w:val="center"/>
                </w:tcPr>
                <w:p w14:paraId="474140C4">
                  <w:pPr>
                    <w:keepNext w:val="0"/>
                    <w:keepLines w:val="0"/>
                    <w:pageBreakBefore w:val="0"/>
                    <w:kinsoku/>
                    <w:overflowPunct/>
                    <w:bidi w:val="0"/>
                    <w:adjustRightInd/>
                    <w:snapToGrid/>
                    <w:jc w:val="center"/>
                    <w:rPr>
                      <w:rFonts w:hint="default"/>
                      <w:b/>
                      <w:bCs/>
                      <w:color w:val="auto"/>
                      <w:sz w:val="21"/>
                      <w:szCs w:val="21"/>
                    </w:rPr>
                  </w:pPr>
                  <w:r>
                    <w:rPr>
                      <w:rFonts w:hint="default"/>
                      <w:b/>
                      <w:bCs/>
                      <w:color w:val="auto"/>
                      <w:sz w:val="21"/>
                      <w:szCs w:val="21"/>
                    </w:rPr>
                    <w:t>产生量</w:t>
                  </w:r>
                </w:p>
              </w:tc>
              <w:tc>
                <w:tcPr>
                  <w:tcW w:w="1003" w:type="pct"/>
                  <w:noWrap w:val="0"/>
                  <w:vAlign w:val="center"/>
                </w:tcPr>
                <w:p w14:paraId="3C886F98">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产生工序及装置</w:t>
                  </w:r>
                </w:p>
              </w:tc>
              <w:tc>
                <w:tcPr>
                  <w:tcW w:w="461" w:type="pct"/>
                  <w:noWrap w:val="0"/>
                  <w:vAlign w:val="center"/>
                </w:tcPr>
                <w:p w14:paraId="20C60FC4">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形态</w:t>
                  </w:r>
                </w:p>
              </w:tc>
              <w:tc>
                <w:tcPr>
                  <w:tcW w:w="1237" w:type="pct"/>
                  <w:noWrap w:val="0"/>
                  <w:vAlign w:val="center"/>
                </w:tcPr>
                <w:p w14:paraId="4D409B67">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处理或处置方式</w:t>
                  </w:r>
                </w:p>
              </w:tc>
            </w:tr>
            <w:tr w14:paraId="14F1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6F79FF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92" w:type="pct"/>
                  <w:noWrap w:val="0"/>
                  <w:vAlign w:val="center"/>
                </w:tcPr>
                <w:p w14:paraId="421A8C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边角料</w:t>
                  </w:r>
                </w:p>
              </w:tc>
              <w:tc>
                <w:tcPr>
                  <w:tcW w:w="521" w:type="pct"/>
                  <w:vMerge w:val="restart"/>
                  <w:noWrap w:val="0"/>
                  <w:vAlign w:val="center"/>
                </w:tcPr>
                <w:p w14:paraId="25BC6A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p>
                <w:p w14:paraId="3CFF28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589" w:type="pct"/>
                  <w:noWrap w:val="0"/>
                  <w:vAlign w:val="center"/>
                </w:tcPr>
                <w:p w14:paraId="25C112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2000t/a</w:t>
                  </w:r>
                </w:p>
              </w:tc>
              <w:tc>
                <w:tcPr>
                  <w:tcW w:w="1003" w:type="pct"/>
                  <w:noWrap w:val="0"/>
                  <w:vAlign w:val="center"/>
                </w:tcPr>
                <w:p w14:paraId="45A7ED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机加工</w:t>
                  </w:r>
                </w:p>
              </w:tc>
              <w:tc>
                <w:tcPr>
                  <w:tcW w:w="461" w:type="pct"/>
                  <w:noWrap w:val="0"/>
                  <w:vAlign w:val="center"/>
                </w:tcPr>
                <w:p w14:paraId="1546FA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1237" w:type="pct"/>
                  <w:noWrap w:val="0"/>
                  <w:vAlign w:val="center"/>
                </w:tcPr>
                <w:p w14:paraId="74C3DF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外售综合利用</w:t>
                  </w:r>
                </w:p>
              </w:tc>
            </w:tr>
            <w:tr w14:paraId="1E7F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60623E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92" w:type="pct"/>
                  <w:noWrap w:val="0"/>
                  <w:vAlign w:val="center"/>
                </w:tcPr>
                <w:p w14:paraId="6FB82A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除尘灰</w:t>
                  </w:r>
                </w:p>
              </w:tc>
              <w:tc>
                <w:tcPr>
                  <w:tcW w:w="521" w:type="pct"/>
                  <w:vMerge w:val="continue"/>
                  <w:noWrap w:val="0"/>
                  <w:vAlign w:val="center"/>
                </w:tcPr>
                <w:p w14:paraId="08AD9D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589" w:type="pct"/>
                  <w:noWrap w:val="0"/>
                  <w:vAlign w:val="center"/>
                </w:tcPr>
                <w:p w14:paraId="432781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1.054t/a</w:t>
                  </w:r>
                </w:p>
              </w:tc>
              <w:tc>
                <w:tcPr>
                  <w:tcW w:w="1003" w:type="pct"/>
                  <w:noWrap w:val="0"/>
                  <w:vAlign w:val="center"/>
                </w:tcPr>
                <w:p w14:paraId="6744D6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除尘器</w:t>
                  </w:r>
                </w:p>
              </w:tc>
              <w:tc>
                <w:tcPr>
                  <w:tcW w:w="461" w:type="pct"/>
                  <w:noWrap w:val="0"/>
                  <w:vAlign w:val="center"/>
                </w:tcPr>
                <w:p w14:paraId="073A7D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1237" w:type="pct"/>
                  <w:vMerge w:val="restart"/>
                  <w:noWrap w:val="0"/>
                  <w:vAlign w:val="center"/>
                </w:tcPr>
                <w:p w14:paraId="315C98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收集后</w:t>
                  </w:r>
                  <w:r>
                    <w:rPr>
                      <w:rFonts w:hint="eastAsia" w:cs="Times New Roman"/>
                      <w:color w:val="auto"/>
                      <w:sz w:val="21"/>
                      <w:szCs w:val="21"/>
                      <w:lang w:val="en-US" w:eastAsia="zh-CN"/>
                    </w:rPr>
                    <w:t>外售综合利用</w:t>
                  </w:r>
                </w:p>
              </w:tc>
            </w:tr>
            <w:tr w14:paraId="3795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64170B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92" w:type="pct"/>
                  <w:noWrap w:val="0"/>
                  <w:vAlign w:val="center"/>
                </w:tcPr>
                <w:p w14:paraId="03CDA8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炉渣</w:t>
                  </w:r>
                </w:p>
              </w:tc>
              <w:tc>
                <w:tcPr>
                  <w:tcW w:w="521" w:type="pct"/>
                  <w:vMerge w:val="continue"/>
                  <w:noWrap w:val="0"/>
                  <w:vAlign w:val="center"/>
                </w:tcPr>
                <w:p w14:paraId="194DBC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589" w:type="pct"/>
                  <w:noWrap w:val="0"/>
                  <w:vAlign w:val="center"/>
                </w:tcPr>
                <w:p w14:paraId="398562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63.9t/a</w:t>
                  </w:r>
                </w:p>
              </w:tc>
              <w:tc>
                <w:tcPr>
                  <w:tcW w:w="1003" w:type="pct"/>
                  <w:noWrap w:val="0"/>
                  <w:vAlign w:val="center"/>
                </w:tcPr>
                <w:p w14:paraId="271CE7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锅炉</w:t>
                  </w:r>
                </w:p>
              </w:tc>
              <w:tc>
                <w:tcPr>
                  <w:tcW w:w="461" w:type="pct"/>
                  <w:noWrap w:val="0"/>
                  <w:vAlign w:val="center"/>
                </w:tcPr>
                <w:p w14:paraId="4ADEF3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1237" w:type="pct"/>
                  <w:vMerge w:val="continue"/>
                  <w:noWrap w:val="0"/>
                  <w:vAlign w:val="center"/>
                </w:tcPr>
                <w:p w14:paraId="21E64A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r>
            <w:tr w14:paraId="4FE0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6A7A19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92" w:type="pct"/>
                  <w:noWrap w:val="0"/>
                  <w:vAlign w:val="center"/>
                </w:tcPr>
                <w:p w14:paraId="71C70E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废树脂</w:t>
                  </w:r>
                </w:p>
              </w:tc>
              <w:tc>
                <w:tcPr>
                  <w:tcW w:w="521" w:type="pct"/>
                  <w:vMerge w:val="continue"/>
                  <w:noWrap w:val="0"/>
                  <w:vAlign w:val="center"/>
                </w:tcPr>
                <w:p w14:paraId="03754F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589" w:type="pct"/>
                  <w:noWrap w:val="0"/>
                  <w:vAlign w:val="center"/>
                </w:tcPr>
                <w:p w14:paraId="5FE8F2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0.3t/a</w:t>
                  </w:r>
                </w:p>
              </w:tc>
              <w:tc>
                <w:tcPr>
                  <w:tcW w:w="1003" w:type="pct"/>
                  <w:noWrap w:val="0"/>
                  <w:vAlign w:val="center"/>
                </w:tcPr>
                <w:p w14:paraId="21EB96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软水制备</w:t>
                  </w:r>
                </w:p>
              </w:tc>
              <w:tc>
                <w:tcPr>
                  <w:tcW w:w="461" w:type="pct"/>
                  <w:noWrap w:val="0"/>
                  <w:vAlign w:val="center"/>
                </w:tcPr>
                <w:p w14:paraId="11C459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1237" w:type="pct"/>
                  <w:vMerge w:val="restart"/>
                  <w:noWrap w:val="0"/>
                  <w:vAlign w:val="center"/>
                </w:tcPr>
                <w:p w14:paraId="2C5642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收集后外售给资源回收公司</w:t>
                  </w:r>
                </w:p>
              </w:tc>
            </w:tr>
            <w:tr w14:paraId="3F5C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5CEE50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792" w:type="pct"/>
                  <w:noWrap w:val="0"/>
                  <w:vAlign w:val="center"/>
                </w:tcPr>
                <w:p w14:paraId="3875F8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废布袋</w:t>
                  </w:r>
                </w:p>
              </w:tc>
              <w:tc>
                <w:tcPr>
                  <w:tcW w:w="521" w:type="pct"/>
                  <w:vMerge w:val="continue"/>
                  <w:noWrap w:val="0"/>
                  <w:vAlign w:val="center"/>
                </w:tcPr>
                <w:p w14:paraId="43AED4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589" w:type="pct"/>
                  <w:noWrap w:val="0"/>
                  <w:vAlign w:val="center"/>
                </w:tcPr>
                <w:p w14:paraId="3D06DD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0.01t/a</w:t>
                  </w:r>
                </w:p>
              </w:tc>
              <w:tc>
                <w:tcPr>
                  <w:tcW w:w="1003" w:type="pct"/>
                  <w:noWrap w:val="0"/>
                  <w:vAlign w:val="center"/>
                </w:tcPr>
                <w:p w14:paraId="462556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废气处理</w:t>
                  </w:r>
                </w:p>
              </w:tc>
              <w:tc>
                <w:tcPr>
                  <w:tcW w:w="461" w:type="pct"/>
                  <w:noWrap w:val="0"/>
                  <w:vAlign w:val="center"/>
                </w:tcPr>
                <w:p w14:paraId="26DA67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固态</w:t>
                  </w:r>
                </w:p>
              </w:tc>
              <w:tc>
                <w:tcPr>
                  <w:tcW w:w="1237" w:type="pct"/>
                  <w:vMerge w:val="continue"/>
                  <w:noWrap w:val="0"/>
                  <w:vAlign w:val="center"/>
                </w:tcPr>
                <w:p w14:paraId="144386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r>
            <w:tr w14:paraId="129F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1F3718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792" w:type="pct"/>
                  <w:noWrap w:val="0"/>
                  <w:vAlign w:val="center"/>
                </w:tcPr>
                <w:p w14:paraId="64D840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沉淀池沉渣</w:t>
                  </w:r>
                </w:p>
              </w:tc>
              <w:tc>
                <w:tcPr>
                  <w:tcW w:w="521" w:type="pct"/>
                  <w:vMerge w:val="continue"/>
                  <w:noWrap w:val="0"/>
                  <w:vAlign w:val="center"/>
                </w:tcPr>
                <w:p w14:paraId="2A8838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589" w:type="pct"/>
                  <w:noWrap w:val="0"/>
                  <w:vAlign w:val="center"/>
                </w:tcPr>
                <w:p w14:paraId="2ECB70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3t/a</w:t>
                  </w:r>
                </w:p>
              </w:tc>
              <w:tc>
                <w:tcPr>
                  <w:tcW w:w="1003" w:type="pct"/>
                  <w:noWrap w:val="0"/>
                  <w:vAlign w:val="center"/>
                </w:tcPr>
                <w:p w14:paraId="2D9D3F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废气处理</w:t>
                  </w:r>
                </w:p>
              </w:tc>
              <w:tc>
                <w:tcPr>
                  <w:tcW w:w="461" w:type="pct"/>
                  <w:noWrap w:val="0"/>
                  <w:vAlign w:val="center"/>
                </w:tcPr>
                <w:p w14:paraId="165F5C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1237" w:type="pct"/>
                  <w:vMerge w:val="continue"/>
                  <w:noWrap w:val="0"/>
                  <w:vAlign w:val="center"/>
                </w:tcPr>
                <w:p w14:paraId="335101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r>
            <w:tr w14:paraId="6E2D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51A0C1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792" w:type="pct"/>
                  <w:noWrap w:val="0"/>
                  <w:vAlign w:val="center"/>
                </w:tcPr>
                <w:p w14:paraId="48F6F2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废润滑油</w:t>
                  </w:r>
                </w:p>
              </w:tc>
              <w:tc>
                <w:tcPr>
                  <w:tcW w:w="521" w:type="pct"/>
                  <w:vMerge w:val="restart"/>
                  <w:noWrap w:val="0"/>
                  <w:vAlign w:val="center"/>
                </w:tcPr>
                <w:p w14:paraId="4D0727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w:t>
                  </w:r>
                </w:p>
                <w:p w14:paraId="21DF25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废物</w:t>
                  </w:r>
                </w:p>
              </w:tc>
              <w:tc>
                <w:tcPr>
                  <w:tcW w:w="589" w:type="pct"/>
                  <w:noWrap w:val="0"/>
                  <w:vAlign w:val="center"/>
                </w:tcPr>
                <w:p w14:paraId="329BCD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w:t>
                  </w:r>
                  <w:r>
                    <w:rPr>
                      <w:rFonts w:hint="default" w:ascii="Times New Roman" w:hAnsi="Times New Roman" w:eastAsia="宋体" w:cs="Times New Roman"/>
                      <w:color w:val="auto"/>
                      <w:sz w:val="21"/>
                      <w:szCs w:val="21"/>
                      <w:lang w:val="en-US" w:eastAsia="zh-CN"/>
                    </w:rPr>
                    <w:t>t/a</w:t>
                  </w:r>
                </w:p>
              </w:tc>
              <w:tc>
                <w:tcPr>
                  <w:tcW w:w="1003" w:type="pct"/>
                  <w:noWrap w:val="0"/>
                  <w:vAlign w:val="center"/>
                </w:tcPr>
                <w:p w14:paraId="395A42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设备维护保养</w:t>
                  </w:r>
                </w:p>
              </w:tc>
              <w:tc>
                <w:tcPr>
                  <w:tcW w:w="461" w:type="pct"/>
                  <w:noWrap w:val="0"/>
                  <w:vAlign w:val="center"/>
                </w:tcPr>
                <w:p w14:paraId="3769C8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1237" w:type="pct"/>
                  <w:vMerge w:val="restart"/>
                  <w:noWrap w:val="0"/>
                  <w:vAlign w:val="center"/>
                </w:tcPr>
                <w:p w14:paraId="7305F8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收集后暂存于危废间，定期委托有资质单位处置</w:t>
                  </w:r>
                </w:p>
              </w:tc>
            </w:tr>
            <w:tr w14:paraId="15A8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94" w:type="pct"/>
                  <w:noWrap w:val="0"/>
                  <w:vAlign w:val="center"/>
                </w:tcPr>
                <w:p w14:paraId="4A884A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792" w:type="pct"/>
                  <w:noWrap w:val="0"/>
                  <w:vAlign w:val="center"/>
                </w:tcPr>
                <w:p w14:paraId="0222B7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废润滑油桶</w:t>
                  </w:r>
                </w:p>
              </w:tc>
              <w:tc>
                <w:tcPr>
                  <w:tcW w:w="521" w:type="pct"/>
                  <w:vMerge w:val="continue"/>
                  <w:noWrap w:val="0"/>
                  <w:vAlign w:val="center"/>
                </w:tcPr>
                <w:p w14:paraId="6A5A94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589" w:type="pct"/>
                  <w:noWrap w:val="0"/>
                  <w:vAlign w:val="center"/>
                </w:tcPr>
                <w:p w14:paraId="7663F4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08</w:t>
                  </w:r>
                  <w:r>
                    <w:rPr>
                      <w:rFonts w:hint="eastAsia" w:ascii="Times New Roman" w:hAnsi="Times New Roman" w:eastAsia="宋体" w:cs="Times New Roman"/>
                      <w:color w:val="auto"/>
                      <w:sz w:val="21"/>
                      <w:szCs w:val="21"/>
                      <w:lang w:val="en-US" w:eastAsia="zh-CN"/>
                    </w:rPr>
                    <w:t>t/a</w:t>
                  </w:r>
                </w:p>
              </w:tc>
              <w:tc>
                <w:tcPr>
                  <w:tcW w:w="1003" w:type="pct"/>
                  <w:noWrap w:val="0"/>
                  <w:vAlign w:val="center"/>
                </w:tcPr>
                <w:p w14:paraId="7D7164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机油使用</w:t>
                  </w:r>
                </w:p>
              </w:tc>
              <w:tc>
                <w:tcPr>
                  <w:tcW w:w="461" w:type="pct"/>
                  <w:noWrap w:val="0"/>
                  <w:vAlign w:val="center"/>
                </w:tcPr>
                <w:p w14:paraId="1AC98D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1237" w:type="pct"/>
                  <w:vMerge w:val="continue"/>
                  <w:noWrap w:val="0"/>
                  <w:vAlign w:val="center"/>
                </w:tcPr>
                <w:p w14:paraId="11DB19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r>
            <w:tr w14:paraId="5B07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5D1AD7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792" w:type="pct"/>
                  <w:noWrap w:val="0"/>
                  <w:vAlign w:val="center"/>
                </w:tcPr>
                <w:p w14:paraId="2AA36E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废催化剂</w:t>
                  </w:r>
                </w:p>
              </w:tc>
              <w:tc>
                <w:tcPr>
                  <w:tcW w:w="521" w:type="pct"/>
                  <w:vMerge w:val="continue"/>
                  <w:noWrap w:val="0"/>
                  <w:vAlign w:val="center"/>
                </w:tcPr>
                <w:p w14:paraId="6981D5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c>
                <w:tcPr>
                  <w:tcW w:w="589" w:type="pct"/>
                  <w:noWrap w:val="0"/>
                  <w:vAlign w:val="center"/>
                </w:tcPr>
                <w:p w14:paraId="56AC95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0.05t/a</w:t>
                  </w:r>
                </w:p>
              </w:tc>
              <w:tc>
                <w:tcPr>
                  <w:tcW w:w="1003" w:type="pct"/>
                  <w:noWrap w:val="0"/>
                  <w:vAlign w:val="center"/>
                </w:tcPr>
                <w:p w14:paraId="7FB4B5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烟气脱硝</w:t>
                  </w:r>
                </w:p>
              </w:tc>
              <w:tc>
                <w:tcPr>
                  <w:tcW w:w="461" w:type="pct"/>
                  <w:noWrap w:val="0"/>
                  <w:vAlign w:val="center"/>
                </w:tcPr>
                <w:p w14:paraId="106040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1237" w:type="pct"/>
                  <w:vMerge w:val="continue"/>
                  <w:noWrap w:val="0"/>
                  <w:vAlign w:val="center"/>
                </w:tcPr>
                <w:p w14:paraId="464DD6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p>
              </w:tc>
            </w:tr>
            <w:tr w14:paraId="1BE0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noWrap w:val="0"/>
                  <w:vAlign w:val="center"/>
                </w:tcPr>
                <w:p w14:paraId="194373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792" w:type="pct"/>
                  <w:noWrap w:val="0"/>
                  <w:vAlign w:val="center"/>
                </w:tcPr>
                <w:p w14:paraId="06854D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w:t>
                  </w:r>
                </w:p>
              </w:tc>
              <w:tc>
                <w:tcPr>
                  <w:tcW w:w="521" w:type="pct"/>
                  <w:noWrap w:val="0"/>
                  <w:vAlign w:val="center"/>
                </w:tcPr>
                <w:p w14:paraId="6EA5C2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w:t>
                  </w:r>
                </w:p>
                <w:p w14:paraId="6A044E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垃圾</w:t>
                  </w:r>
                </w:p>
              </w:tc>
              <w:tc>
                <w:tcPr>
                  <w:tcW w:w="589" w:type="pct"/>
                  <w:noWrap w:val="0"/>
                  <w:vAlign w:val="center"/>
                </w:tcPr>
                <w:p w14:paraId="1F5F24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3t/a</w:t>
                  </w:r>
                </w:p>
              </w:tc>
              <w:tc>
                <w:tcPr>
                  <w:tcW w:w="1003" w:type="pct"/>
                  <w:noWrap w:val="0"/>
                  <w:vAlign w:val="center"/>
                </w:tcPr>
                <w:p w14:paraId="20F648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职工生活</w:t>
                  </w:r>
                </w:p>
              </w:tc>
              <w:tc>
                <w:tcPr>
                  <w:tcW w:w="461" w:type="pct"/>
                  <w:noWrap w:val="0"/>
                  <w:vAlign w:val="center"/>
                </w:tcPr>
                <w:p w14:paraId="7AFD23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1237" w:type="pct"/>
                  <w:noWrap w:val="0"/>
                  <w:vAlign w:val="center"/>
                </w:tcPr>
                <w:p w14:paraId="3487A5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分类收集后由环卫清运</w:t>
                  </w:r>
                </w:p>
              </w:tc>
            </w:tr>
          </w:tbl>
          <w:p w14:paraId="3BF50C7A">
            <w:pPr>
              <w:keepNext w:val="0"/>
              <w:keepLines w:val="0"/>
              <w:pageBreakBefore w:val="0"/>
              <w:kinsoku/>
              <w:overflowPunct/>
              <w:bidi w:val="0"/>
              <w:adjustRightInd/>
              <w:snapToGrid/>
              <w:spacing w:line="360" w:lineRule="auto"/>
              <w:ind w:left="480" w:leftChars="200"/>
              <w:rPr>
                <w:bCs/>
                <w:color w:val="auto"/>
                <w:sz w:val="24"/>
              </w:rPr>
            </w:pPr>
            <w:r>
              <w:rPr>
                <w:bCs/>
                <w:color w:val="auto"/>
                <w:sz w:val="24"/>
              </w:rPr>
              <w:t>项目危险废物汇总表见下表。</w:t>
            </w:r>
          </w:p>
          <w:p w14:paraId="3E9AC340">
            <w:pPr>
              <w:keepNext w:val="0"/>
              <w:keepLines w:val="0"/>
              <w:pageBreakBefore w:val="0"/>
              <w:widowControl w:val="0"/>
              <w:kinsoku/>
              <w:wordWrap/>
              <w:overflowPunct/>
              <w:topLinePunct/>
              <w:autoSpaceDE/>
              <w:autoSpaceDN/>
              <w:bidi w:val="0"/>
              <w:adjustRightInd/>
              <w:snapToGrid/>
              <w:spacing w:beforeAutospacing="0" w:afterAutospacing="0" w:line="360" w:lineRule="auto"/>
              <w:ind w:right="0" w:firstLine="482" w:firstLineChars="200"/>
              <w:jc w:val="center"/>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表4-</w:t>
            </w:r>
            <w:r>
              <w:rPr>
                <w:rFonts w:hint="eastAsia" w:ascii="Times New Roman" w:hAnsi="Times New Roman" w:eastAsia="宋体" w:cs="Times New Roman"/>
                <w:b/>
                <w:color w:val="auto"/>
                <w:sz w:val="24"/>
                <w:szCs w:val="24"/>
                <w:lang w:val="en-US" w:eastAsia="zh-CN"/>
              </w:rPr>
              <w:t xml:space="preserve">18  </w:t>
            </w:r>
            <w:r>
              <w:rPr>
                <w:rFonts w:hint="default" w:ascii="Times New Roman" w:hAnsi="Times New Roman" w:eastAsia="宋体" w:cs="Times New Roman"/>
                <w:b/>
                <w:color w:val="auto"/>
                <w:sz w:val="24"/>
                <w:szCs w:val="24"/>
                <w:lang w:val="zh-CN"/>
              </w:rPr>
              <w:t>本项目危险废物汇总表</w:t>
            </w:r>
          </w:p>
          <w:tbl>
            <w:tblPr>
              <w:tblStyle w:val="31"/>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4"/>
              <w:gridCol w:w="848"/>
              <w:gridCol w:w="886"/>
              <w:gridCol w:w="759"/>
              <w:gridCol w:w="710"/>
              <w:gridCol w:w="524"/>
              <w:gridCol w:w="593"/>
              <w:gridCol w:w="698"/>
              <w:gridCol w:w="645"/>
              <w:gridCol w:w="1034"/>
              <w:gridCol w:w="1121"/>
            </w:tblGrid>
            <w:tr w14:paraId="0DA2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48" w:type="pct"/>
                  <w:noWrap w:val="0"/>
                  <w:vAlign w:val="center"/>
                </w:tcPr>
                <w:p w14:paraId="1991AC75">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危险废物名称</w:t>
                  </w:r>
                </w:p>
              </w:tc>
              <w:tc>
                <w:tcPr>
                  <w:tcW w:w="482" w:type="pct"/>
                  <w:noWrap w:val="0"/>
                  <w:vAlign w:val="center"/>
                </w:tcPr>
                <w:p w14:paraId="172B5FC1">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危险废物类别</w:t>
                  </w:r>
                </w:p>
              </w:tc>
              <w:tc>
                <w:tcPr>
                  <w:tcW w:w="504" w:type="pct"/>
                  <w:noWrap w:val="0"/>
                  <w:vAlign w:val="center"/>
                </w:tcPr>
                <w:p w14:paraId="5B4DFB6E">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危险废物代码</w:t>
                  </w:r>
                </w:p>
              </w:tc>
              <w:tc>
                <w:tcPr>
                  <w:tcW w:w="432" w:type="pct"/>
                  <w:noWrap w:val="0"/>
                  <w:vAlign w:val="center"/>
                </w:tcPr>
                <w:p w14:paraId="604DAB34">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产生量</w:t>
                  </w:r>
                  <w:r>
                    <w:rPr>
                      <w:rFonts w:hint="eastAsia"/>
                      <w:b/>
                      <w:bCs/>
                      <w:color w:val="auto"/>
                      <w:sz w:val="21"/>
                      <w:szCs w:val="21"/>
                      <w:lang w:eastAsia="zh-CN"/>
                    </w:rPr>
                    <w:t>（</w:t>
                  </w:r>
                  <w:r>
                    <w:rPr>
                      <w:rFonts w:hint="default"/>
                      <w:b/>
                      <w:bCs/>
                      <w:color w:val="auto"/>
                      <w:sz w:val="21"/>
                      <w:szCs w:val="21"/>
                      <w:lang w:eastAsia="zh-CN"/>
                    </w:rPr>
                    <w:t>t/a</w:t>
                  </w:r>
                  <w:r>
                    <w:rPr>
                      <w:rFonts w:hint="eastAsia"/>
                      <w:b/>
                      <w:bCs/>
                      <w:color w:val="auto"/>
                      <w:sz w:val="21"/>
                      <w:szCs w:val="21"/>
                      <w:lang w:eastAsia="zh-CN"/>
                    </w:rPr>
                    <w:t>）</w:t>
                  </w:r>
                </w:p>
              </w:tc>
              <w:tc>
                <w:tcPr>
                  <w:tcW w:w="404" w:type="pct"/>
                  <w:noWrap w:val="0"/>
                  <w:vAlign w:val="center"/>
                </w:tcPr>
                <w:p w14:paraId="7E86AE37">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产生工序</w:t>
                  </w:r>
                </w:p>
              </w:tc>
              <w:tc>
                <w:tcPr>
                  <w:tcW w:w="298" w:type="pct"/>
                  <w:noWrap w:val="0"/>
                  <w:vAlign w:val="center"/>
                </w:tcPr>
                <w:p w14:paraId="7EC3B954">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形态</w:t>
                  </w:r>
                </w:p>
              </w:tc>
              <w:tc>
                <w:tcPr>
                  <w:tcW w:w="337" w:type="pct"/>
                  <w:noWrap w:val="0"/>
                  <w:vAlign w:val="center"/>
                </w:tcPr>
                <w:p w14:paraId="01D76EAB">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有害成分</w:t>
                  </w:r>
                </w:p>
              </w:tc>
              <w:tc>
                <w:tcPr>
                  <w:tcW w:w="397" w:type="pct"/>
                  <w:noWrap w:val="0"/>
                  <w:vAlign w:val="center"/>
                </w:tcPr>
                <w:p w14:paraId="4D397A18">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产废周期</w:t>
                  </w:r>
                </w:p>
              </w:tc>
              <w:tc>
                <w:tcPr>
                  <w:tcW w:w="367" w:type="pct"/>
                  <w:noWrap w:val="0"/>
                  <w:vAlign w:val="center"/>
                </w:tcPr>
                <w:p w14:paraId="2ACA38DF">
                  <w:pPr>
                    <w:keepNext w:val="0"/>
                    <w:keepLines w:val="0"/>
                    <w:pageBreakBefore w:val="0"/>
                    <w:kinsoku/>
                    <w:overflowPunct/>
                    <w:bidi w:val="0"/>
                    <w:adjustRightInd/>
                    <w:snapToGrid/>
                    <w:jc w:val="center"/>
                    <w:rPr>
                      <w:rFonts w:hint="default"/>
                      <w:b/>
                      <w:bCs/>
                      <w:color w:val="auto"/>
                      <w:sz w:val="21"/>
                      <w:szCs w:val="21"/>
                      <w:lang w:eastAsia="zh-CN"/>
                    </w:rPr>
                  </w:pPr>
                  <w:r>
                    <w:rPr>
                      <w:rFonts w:hint="default"/>
                      <w:b/>
                      <w:bCs/>
                      <w:color w:val="auto"/>
                      <w:sz w:val="21"/>
                      <w:szCs w:val="21"/>
                      <w:lang w:eastAsia="zh-CN"/>
                    </w:rPr>
                    <w:t>危险特性</w:t>
                  </w:r>
                </w:p>
              </w:tc>
              <w:tc>
                <w:tcPr>
                  <w:tcW w:w="588" w:type="pct"/>
                  <w:noWrap w:val="0"/>
                  <w:vAlign w:val="center"/>
                </w:tcPr>
                <w:p w14:paraId="466D5898">
                  <w:pPr>
                    <w:keepNext w:val="0"/>
                    <w:keepLines w:val="0"/>
                    <w:pageBreakBefore w:val="0"/>
                    <w:kinsoku/>
                    <w:overflowPunct/>
                    <w:bidi w:val="0"/>
                    <w:adjustRightInd/>
                    <w:snapToGrid/>
                    <w:jc w:val="center"/>
                    <w:rPr>
                      <w:rFonts w:hint="default"/>
                      <w:b/>
                      <w:bCs/>
                      <w:color w:val="auto"/>
                      <w:sz w:val="21"/>
                      <w:szCs w:val="21"/>
                      <w:lang w:eastAsia="zh-CN"/>
                    </w:rPr>
                  </w:pPr>
                  <w:r>
                    <w:rPr>
                      <w:rFonts w:hint="eastAsia"/>
                      <w:b/>
                      <w:bCs/>
                      <w:color w:val="auto"/>
                      <w:sz w:val="21"/>
                      <w:szCs w:val="21"/>
                      <w:lang w:eastAsia="zh-CN"/>
                    </w:rPr>
                    <w:t>处置方式和去向</w:t>
                  </w:r>
                </w:p>
              </w:tc>
              <w:tc>
                <w:tcPr>
                  <w:tcW w:w="638" w:type="pct"/>
                  <w:noWrap w:val="0"/>
                  <w:vAlign w:val="center"/>
                </w:tcPr>
                <w:p w14:paraId="49D4CE1E">
                  <w:pPr>
                    <w:keepNext w:val="0"/>
                    <w:keepLines w:val="0"/>
                    <w:pageBreakBefore w:val="0"/>
                    <w:kinsoku/>
                    <w:overflowPunct/>
                    <w:bidi w:val="0"/>
                    <w:adjustRightInd/>
                    <w:snapToGrid/>
                    <w:jc w:val="center"/>
                    <w:rPr>
                      <w:rFonts w:hint="default"/>
                      <w:b/>
                      <w:bCs/>
                      <w:color w:val="auto"/>
                      <w:sz w:val="21"/>
                      <w:szCs w:val="21"/>
                      <w:lang w:eastAsia="zh-CN"/>
                    </w:rPr>
                  </w:pPr>
                  <w:r>
                    <w:rPr>
                      <w:rFonts w:hint="eastAsia"/>
                      <w:b/>
                      <w:bCs/>
                      <w:color w:val="auto"/>
                      <w:sz w:val="21"/>
                      <w:szCs w:val="21"/>
                      <w:lang w:eastAsia="zh-CN"/>
                    </w:rPr>
                    <w:t>环境管理要求</w:t>
                  </w:r>
                </w:p>
              </w:tc>
            </w:tr>
            <w:tr w14:paraId="30C5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7" w:hRule="atLeast"/>
                <w:jc w:val="center"/>
              </w:trPr>
              <w:tc>
                <w:tcPr>
                  <w:tcW w:w="548" w:type="pct"/>
                  <w:noWrap w:val="0"/>
                  <w:vAlign w:val="center"/>
                </w:tcPr>
                <w:p w14:paraId="7376FA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废润滑油</w:t>
                  </w:r>
                </w:p>
              </w:tc>
              <w:tc>
                <w:tcPr>
                  <w:tcW w:w="482" w:type="pct"/>
                  <w:noWrap w:val="0"/>
                  <w:vAlign w:val="center"/>
                </w:tcPr>
                <w:p w14:paraId="663558A9">
                  <w:pPr>
                    <w:keepNext w:val="0"/>
                    <w:keepLines w:val="0"/>
                    <w:pageBreakBefore w:val="0"/>
                    <w:kinsoku/>
                    <w:overflowPunct/>
                    <w:bidi w:val="0"/>
                    <w:adjustRightInd/>
                    <w:snapToGrid/>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HW08</w:t>
                  </w:r>
                </w:p>
              </w:tc>
              <w:tc>
                <w:tcPr>
                  <w:tcW w:w="504" w:type="pct"/>
                  <w:noWrap w:val="0"/>
                  <w:vAlign w:val="center"/>
                </w:tcPr>
                <w:p w14:paraId="502A9AA8">
                  <w:pPr>
                    <w:keepNext w:val="0"/>
                    <w:keepLines w:val="0"/>
                    <w:pageBreakBefore w:val="0"/>
                    <w:kinsoku/>
                    <w:overflowPunct/>
                    <w:bidi w:val="0"/>
                    <w:adjustRightInd/>
                    <w:snapToGrid/>
                    <w:spacing w:line="240" w:lineRule="auto"/>
                    <w:jc w:val="center"/>
                    <w:rPr>
                      <w:color w:val="auto"/>
                      <w:kern w:val="0"/>
                      <w:sz w:val="21"/>
                      <w:szCs w:val="21"/>
                    </w:rPr>
                  </w:pPr>
                  <w:r>
                    <w:rPr>
                      <w:rFonts w:hint="eastAsia"/>
                      <w:color w:val="auto"/>
                      <w:kern w:val="0"/>
                      <w:sz w:val="21"/>
                      <w:szCs w:val="21"/>
                    </w:rPr>
                    <w:t>900-214-08</w:t>
                  </w:r>
                </w:p>
              </w:tc>
              <w:tc>
                <w:tcPr>
                  <w:tcW w:w="432" w:type="pct"/>
                  <w:noWrap w:val="0"/>
                  <w:vAlign w:val="center"/>
                </w:tcPr>
                <w:p w14:paraId="283DF9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w:t>
                  </w:r>
                </w:p>
              </w:tc>
              <w:tc>
                <w:tcPr>
                  <w:tcW w:w="404" w:type="pct"/>
                  <w:noWrap w:val="0"/>
                  <w:vAlign w:val="center"/>
                </w:tcPr>
                <w:p w14:paraId="70EFD5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设备维护保养</w:t>
                  </w:r>
                </w:p>
              </w:tc>
              <w:tc>
                <w:tcPr>
                  <w:tcW w:w="298" w:type="pct"/>
                  <w:noWrap w:val="0"/>
                  <w:vAlign w:val="center"/>
                </w:tcPr>
                <w:p w14:paraId="708E05AC">
                  <w:pPr>
                    <w:keepNext w:val="0"/>
                    <w:keepLines w:val="0"/>
                    <w:pageBreakBefore w:val="0"/>
                    <w:kinsoku/>
                    <w:overflowPunct/>
                    <w:bidi w:val="0"/>
                    <w:adjustRightInd/>
                    <w:snapToGrid/>
                    <w:spacing w:line="240" w:lineRule="auto"/>
                    <w:jc w:val="center"/>
                    <w:rPr>
                      <w:rFonts w:hint="eastAsia" w:eastAsia="宋体"/>
                      <w:color w:val="auto"/>
                      <w:sz w:val="21"/>
                      <w:szCs w:val="21"/>
                      <w:lang w:eastAsia="zh-CN"/>
                    </w:rPr>
                  </w:pPr>
                  <w:r>
                    <w:rPr>
                      <w:rFonts w:hint="eastAsia"/>
                      <w:color w:val="auto"/>
                      <w:sz w:val="21"/>
                      <w:szCs w:val="21"/>
                      <w:lang w:eastAsia="zh-CN"/>
                    </w:rPr>
                    <w:t>液态</w:t>
                  </w:r>
                </w:p>
              </w:tc>
              <w:tc>
                <w:tcPr>
                  <w:tcW w:w="337" w:type="pct"/>
                  <w:noWrap w:val="0"/>
                  <w:vAlign w:val="center"/>
                </w:tcPr>
                <w:p w14:paraId="32E166E8">
                  <w:pPr>
                    <w:keepNext w:val="0"/>
                    <w:keepLines w:val="0"/>
                    <w:pageBreakBefore w:val="0"/>
                    <w:kinsoku/>
                    <w:overflowPunct/>
                    <w:bidi w:val="0"/>
                    <w:adjustRightInd/>
                    <w:snapToGrid/>
                    <w:spacing w:line="240" w:lineRule="auto"/>
                    <w:jc w:val="center"/>
                    <w:rPr>
                      <w:rFonts w:hint="eastAsia" w:eastAsia="宋体"/>
                      <w:color w:val="auto"/>
                      <w:sz w:val="21"/>
                      <w:szCs w:val="21"/>
                      <w:lang w:eastAsia="zh-CN"/>
                    </w:rPr>
                  </w:pPr>
                  <w:r>
                    <w:rPr>
                      <w:rFonts w:hint="eastAsia"/>
                      <w:color w:val="auto"/>
                      <w:sz w:val="21"/>
                      <w:szCs w:val="21"/>
                      <w:lang w:eastAsia="zh-CN"/>
                    </w:rPr>
                    <w:t>油类</w:t>
                  </w:r>
                </w:p>
              </w:tc>
              <w:tc>
                <w:tcPr>
                  <w:tcW w:w="397" w:type="pct"/>
                  <w:noWrap w:val="0"/>
                  <w:vAlign w:val="center"/>
                </w:tcPr>
                <w:p w14:paraId="528C8E70">
                  <w:pPr>
                    <w:keepNext w:val="0"/>
                    <w:keepLines w:val="0"/>
                    <w:pageBreakBefore w:val="0"/>
                    <w:kinsoku/>
                    <w:overflowPunct/>
                    <w:bidi w:val="0"/>
                    <w:adjustRightInd/>
                    <w:snapToGrid/>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1次/年</w:t>
                  </w:r>
                </w:p>
              </w:tc>
              <w:tc>
                <w:tcPr>
                  <w:tcW w:w="367" w:type="pct"/>
                  <w:noWrap w:val="0"/>
                  <w:vAlign w:val="center"/>
                </w:tcPr>
                <w:p w14:paraId="04468BB3">
                  <w:pPr>
                    <w:keepNext w:val="0"/>
                    <w:keepLines w:val="0"/>
                    <w:pageBreakBefore w:val="0"/>
                    <w:kinsoku/>
                    <w:overflowPunct/>
                    <w:bidi w:val="0"/>
                    <w:adjustRightInd/>
                    <w:snapToGrid/>
                    <w:spacing w:line="240" w:lineRule="auto"/>
                    <w:jc w:val="center"/>
                    <w:rPr>
                      <w:bCs/>
                      <w:color w:val="auto"/>
                      <w:sz w:val="21"/>
                      <w:szCs w:val="21"/>
                    </w:rPr>
                  </w:pPr>
                  <w:r>
                    <w:rPr>
                      <w:color w:val="auto"/>
                      <w:kern w:val="0"/>
                      <w:sz w:val="21"/>
                      <w:szCs w:val="21"/>
                    </w:rPr>
                    <w:t>T</w:t>
                  </w:r>
                  <w:r>
                    <w:rPr>
                      <w:rFonts w:hint="eastAsia"/>
                      <w:color w:val="auto"/>
                      <w:kern w:val="0"/>
                      <w:sz w:val="21"/>
                      <w:szCs w:val="21"/>
                    </w:rPr>
                    <w:t>/I</w:t>
                  </w:r>
                </w:p>
              </w:tc>
              <w:tc>
                <w:tcPr>
                  <w:tcW w:w="588" w:type="pct"/>
                  <w:vMerge w:val="restart"/>
                  <w:noWrap w:val="0"/>
                  <w:vAlign w:val="center"/>
                </w:tcPr>
                <w:p w14:paraId="18D5C22F">
                  <w:pPr>
                    <w:keepNext w:val="0"/>
                    <w:keepLines w:val="0"/>
                    <w:pageBreakBefore w:val="0"/>
                    <w:kinsoku/>
                    <w:overflowPunct/>
                    <w:bidi w:val="0"/>
                    <w:adjustRightInd/>
                    <w:snapToGrid/>
                    <w:spacing w:line="240" w:lineRule="auto"/>
                    <w:jc w:val="center"/>
                    <w:rPr>
                      <w:bCs/>
                      <w:color w:val="auto"/>
                      <w:sz w:val="21"/>
                      <w:szCs w:val="21"/>
                    </w:rPr>
                  </w:pPr>
                  <w:r>
                    <w:rPr>
                      <w:bCs/>
                      <w:color w:val="auto"/>
                      <w:sz w:val="21"/>
                      <w:szCs w:val="21"/>
                    </w:rPr>
                    <w:t>暂存于危废间内，委托有危废处理资质的单位处置，其运输均由处理方负责</w:t>
                  </w:r>
                </w:p>
              </w:tc>
              <w:tc>
                <w:tcPr>
                  <w:tcW w:w="638" w:type="pct"/>
                  <w:vMerge w:val="restart"/>
                  <w:noWrap w:val="0"/>
                  <w:vAlign w:val="center"/>
                </w:tcPr>
                <w:p w14:paraId="16A3736A">
                  <w:pPr>
                    <w:keepNext w:val="0"/>
                    <w:keepLines w:val="0"/>
                    <w:pageBreakBefore w:val="0"/>
                    <w:kinsoku/>
                    <w:overflowPunct/>
                    <w:bidi w:val="0"/>
                    <w:adjustRightInd/>
                    <w:snapToGrid/>
                    <w:spacing w:line="240" w:lineRule="auto"/>
                    <w:jc w:val="center"/>
                    <w:rPr>
                      <w:bCs/>
                      <w:color w:val="auto"/>
                      <w:sz w:val="21"/>
                      <w:szCs w:val="21"/>
                    </w:rPr>
                  </w:pPr>
                  <w:r>
                    <w:rPr>
                      <w:color w:val="auto"/>
                      <w:sz w:val="21"/>
                      <w:szCs w:val="21"/>
                    </w:rPr>
                    <w:t>符合环境卫生管理要求和综合利用原则</w:t>
                  </w:r>
                  <w:r>
                    <w:rPr>
                      <w:rFonts w:hint="eastAsia"/>
                      <w:color w:val="auto"/>
                      <w:sz w:val="21"/>
                      <w:szCs w:val="21"/>
                    </w:rPr>
                    <w:t>，符合“三化”（减量化、资源化、无害化）原则和全过程管理原则</w:t>
                  </w:r>
                </w:p>
              </w:tc>
            </w:tr>
            <w:tr w14:paraId="0F23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3" w:hRule="atLeast"/>
                <w:jc w:val="center"/>
              </w:trPr>
              <w:tc>
                <w:tcPr>
                  <w:tcW w:w="548" w:type="pct"/>
                  <w:noWrap w:val="0"/>
                  <w:vAlign w:val="center"/>
                </w:tcPr>
                <w:p w14:paraId="64F992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废润滑油桶</w:t>
                  </w:r>
                </w:p>
              </w:tc>
              <w:tc>
                <w:tcPr>
                  <w:tcW w:w="482" w:type="pct"/>
                  <w:noWrap w:val="0"/>
                  <w:vAlign w:val="center"/>
                </w:tcPr>
                <w:p w14:paraId="54A70255">
                  <w:pPr>
                    <w:keepNext w:val="0"/>
                    <w:keepLines w:val="0"/>
                    <w:pageBreakBefore w:val="0"/>
                    <w:kinsoku/>
                    <w:overflowPunct/>
                    <w:bidi w:val="0"/>
                    <w:adjustRightInd/>
                    <w:snapToGrid/>
                    <w:spacing w:line="240" w:lineRule="auto"/>
                    <w:jc w:val="center"/>
                    <w:rPr>
                      <w:rFonts w:hint="default" w:eastAsia="宋体"/>
                      <w:color w:val="auto"/>
                      <w:kern w:val="0"/>
                      <w:sz w:val="21"/>
                      <w:szCs w:val="21"/>
                      <w:lang w:val="en-US" w:eastAsia="zh-CN"/>
                    </w:rPr>
                  </w:pPr>
                  <w:r>
                    <w:rPr>
                      <w:rFonts w:hint="default" w:eastAsia="宋体"/>
                      <w:color w:val="auto"/>
                      <w:kern w:val="0"/>
                      <w:sz w:val="21"/>
                      <w:szCs w:val="21"/>
                      <w:lang w:val="en-US" w:eastAsia="zh-CN"/>
                    </w:rPr>
                    <w:t>HW</w:t>
                  </w:r>
                  <w:r>
                    <w:rPr>
                      <w:rFonts w:hint="eastAsia"/>
                      <w:color w:val="auto"/>
                      <w:kern w:val="0"/>
                      <w:sz w:val="21"/>
                      <w:szCs w:val="21"/>
                      <w:lang w:val="en-US" w:eastAsia="zh-CN"/>
                    </w:rPr>
                    <w:t>08</w:t>
                  </w:r>
                </w:p>
              </w:tc>
              <w:tc>
                <w:tcPr>
                  <w:tcW w:w="504" w:type="pct"/>
                  <w:noWrap w:val="0"/>
                  <w:vAlign w:val="center"/>
                </w:tcPr>
                <w:p w14:paraId="21DE2D75">
                  <w:pPr>
                    <w:keepNext w:val="0"/>
                    <w:keepLines w:val="0"/>
                    <w:pageBreakBefore w:val="0"/>
                    <w:kinsoku/>
                    <w:overflowPunct/>
                    <w:bidi w:val="0"/>
                    <w:adjustRightInd/>
                    <w:snapToGrid/>
                    <w:spacing w:line="240" w:lineRule="auto"/>
                    <w:jc w:val="center"/>
                    <w:rPr>
                      <w:rFonts w:hint="default"/>
                      <w:color w:val="auto"/>
                      <w:kern w:val="0"/>
                      <w:sz w:val="21"/>
                      <w:szCs w:val="21"/>
                      <w:lang w:val="en-US"/>
                    </w:rPr>
                  </w:pPr>
                  <w:r>
                    <w:rPr>
                      <w:rFonts w:hint="eastAsia"/>
                      <w:color w:val="auto"/>
                      <w:kern w:val="0"/>
                      <w:sz w:val="21"/>
                      <w:szCs w:val="21"/>
                      <w:lang w:val="en-US" w:eastAsia="zh-CN"/>
                    </w:rPr>
                    <w:t>900-249-08</w:t>
                  </w:r>
                </w:p>
              </w:tc>
              <w:tc>
                <w:tcPr>
                  <w:tcW w:w="432" w:type="pct"/>
                  <w:noWrap w:val="0"/>
                  <w:vAlign w:val="center"/>
                </w:tcPr>
                <w:p w14:paraId="233D4F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08</w:t>
                  </w:r>
                </w:p>
              </w:tc>
              <w:tc>
                <w:tcPr>
                  <w:tcW w:w="404" w:type="pct"/>
                  <w:noWrap w:val="0"/>
                  <w:vAlign w:val="center"/>
                </w:tcPr>
                <w:p w14:paraId="13B4F7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机油使用</w:t>
                  </w:r>
                </w:p>
              </w:tc>
              <w:tc>
                <w:tcPr>
                  <w:tcW w:w="298" w:type="pct"/>
                  <w:noWrap w:val="0"/>
                  <w:vAlign w:val="center"/>
                </w:tcPr>
                <w:p w14:paraId="09F247F1">
                  <w:pPr>
                    <w:keepNext w:val="0"/>
                    <w:keepLines w:val="0"/>
                    <w:pageBreakBefore w:val="0"/>
                    <w:kinsoku/>
                    <w:overflowPunct/>
                    <w:bidi w:val="0"/>
                    <w:adjustRightInd/>
                    <w:snapToGrid/>
                    <w:spacing w:line="240" w:lineRule="auto"/>
                    <w:jc w:val="center"/>
                    <w:rPr>
                      <w:rFonts w:hint="eastAsia" w:eastAsia="宋体"/>
                      <w:color w:val="auto"/>
                      <w:sz w:val="21"/>
                      <w:szCs w:val="21"/>
                      <w:lang w:eastAsia="zh-CN"/>
                    </w:rPr>
                  </w:pPr>
                  <w:r>
                    <w:rPr>
                      <w:rFonts w:hint="eastAsia"/>
                      <w:color w:val="auto"/>
                      <w:sz w:val="21"/>
                      <w:szCs w:val="21"/>
                      <w:lang w:eastAsia="zh-CN"/>
                    </w:rPr>
                    <w:t>固态</w:t>
                  </w:r>
                </w:p>
              </w:tc>
              <w:tc>
                <w:tcPr>
                  <w:tcW w:w="337" w:type="pct"/>
                  <w:noWrap w:val="0"/>
                  <w:vAlign w:val="center"/>
                </w:tcPr>
                <w:p w14:paraId="6657232F">
                  <w:pPr>
                    <w:keepNext w:val="0"/>
                    <w:keepLines w:val="0"/>
                    <w:pageBreakBefore w:val="0"/>
                    <w:kinsoku/>
                    <w:overflowPunct/>
                    <w:bidi w:val="0"/>
                    <w:adjustRightInd/>
                    <w:snapToGrid/>
                    <w:spacing w:line="240" w:lineRule="auto"/>
                    <w:jc w:val="center"/>
                    <w:rPr>
                      <w:rFonts w:hint="eastAsia" w:eastAsia="宋体"/>
                      <w:color w:val="auto"/>
                      <w:sz w:val="21"/>
                      <w:szCs w:val="21"/>
                      <w:lang w:eastAsia="zh-CN"/>
                    </w:rPr>
                  </w:pPr>
                  <w:r>
                    <w:rPr>
                      <w:rFonts w:hint="eastAsia"/>
                      <w:color w:val="auto"/>
                      <w:sz w:val="21"/>
                      <w:szCs w:val="21"/>
                      <w:lang w:eastAsia="zh-CN"/>
                    </w:rPr>
                    <w:t>油类</w:t>
                  </w:r>
                </w:p>
              </w:tc>
              <w:tc>
                <w:tcPr>
                  <w:tcW w:w="397" w:type="pct"/>
                  <w:noWrap w:val="0"/>
                  <w:vAlign w:val="center"/>
                </w:tcPr>
                <w:p w14:paraId="55D0DA9A">
                  <w:pPr>
                    <w:keepNext w:val="0"/>
                    <w:keepLines w:val="0"/>
                    <w:pageBreakBefore w:val="0"/>
                    <w:kinsoku/>
                    <w:overflowPunct/>
                    <w:bidi w:val="0"/>
                    <w:adjustRightInd/>
                    <w:snapToGrid/>
                    <w:spacing w:line="240" w:lineRule="auto"/>
                    <w:jc w:val="center"/>
                    <w:rPr>
                      <w:rFonts w:hint="eastAsia"/>
                      <w:bCs/>
                      <w:color w:val="auto"/>
                      <w:sz w:val="21"/>
                      <w:szCs w:val="21"/>
                    </w:rPr>
                  </w:pPr>
                  <w:r>
                    <w:rPr>
                      <w:rFonts w:hint="eastAsia"/>
                      <w:bCs/>
                      <w:color w:val="auto"/>
                      <w:sz w:val="21"/>
                      <w:szCs w:val="21"/>
                      <w:lang w:val="en-US" w:eastAsia="zh-CN"/>
                    </w:rPr>
                    <w:t>1次/年</w:t>
                  </w:r>
                </w:p>
              </w:tc>
              <w:tc>
                <w:tcPr>
                  <w:tcW w:w="367" w:type="pct"/>
                  <w:noWrap w:val="0"/>
                  <w:vAlign w:val="center"/>
                </w:tcPr>
                <w:p w14:paraId="174340C7">
                  <w:pPr>
                    <w:keepNext w:val="0"/>
                    <w:keepLines w:val="0"/>
                    <w:pageBreakBefore w:val="0"/>
                    <w:kinsoku/>
                    <w:overflowPunct/>
                    <w:bidi w:val="0"/>
                    <w:adjustRightInd/>
                    <w:snapToGrid/>
                    <w:spacing w:line="240" w:lineRule="auto"/>
                    <w:jc w:val="center"/>
                    <w:rPr>
                      <w:bCs/>
                      <w:color w:val="auto"/>
                      <w:sz w:val="21"/>
                      <w:szCs w:val="21"/>
                    </w:rPr>
                  </w:pPr>
                  <w:r>
                    <w:rPr>
                      <w:color w:val="auto"/>
                      <w:kern w:val="0"/>
                      <w:sz w:val="21"/>
                      <w:szCs w:val="21"/>
                    </w:rPr>
                    <w:t>T</w:t>
                  </w:r>
                  <w:r>
                    <w:rPr>
                      <w:rFonts w:hint="eastAsia"/>
                      <w:color w:val="auto"/>
                      <w:kern w:val="0"/>
                      <w:sz w:val="21"/>
                      <w:szCs w:val="21"/>
                    </w:rPr>
                    <w:t>/I</w:t>
                  </w:r>
                </w:p>
              </w:tc>
              <w:tc>
                <w:tcPr>
                  <w:tcW w:w="588" w:type="pct"/>
                  <w:vMerge w:val="continue"/>
                  <w:noWrap w:val="0"/>
                  <w:vAlign w:val="center"/>
                </w:tcPr>
                <w:p w14:paraId="4238E4AB">
                  <w:pPr>
                    <w:keepNext w:val="0"/>
                    <w:keepLines w:val="0"/>
                    <w:pageBreakBefore w:val="0"/>
                    <w:kinsoku/>
                    <w:overflowPunct/>
                    <w:bidi w:val="0"/>
                    <w:adjustRightInd/>
                    <w:snapToGrid/>
                    <w:spacing w:line="240" w:lineRule="auto"/>
                    <w:jc w:val="center"/>
                    <w:rPr>
                      <w:bCs/>
                      <w:color w:val="auto"/>
                      <w:sz w:val="21"/>
                      <w:szCs w:val="21"/>
                    </w:rPr>
                  </w:pPr>
                </w:p>
              </w:tc>
              <w:tc>
                <w:tcPr>
                  <w:tcW w:w="638" w:type="pct"/>
                  <w:vMerge w:val="continue"/>
                  <w:noWrap w:val="0"/>
                  <w:vAlign w:val="center"/>
                </w:tcPr>
                <w:p w14:paraId="5308B708">
                  <w:pPr>
                    <w:keepNext w:val="0"/>
                    <w:keepLines w:val="0"/>
                    <w:pageBreakBefore w:val="0"/>
                    <w:kinsoku/>
                    <w:overflowPunct/>
                    <w:bidi w:val="0"/>
                    <w:adjustRightInd/>
                    <w:snapToGrid/>
                    <w:spacing w:line="240" w:lineRule="auto"/>
                    <w:jc w:val="center"/>
                    <w:rPr>
                      <w:color w:val="auto"/>
                      <w:sz w:val="21"/>
                      <w:szCs w:val="21"/>
                    </w:rPr>
                  </w:pPr>
                </w:p>
              </w:tc>
            </w:tr>
            <w:tr w14:paraId="68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8" w:type="pct"/>
                  <w:noWrap w:val="0"/>
                  <w:vAlign w:val="center"/>
                </w:tcPr>
                <w:p w14:paraId="2370B7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废催化剂</w:t>
                  </w:r>
                </w:p>
              </w:tc>
              <w:tc>
                <w:tcPr>
                  <w:tcW w:w="482" w:type="pct"/>
                  <w:noWrap w:val="0"/>
                  <w:vAlign w:val="center"/>
                </w:tcPr>
                <w:p w14:paraId="4625CAA1">
                  <w:pPr>
                    <w:keepNext w:val="0"/>
                    <w:keepLines w:val="0"/>
                    <w:pageBreakBefore w:val="0"/>
                    <w:kinsoku/>
                    <w:overflowPunct/>
                    <w:bidi w:val="0"/>
                    <w:adjustRightInd/>
                    <w:snapToGrid/>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HW50</w:t>
                  </w:r>
                </w:p>
              </w:tc>
              <w:tc>
                <w:tcPr>
                  <w:tcW w:w="504" w:type="pct"/>
                  <w:noWrap w:val="0"/>
                  <w:vAlign w:val="center"/>
                </w:tcPr>
                <w:p w14:paraId="0877DC1C">
                  <w:pPr>
                    <w:keepNext w:val="0"/>
                    <w:keepLines w:val="0"/>
                    <w:pageBreakBefore w:val="0"/>
                    <w:kinsoku/>
                    <w:overflowPunct/>
                    <w:bidi w:val="0"/>
                    <w:adjustRightInd/>
                    <w:snapToGrid/>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772-007-50</w:t>
                  </w:r>
                </w:p>
              </w:tc>
              <w:tc>
                <w:tcPr>
                  <w:tcW w:w="432" w:type="pct"/>
                  <w:noWrap w:val="0"/>
                  <w:vAlign w:val="center"/>
                </w:tcPr>
                <w:p w14:paraId="22A061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404" w:type="pct"/>
                  <w:noWrap w:val="0"/>
                  <w:vAlign w:val="center"/>
                </w:tcPr>
                <w:p w14:paraId="64BFE1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烟气脱硝</w:t>
                  </w:r>
                </w:p>
              </w:tc>
              <w:tc>
                <w:tcPr>
                  <w:tcW w:w="298" w:type="pct"/>
                  <w:noWrap w:val="0"/>
                  <w:vAlign w:val="center"/>
                </w:tcPr>
                <w:p w14:paraId="268C6133">
                  <w:pPr>
                    <w:keepNext w:val="0"/>
                    <w:keepLines w:val="0"/>
                    <w:pageBreakBefore w:val="0"/>
                    <w:kinsoku/>
                    <w:overflowPunct/>
                    <w:bidi w:val="0"/>
                    <w:adjustRightInd/>
                    <w:snapToGrid/>
                    <w:spacing w:line="240" w:lineRule="auto"/>
                    <w:jc w:val="center"/>
                    <w:rPr>
                      <w:rFonts w:hint="eastAsia" w:eastAsia="宋体"/>
                      <w:color w:val="auto"/>
                      <w:sz w:val="21"/>
                      <w:szCs w:val="21"/>
                      <w:lang w:eastAsia="zh-CN"/>
                    </w:rPr>
                  </w:pPr>
                  <w:r>
                    <w:rPr>
                      <w:rFonts w:hint="eastAsia" w:eastAsia="宋体"/>
                      <w:color w:val="auto"/>
                      <w:sz w:val="21"/>
                      <w:szCs w:val="21"/>
                      <w:lang w:eastAsia="zh-CN"/>
                    </w:rPr>
                    <w:t>固态</w:t>
                  </w:r>
                </w:p>
              </w:tc>
              <w:tc>
                <w:tcPr>
                  <w:tcW w:w="337" w:type="pct"/>
                  <w:noWrap w:val="0"/>
                  <w:vAlign w:val="center"/>
                </w:tcPr>
                <w:p w14:paraId="1081C93E">
                  <w:pPr>
                    <w:keepNext w:val="0"/>
                    <w:keepLines w:val="0"/>
                    <w:pageBreakBefore w:val="0"/>
                    <w:kinsoku/>
                    <w:overflowPunct/>
                    <w:bidi w:val="0"/>
                    <w:adjustRightInd/>
                    <w:snapToGrid/>
                    <w:spacing w:line="240" w:lineRule="auto"/>
                    <w:jc w:val="center"/>
                    <w:rPr>
                      <w:rFonts w:hint="eastAsia"/>
                      <w:color w:val="auto"/>
                      <w:sz w:val="21"/>
                      <w:szCs w:val="21"/>
                      <w:lang w:eastAsia="zh-CN"/>
                    </w:rPr>
                  </w:pPr>
                  <w:r>
                    <w:rPr>
                      <w:rFonts w:hint="eastAsia"/>
                      <w:color w:val="auto"/>
                      <w:sz w:val="21"/>
                      <w:szCs w:val="21"/>
                      <w:lang w:eastAsia="zh-CN"/>
                    </w:rPr>
                    <w:t>重金属</w:t>
                  </w:r>
                </w:p>
              </w:tc>
              <w:tc>
                <w:tcPr>
                  <w:tcW w:w="397" w:type="pct"/>
                  <w:noWrap w:val="0"/>
                  <w:vAlign w:val="center"/>
                </w:tcPr>
                <w:p w14:paraId="406351F9">
                  <w:pPr>
                    <w:keepNext w:val="0"/>
                    <w:keepLines w:val="0"/>
                    <w:pageBreakBefore w:val="0"/>
                    <w:kinsoku/>
                    <w:overflowPunct/>
                    <w:bidi w:val="0"/>
                    <w:adjustRightInd/>
                    <w:snapToGrid/>
                    <w:spacing w:line="240" w:lineRule="auto"/>
                    <w:jc w:val="center"/>
                    <w:rPr>
                      <w:rFonts w:hint="default"/>
                      <w:bCs/>
                      <w:color w:val="auto"/>
                      <w:sz w:val="21"/>
                      <w:szCs w:val="21"/>
                      <w:lang w:val="en-US" w:eastAsia="zh-CN"/>
                    </w:rPr>
                  </w:pPr>
                  <w:r>
                    <w:rPr>
                      <w:rFonts w:hint="eastAsia"/>
                      <w:bCs/>
                      <w:color w:val="auto"/>
                      <w:sz w:val="21"/>
                      <w:szCs w:val="21"/>
                      <w:lang w:val="en-US" w:eastAsia="zh-CN"/>
                    </w:rPr>
                    <w:t>1次/3年</w:t>
                  </w:r>
                </w:p>
              </w:tc>
              <w:tc>
                <w:tcPr>
                  <w:tcW w:w="367" w:type="pct"/>
                  <w:noWrap w:val="0"/>
                  <w:vAlign w:val="center"/>
                </w:tcPr>
                <w:p w14:paraId="6DDE453A">
                  <w:pPr>
                    <w:keepNext w:val="0"/>
                    <w:keepLines w:val="0"/>
                    <w:pageBreakBefore w:val="0"/>
                    <w:kinsoku/>
                    <w:overflowPunct/>
                    <w:bidi w:val="0"/>
                    <w:adjustRightInd/>
                    <w:snapToGrid/>
                    <w:spacing w:line="240" w:lineRule="auto"/>
                    <w:jc w:val="center"/>
                    <w:rPr>
                      <w:rFonts w:hint="eastAsia" w:eastAsia="宋体"/>
                      <w:color w:val="auto"/>
                      <w:kern w:val="0"/>
                      <w:sz w:val="21"/>
                      <w:szCs w:val="21"/>
                      <w:lang w:val="en-US" w:eastAsia="zh-CN"/>
                    </w:rPr>
                  </w:pPr>
                  <w:r>
                    <w:rPr>
                      <w:rFonts w:hint="eastAsia"/>
                      <w:color w:val="auto"/>
                      <w:kern w:val="0"/>
                      <w:sz w:val="21"/>
                      <w:szCs w:val="21"/>
                      <w:lang w:val="en-US" w:eastAsia="zh-CN"/>
                    </w:rPr>
                    <w:t>T</w:t>
                  </w:r>
                </w:p>
              </w:tc>
              <w:tc>
                <w:tcPr>
                  <w:tcW w:w="588" w:type="pct"/>
                  <w:vMerge w:val="continue"/>
                  <w:noWrap w:val="0"/>
                  <w:vAlign w:val="center"/>
                </w:tcPr>
                <w:p w14:paraId="52C6E1FD">
                  <w:pPr>
                    <w:keepNext w:val="0"/>
                    <w:keepLines w:val="0"/>
                    <w:pageBreakBefore w:val="0"/>
                    <w:kinsoku/>
                    <w:overflowPunct/>
                    <w:bidi w:val="0"/>
                    <w:adjustRightInd/>
                    <w:snapToGrid/>
                    <w:spacing w:line="240" w:lineRule="auto"/>
                    <w:jc w:val="center"/>
                    <w:rPr>
                      <w:bCs/>
                      <w:color w:val="auto"/>
                      <w:sz w:val="21"/>
                      <w:szCs w:val="21"/>
                    </w:rPr>
                  </w:pPr>
                </w:p>
              </w:tc>
              <w:tc>
                <w:tcPr>
                  <w:tcW w:w="638" w:type="pct"/>
                  <w:vMerge w:val="continue"/>
                  <w:noWrap w:val="0"/>
                  <w:vAlign w:val="center"/>
                </w:tcPr>
                <w:p w14:paraId="24BFB7B9">
                  <w:pPr>
                    <w:keepNext w:val="0"/>
                    <w:keepLines w:val="0"/>
                    <w:pageBreakBefore w:val="0"/>
                    <w:kinsoku/>
                    <w:overflowPunct/>
                    <w:bidi w:val="0"/>
                    <w:adjustRightInd/>
                    <w:snapToGrid/>
                    <w:spacing w:line="240" w:lineRule="auto"/>
                    <w:jc w:val="center"/>
                    <w:rPr>
                      <w:bCs/>
                      <w:color w:val="auto"/>
                      <w:sz w:val="21"/>
                      <w:szCs w:val="21"/>
                    </w:rPr>
                  </w:pPr>
                </w:p>
              </w:tc>
            </w:tr>
          </w:tbl>
          <w:p w14:paraId="358571F6">
            <w:pPr>
              <w:keepNext w:val="0"/>
              <w:keepLines w:val="0"/>
              <w:pageBreakBefore w:val="0"/>
              <w:kinsoku/>
              <w:overflowPunct/>
              <w:bidi w:val="0"/>
              <w:adjustRightInd/>
              <w:snapToGrid/>
              <w:spacing w:line="240" w:lineRule="auto"/>
              <w:ind w:firstLine="0" w:firstLineChars="0"/>
              <w:jc w:val="center"/>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表4-19   建设项目危险废物贮存场所基本情况表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574"/>
              <w:gridCol w:w="1195"/>
              <w:gridCol w:w="1587"/>
              <w:gridCol w:w="1079"/>
              <w:gridCol w:w="923"/>
              <w:gridCol w:w="1195"/>
            </w:tblGrid>
            <w:tr w14:paraId="6A18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pct"/>
                  <w:noWrap w:val="0"/>
                  <w:vAlign w:val="center"/>
                </w:tcPr>
                <w:p w14:paraId="52B481B3">
                  <w:pPr>
                    <w:keepNext w:val="0"/>
                    <w:keepLines w:val="0"/>
                    <w:pageBreakBefore w:val="0"/>
                    <w:kinsoku/>
                    <w:overflowPunct/>
                    <w:bidi w:val="0"/>
                    <w:adjustRightInd/>
                    <w:snapToGrid/>
                    <w:jc w:val="center"/>
                    <w:rPr>
                      <w:rFonts w:hint="default"/>
                      <w:b/>
                      <w:bCs/>
                      <w:color w:val="auto"/>
                      <w:sz w:val="21"/>
                      <w:szCs w:val="21"/>
                      <w:lang w:val="en-US" w:eastAsia="zh-CN"/>
                    </w:rPr>
                  </w:pPr>
                  <w:r>
                    <w:rPr>
                      <w:rFonts w:hint="eastAsia"/>
                      <w:b/>
                      <w:bCs/>
                      <w:color w:val="auto"/>
                      <w:sz w:val="21"/>
                      <w:szCs w:val="21"/>
                      <w:lang w:val="en-US" w:eastAsia="zh-CN"/>
                    </w:rPr>
                    <w:t>贮存场所名称</w:t>
                  </w:r>
                </w:p>
              </w:tc>
              <w:tc>
                <w:tcPr>
                  <w:tcW w:w="894" w:type="pct"/>
                  <w:noWrap w:val="0"/>
                  <w:vAlign w:val="center"/>
                </w:tcPr>
                <w:p w14:paraId="5B990EB7">
                  <w:pPr>
                    <w:keepNext w:val="0"/>
                    <w:keepLines w:val="0"/>
                    <w:pageBreakBefore w:val="0"/>
                    <w:kinsoku/>
                    <w:overflowPunct/>
                    <w:bidi w:val="0"/>
                    <w:adjustRightInd/>
                    <w:snapToGrid/>
                    <w:jc w:val="center"/>
                    <w:rPr>
                      <w:rFonts w:hint="default"/>
                      <w:b/>
                      <w:bCs/>
                      <w:color w:val="auto"/>
                      <w:sz w:val="21"/>
                      <w:szCs w:val="21"/>
                      <w:lang w:val="en-US" w:eastAsia="zh-CN"/>
                    </w:rPr>
                  </w:pPr>
                  <w:r>
                    <w:rPr>
                      <w:rFonts w:hint="eastAsia"/>
                      <w:b/>
                      <w:bCs/>
                      <w:color w:val="auto"/>
                      <w:sz w:val="21"/>
                      <w:szCs w:val="21"/>
                      <w:lang w:val="en-US" w:eastAsia="zh-CN"/>
                    </w:rPr>
                    <w:t>危险废物名称</w:t>
                  </w:r>
                </w:p>
              </w:tc>
              <w:tc>
                <w:tcPr>
                  <w:tcW w:w="679" w:type="pct"/>
                  <w:noWrap w:val="0"/>
                  <w:vAlign w:val="center"/>
                </w:tcPr>
                <w:p w14:paraId="6073D0B8">
                  <w:pPr>
                    <w:keepNext w:val="0"/>
                    <w:keepLines w:val="0"/>
                    <w:pageBreakBefore w:val="0"/>
                    <w:kinsoku/>
                    <w:overflowPunct/>
                    <w:bidi w:val="0"/>
                    <w:adjustRightInd/>
                    <w:snapToGrid/>
                    <w:jc w:val="center"/>
                    <w:rPr>
                      <w:rFonts w:hint="default"/>
                      <w:b/>
                      <w:bCs/>
                      <w:color w:val="auto"/>
                      <w:sz w:val="21"/>
                      <w:szCs w:val="21"/>
                      <w:lang w:val="en-US" w:eastAsia="zh-CN"/>
                    </w:rPr>
                  </w:pPr>
                  <w:r>
                    <w:rPr>
                      <w:rFonts w:hint="eastAsia"/>
                      <w:b/>
                      <w:bCs/>
                      <w:color w:val="auto"/>
                      <w:sz w:val="21"/>
                      <w:szCs w:val="21"/>
                      <w:lang w:val="en-US" w:eastAsia="zh-CN"/>
                    </w:rPr>
                    <w:t>危险废物类别</w:t>
                  </w:r>
                </w:p>
              </w:tc>
              <w:tc>
                <w:tcPr>
                  <w:tcW w:w="902" w:type="pct"/>
                  <w:noWrap w:val="0"/>
                  <w:vAlign w:val="center"/>
                </w:tcPr>
                <w:p w14:paraId="18ED7970">
                  <w:pPr>
                    <w:keepNext w:val="0"/>
                    <w:keepLines w:val="0"/>
                    <w:pageBreakBefore w:val="0"/>
                    <w:kinsoku/>
                    <w:overflowPunct/>
                    <w:bidi w:val="0"/>
                    <w:adjustRightInd/>
                    <w:snapToGrid/>
                    <w:jc w:val="center"/>
                    <w:rPr>
                      <w:rFonts w:hint="default"/>
                      <w:b/>
                      <w:bCs/>
                      <w:color w:val="auto"/>
                      <w:sz w:val="21"/>
                      <w:szCs w:val="21"/>
                      <w:lang w:val="en-US" w:eastAsia="zh-CN"/>
                    </w:rPr>
                  </w:pPr>
                  <w:r>
                    <w:rPr>
                      <w:rFonts w:hint="eastAsia"/>
                      <w:b/>
                      <w:bCs/>
                      <w:color w:val="auto"/>
                      <w:sz w:val="21"/>
                      <w:szCs w:val="21"/>
                      <w:lang w:val="en-US" w:eastAsia="zh-CN"/>
                    </w:rPr>
                    <w:t>危险废物代码</w:t>
                  </w:r>
                </w:p>
              </w:tc>
              <w:tc>
                <w:tcPr>
                  <w:tcW w:w="613" w:type="pct"/>
                  <w:noWrap w:val="0"/>
                  <w:vAlign w:val="center"/>
                </w:tcPr>
                <w:p w14:paraId="3A705335">
                  <w:pPr>
                    <w:keepNext w:val="0"/>
                    <w:keepLines w:val="0"/>
                    <w:pageBreakBefore w:val="0"/>
                    <w:kinsoku/>
                    <w:overflowPunct/>
                    <w:bidi w:val="0"/>
                    <w:adjustRightInd/>
                    <w:snapToGrid/>
                    <w:jc w:val="center"/>
                    <w:rPr>
                      <w:rFonts w:hint="default"/>
                      <w:b/>
                      <w:bCs/>
                      <w:color w:val="auto"/>
                      <w:sz w:val="21"/>
                      <w:szCs w:val="21"/>
                      <w:lang w:val="en-US" w:eastAsia="zh-CN"/>
                    </w:rPr>
                  </w:pPr>
                  <w:r>
                    <w:rPr>
                      <w:rFonts w:hint="eastAsia"/>
                      <w:b/>
                      <w:bCs/>
                      <w:color w:val="auto"/>
                      <w:sz w:val="21"/>
                      <w:szCs w:val="21"/>
                      <w:lang w:val="en-US" w:eastAsia="zh-CN"/>
                    </w:rPr>
                    <w:t>占地面积（m2）</w:t>
                  </w:r>
                </w:p>
              </w:tc>
              <w:tc>
                <w:tcPr>
                  <w:tcW w:w="524" w:type="pct"/>
                  <w:noWrap w:val="0"/>
                  <w:vAlign w:val="center"/>
                </w:tcPr>
                <w:p w14:paraId="3624088B">
                  <w:pPr>
                    <w:keepNext w:val="0"/>
                    <w:keepLines w:val="0"/>
                    <w:pageBreakBefore w:val="0"/>
                    <w:kinsoku/>
                    <w:overflowPunct/>
                    <w:bidi w:val="0"/>
                    <w:adjustRightInd/>
                    <w:snapToGrid/>
                    <w:jc w:val="center"/>
                    <w:rPr>
                      <w:rFonts w:hint="default"/>
                      <w:b/>
                      <w:bCs/>
                      <w:color w:val="auto"/>
                      <w:sz w:val="21"/>
                      <w:szCs w:val="21"/>
                      <w:lang w:val="en-US" w:eastAsia="zh-CN"/>
                    </w:rPr>
                  </w:pPr>
                  <w:r>
                    <w:rPr>
                      <w:rFonts w:hint="eastAsia"/>
                      <w:b/>
                      <w:bCs/>
                      <w:color w:val="auto"/>
                      <w:sz w:val="21"/>
                      <w:szCs w:val="21"/>
                      <w:lang w:val="en-US" w:eastAsia="zh-CN"/>
                    </w:rPr>
                    <w:t>贮存方式</w:t>
                  </w:r>
                </w:p>
              </w:tc>
              <w:tc>
                <w:tcPr>
                  <w:tcW w:w="679" w:type="pct"/>
                  <w:noWrap w:val="0"/>
                  <w:vAlign w:val="center"/>
                </w:tcPr>
                <w:p w14:paraId="060B9FE3">
                  <w:pPr>
                    <w:keepNext w:val="0"/>
                    <w:keepLines w:val="0"/>
                    <w:pageBreakBefore w:val="0"/>
                    <w:kinsoku/>
                    <w:overflowPunct/>
                    <w:bidi w:val="0"/>
                    <w:adjustRightInd/>
                    <w:snapToGrid/>
                    <w:jc w:val="center"/>
                    <w:rPr>
                      <w:rFonts w:hint="default"/>
                      <w:b/>
                      <w:bCs/>
                      <w:color w:val="auto"/>
                      <w:sz w:val="21"/>
                      <w:szCs w:val="21"/>
                      <w:lang w:val="en-US" w:eastAsia="zh-CN"/>
                    </w:rPr>
                  </w:pPr>
                  <w:r>
                    <w:rPr>
                      <w:rFonts w:hint="eastAsia"/>
                      <w:b/>
                      <w:bCs/>
                      <w:color w:val="auto"/>
                      <w:sz w:val="21"/>
                      <w:szCs w:val="21"/>
                      <w:lang w:val="en-US" w:eastAsia="zh-CN"/>
                    </w:rPr>
                    <w:t>贮存周期</w:t>
                  </w:r>
                </w:p>
              </w:tc>
            </w:tr>
            <w:tr w14:paraId="168A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pct"/>
                  <w:vMerge w:val="restart"/>
                  <w:noWrap w:val="0"/>
                  <w:vAlign w:val="center"/>
                </w:tcPr>
                <w:p w14:paraId="0BC0E802">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危险暂存间</w:t>
                  </w:r>
                </w:p>
              </w:tc>
              <w:tc>
                <w:tcPr>
                  <w:tcW w:w="894" w:type="pct"/>
                  <w:noWrap w:val="0"/>
                  <w:vAlign w:val="center"/>
                </w:tcPr>
                <w:p w14:paraId="2921C322">
                  <w:pPr>
                    <w:keepNext w:val="0"/>
                    <w:keepLines w:val="0"/>
                    <w:pageBreakBefore w:val="0"/>
                    <w:kinsoku/>
                    <w:overflowPunct/>
                    <w:bidi w:val="0"/>
                    <w:adjustRightInd/>
                    <w:snapToGrid/>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废润滑油</w:t>
                  </w:r>
                </w:p>
              </w:tc>
              <w:tc>
                <w:tcPr>
                  <w:tcW w:w="679" w:type="pct"/>
                  <w:noWrap w:val="0"/>
                  <w:vAlign w:val="center"/>
                </w:tcPr>
                <w:p w14:paraId="67338531">
                  <w:pPr>
                    <w:keepNext w:val="0"/>
                    <w:keepLines w:val="0"/>
                    <w:pageBreakBefore w:val="0"/>
                    <w:kinsoku/>
                    <w:overflowPunct/>
                    <w:bidi w:val="0"/>
                    <w:adjustRightInd/>
                    <w:snapToGrid/>
                    <w:spacing w:line="240" w:lineRule="auto"/>
                    <w:jc w:val="center"/>
                    <w:rPr>
                      <w:rFonts w:hint="default" w:eastAsia="宋体"/>
                      <w:color w:val="auto"/>
                      <w:kern w:val="0"/>
                      <w:sz w:val="21"/>
                      <w:szCs w:val="21"/>
                      <w:lang w:val="en-US" w:eastAsia="zh-CN" w:bidi="ar-SA"/>
                    </w:rPr>
                  </w:pPr>
                  <w:r>
                    <w:rPr>
                      <w:rFonts w:hint="eastAsia"/>
                      <w:color w:val="auto"/>
                      <w:kern w:val="0"/>
                      <w:sz w:val="21"/>
                      <w:szCs w:val="21"/>
                      <w:lang w:val="en-US" w:eastAsia="zh-CN"/>
                    </w:rPr>
                    <w:t>HW08</w:t>
                  </w:r>
                </w:p>
              </w:tc>
              <w:tc>
                <w:tcPr>
                  <w:tcW w:w="902" w:type="pct"/>
                  <w:noWrap w:val="0"/>
                  <w:vAlign w:val="center"/>
                </w:tcPr>
                <w:p w14:paraId="4C605264">
                  <w:pPr>
                    <w:keepNext w:val="0"/>
                    <w:keepLines w:val="0"/>
                    <w:pageBreakBefore w:val="0"/>
                    <w:kinsoku/>
                    <w:overflowPunct/>
                    <w:bidi w:val="0"/>
                    <w:adjustRightInd/>
                    <w:snapToGrid/>
                    <w:spacing w:line="240" w:lineRule="auto"/>
                    <w:jc w:val="center"/>
                    <w:rPr>
                      <w:rFonts w:hint="default"/>
                      <w:color w:val="auto"/>
                      <w:kern w:val="0"/>
                      <w:sz w:val="21"/>
                      <w:szCs w:val="21"/>
                      <w:lang w:val="en-US" w:eastAsia="zh-CN" w:bidi="ar-SA"/>
                    </w:rPr>
                  </w:pPr>
                  <w:r>
                    <w:rPr>
                      <w:rFonts w:hint="eastAsia"/>
                      <w:color w:val="auto"/>
                      <w:kern w:val="0"/>
                      <w:sz w:val="21"/>
                      <w:szCs w:val="21"/>
                    </w:rPr>
                    <w:t>900-214-08</w:t>
                  </w:r>
                </w:p>
              </w:tc>
              <w:tc>
                <w:tcPr>
                  <w:tcW w:w="613" w:type="pct"/>
                  <w:vMerge w:val="restart"/>
                  <w:noWrap w:val="0"/>
                  <w:vAlign w:val="center"/>
                </w:tcPr>
                <w:p w14:paraId="62BA8CEA">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524" w:type="pct"/>
                  <w:vMerge w:val="restart"/>
                  <w:noWrap w:val="0"/>
                  <w:vAlign w:val="center"/>
                </w:tcPr>
                <w:p w14:paraId="56AAC7A8">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集中贮存</w:t>
                  </w:r>
                </w:p>
              </w:tc>
              <w:tc>
                <w:tcPr>
                  <w:tcW w:w="679" w:type="pct"/>
                  <w:vMerge w:val="restart"/>
                  <w:noWrap w:val="0"/>
                  <w:vAlign w:val="center"/>
                </w:tcPr>
                <w:p w14:paraId="6DEBEB24">
                  <w:pPr>
                    <w:pStyle w:val="13"/>
                    <w:keepNext w:val="0"/>
                    <w:keepLines w:val="0"/>
                    <w:pageBreakBefore w:val="0"/>
                    <w:kinsoku/>
                    <w:overflowPunct/>
                    <w:bidi w:val="0"/>
                    <w:adjustRightInd/>
                    <w:snapToGrid/>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1年</w:t>
                  </w:r>
                </w:p>
              </w:tc>
            </w:tr>
            <w:tr w14:paraId="78A9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pct"/>
                  <w:vMerge w:val="continue"/>
                  <w:noWrap w:val="0"/>
                  <w:vAlign w:val="center"/>
                </w:tcPr>
                <w:p w14:paraId="6956A695">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p>
              </w:tc>
              <w:tc>
                <w:tcPr>
                  <w:tcW w:w="894" w:type="pct"/>
                  <w:noWrap w:val="0"/>
                  <w:vAlign w:val="center"/>
                </w:tcPr>
                <w:p w14:paraId="6D99870C">
                  <w:pPr>
                    <w:keepNext w:val="0"/>
                    <w:keepLines w:val="0"/>
                    <w:pageBreakBefore w:val="0"/>
                    <w:kinsoku/>
                    <w:overflowPunct/>
                    <w:bidi w:val="0"/>
                    <w:adjustRightInd/>
                    <w:snapToGrid/>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eastAsia="zh-CN"/>
                    </w:rPr>
                    <w:t>废</w:t>
                  </w:r>
                  <w:r>
                    <w:rPr>
                      <w:rFonts w:hint="eastAsia"/>
                      <w:color w:val="auto"/>
                      <w:sz w:val="21"/>
                      <w:szCs w:val="21"/>
                    </w:rPr>
                    <w:t>润滑油桶</w:t>
                  </w:r>
                </w:p>
              </w:tc>
              <w:tc>
                <w:tcPr>
                  <w:tcW w:w="1195" w:type="dxa"/>
                  <w:noWrap w:val="0"/>
                  <w:vAlign w:val="center"/>
                </w:tcPr>
                <w:p w14:paraId="16D4F634">
                  <w:pPr>
                    <w:keepNext w:val="0"/>
                    <w:keepLines w:val="0"/>
                    <w:pageBreakBefore w:val="0"/>
                    <w:kinsoku/>
                    <w:overflowPunct/>
                    <w:bidi w:val="0"/>
                    <w:adjustRightInd/>
                    <w:snapToGrid/>
                    <w:spacing w:line="240" w:lineRule="auto"/>
                    <w:jc w:val="center"/>
                    <w:rPr>
                      <w:rFonts w:hint="default" w:eastAsia="宋体"/>
                      <w:color w:val="auto"/>
                      <w:kern w:val="0"/>
                      <w:sz w:val="21"/>
                      <w:szCs w:val="21"/>
                      <w:lang w:val="en-US" w:eastAsia="zh-CN" w:bidi="ar-SA"/>
                    </w:rPr>
                  </w:pPr>
                  <w:r>
                    <w:rPr>
                      <w:rFonts w:hint="default" w:eastAsia="宋体"/>
                      <w:color w:val="auto"/>
                      <w:kern w:val="0"/>
                      <w:sz w:val="21"/>
                      <w:szCs w:val="21"/>
                      <w:lang w:val="en-US" w:eastAsia="zh-CN"/>
                    </w:rPr>
                    <w:t>HW</w:t>
                  </w:r>
                  <w:r>
                    <w:rPr>
                      <w:rFonts w:hint="eastAsia"/>
                      <w:color w:val="auto"/>
                      <w:kern w:val="0"/>
                      <w:sz w:val="21"/>
                      <w:szCs w:val="21"/>
                      <w:lang w:val="en-US" w:eastAsia="zh-CN"/>
                    </w:rPr>
                    <w:t>08</w:t>
                  </w:r>
                </w:p>
              </w:tc>
              <w:tc>
                <w:tcPr>
                  <w:tcW w:w="1587" w:type="dxa"/>
                  <w:noWrap w:val="0"/>
                  <w:vAlign w:val="center"/>
                </w:tcPr>
                <w:p w14:paraId="1FB5D801">
                  <w:pPr>
                    <w:keepNext w:val="0"/>
                    <w:keepLines w:val="0"/>
                    <w:pageBreakBefore w:val="0"/>
                    <w:kinsoku/>
                    <w:overflowPunct/>
                    <w:bidi w:val="0"/>
                    <w:adjustRightInd/>
                    <w:snapToGrid/>
                    <w:spacing w:line="240" w:lineRule="auto"/>
                    <w:jc w:val="center"/>
                    <w:rPr>
                      <w:rFonts w:hint="default"/>
                      <w:color w:val="auto"/>
                      <w:kern w:val="0"/>
                      <w:sz w:val="21"/>
                      <w:szCs w:val="21"/>
                      <w:lang w:val="en-US" w:eastAsia="zh-CN" w:bidi="ar-SA"/>
                    </w:rPr>
                  </w:pPr>
                  <w:r>
                    <w:rPr>
                      <w:rFonts w:hint="eastAsia"/>
                      <w:color w:val="auto"/>
                      <w:kern w:val="0"/>
                      <w:sz w:val="21"/>
                      <w:szCs w:val="21"/>
                      <w:lang w:val="en-US" w:eastAsia="zh-CN"/>
                    </w:rPr>
                    <w:t>900-249-08</w:t>
                  </w:r>
                </w:p>
              </w:tc>
              <w:tc>
                <w:tcPr>
                  <w:tcW w:w="613" w:type="pct"/>
                  <w:vMerge w:val="continue"/>
                  <w:noWrap w:val="0"/>
                  <w:vAlign w:val="center"/>
                </w:tcPr>
                <w:p w14:paraId="5AAB774F">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p>
              </w:tc>
              <w:tc>
                <w:tcPr>
                  <w:tcW w:w="524" w:type="pct"/>
                  <w:vMerge w:val="continue"/>
                  <w:noWrap w:val="0"/>
                  <w:vAlign w:val="center"/>
                </w:tcPr>
                <w:p w14:paraId="29903488">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p>
              </w:tc>
              <w:tc>
                <w:tcPr>
                  <w:tcW w:w="679" w:type="pct"/>
                  <w:vMerge w:val="continue"/>
                  <w:noWrap w:val="0"/>
                  <w:vAlign w:val="center"/>
                </w:tcPr>
                <w:p w14:paraId="0E82E1D5">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p>
              </w:tc>
            </w:tr>
            <w:tr w14:paraId="3C3E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pct"/>
                  <w:vMerge w:val="continue"/>
                  <w:noWrap w:val="0"/>
                  <w:vAlign w:val="center"/>
                </w:tcPr>
                <w:p w14:paraId="59F05043">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p>
              </w:tc>
              <w:tc>
                <w:tcPr>
                  <w:tcW w:w="894" w:type="pct"/>
                  <w:noWrap w:val="0"/>
                  <w:vAlign w:val="center"/>
                </w:tcPr>
                <w:p w14:paraId="7CF3AD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废催化剂</w:t>
                  </w:r>
                </w:p>
              </w:tc>
              <w:tc>
                <w:tcPr>
                  <w:tcW w:w="679" w:type="pct"/>
                  <w:noWrap w:val="0"/>
                  <w:vAlign w:val="center"/>
                </w:tcPr>
                <w:p w14:paraId="7C60DE77">
                  <w:pPr>
                    <w:keepNext w:val="0"/>
                    <w:keepLines w:val="0"/>
                    <w:pageBreakBefore w:val="0"/>
                    <w:kinsoku/>
                    <w:overflowPunct/>
                    <w:bidi w:val="0"/>
                    <w:adjustRightInd/>
                    <w:snapToGrid/>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HW50</w:t>
                  </w:r>
                </w:p>
              </w:tc>
              <w:tc>
                <w:tcPr>
                  <w:tcW w:w="902" w:type="pct"/>
                  <w:noWrap w:val="0"/>
                  <w:vAlign w:val="center"/>
                </w:tcPr>
                <w:p w14:paraId="2F6B23D1">
                  <w:pPr>
                    <w:keepNext w:val="0"/>
                    <w:keepLines w:val="0"/>
                    <w:pageBreakBefore w:val="0"/>
                    <w:kinsoku/>
                    <w:overflowPunct/>
                    <w:bidi w:val="0"/>
                    <w:adjustRightInd/>
                    <w:snapToGrid/>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772-007-50</w:t>
                  </w:r>
                </w:p>
              </w:tc>
              <w:tc>
                <w:tcPr>
                  <w:tcW w:w="613" w:type="pct"/>
                  <w:vMerge w:val="continue"/>
                  <w:noWrap w:val="0"/>
                  <w:vAlign w:val="center"/>
                </w:tcPr>
                <w:p w14:paraId="3F618C35">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p>
              </w:tc>
              <w:tc>
                <w:tcPr>
                  <w:tcW w:w="524" w:type="pct"/>
                  <w:vMerge w:val="continue"/>
                  <w:noWrap w:val="0"/>
                  <w:vAlign w:val="center"/>
                </w:tcPr>
                <w:p w14:paraId="037B3125">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p>
              </w:tc>
              <w:tc>
                <w:tcPr>
                  <w:tcW w:w="679" w:type="pct"/>
                  <w:vMerge w:val="continue"/>
                  <w:noWrap w:val="0"/>
                  <w:vAlign w:val="center"/>
                </w:tcPr>
                <w:p w14:paraId="7A8759CF">
                  <w:pPr>
                    <w:pStyle w:val="13"/>
                    <w:keepNext w:val="0"/>
                    <w:keepLines w:val="0"/>
                    <w:pageBreakBefore w:val="0"/>
                    <w:kinsoku/>
                    <w:overflowPunct/>
                    <w:bidi w:val="0"/>
                    <w:adjustRightInd/>
                    <w:snapToGrid/>
                    <w:spacing w:line="240" w:lineRule="auto"/>
                    <w:jc w:val="center"/>
                    <w:rPr>
                      <w:rFonts w:hint="default"/>
                      <w:color w:val="auto"/>
                      <w:sz w:val="21"/>
                      <w:szCs w:val="21"/>
                      <w:vertAlign w:val="baseline"/>
                      <w:lang w:val="en-US" w:eastAsia="zh-CN"/>
                    </w:rPr>
                  </w:pPr>
                </w:p>
              </w:tc>
            </w:tr>
          </w:tbl>
          <w:p w14:paraId="0B97B708">
            <w:pPr>
              <w:keepNext w:val="0"/>
              <w:keepLines w:val="0"/>
              <w:pageBreakBefore w:val="0"/>
              <w:kinsoku/>
              <w:overflowPunct/>
              <w:bidi w:val="0"/>
              <w:adjustRightInd/>
              <w:snapToGrid/>
              <w:spacing w:line="360" w:lineRule="auto"/>
              <w:ind w:firstLine="442" w:firstLineChars="200"/>
              <w:rPr>
                <w:rFonts w:hint="default" w:eastAsia="宋体"/>
                <w:b/>
                <w:bCs/>
                <w:color w:val="auto"/>
                <w:spacing w:val="-10"/>
                <w:sz w:val="24"/>
                <w:lang w:val="en-US" w:eastAsia="zh-CN"/>
              </w:rPr>
            </w:pPr>
            <w:r>
              <w:rPr>
                <w:b/>
                <w:bCs/>
                <w:color w:val="auto"/>
                <w:spacing w:val="-10"/>
                <w:sz w:val="24"/>
              </w:rPr>
              <w:t>2、处置去向</w:t>
            </w:r>
          </w:p>
          <w:p w14:paraId="449DB372">
            <w:pPr>
              <w:keepNext w:val="0"/>
              <w:keepLines w:val="0"/>
              <w:pageBreakBefore w:val="0"/>
              <w:widowControl/>
              <w:kinsoku/>
              <w:overflowPunct/>
              <w:bidi w:val="0"/>
              <w:adjustRightInd/>
              <w:snapToGrid/>
              <w:spacing w:line="360" w:lineRule="auto"/>
              <w:ind w:firstLine="480" w:firstLineChars="200"/>
              <w:rPr>
                <w:color w:val="auto"/>
                <w:kern w:val="0"/>
                <w:sz w:val="24"/>
              </w:rPr>
            </w:pPr>
            <w:r>
              <w:rPr>
                <w:color w:val="auto"/>
                <w:kern w:val="0"/>
                <w:sz w:val="24"/>
              </w:rPr>
              <w:t>项目固体废物有</w:t>
            </w:r>
            <w:r>
              <w:rPr>
                <w:rFonts w:hint="eastAsia"/>
                <w:color w:val="auto"/>
                <w:kern w:val="0"/>
                <w:sz w:val="24"/>
                <w:lang w:val="en-US" w:eastAsia="zh-CN"/>
              </w:rPr>
              <w:t>边角料</w:t>
            </w:r>
            <w:r>
              <w:rPr>
                <w:rFonts w:hint="eastAsia"/>
                <w:color w:val="auto"/>
                <w:kern w:val="0"/>
                <w:sz w:val="24"/>
              </w:rPr>
              <w:t>、</w:t>
            </w:r>
            <w:r>
              <w:rPr>
                <w:rFonts w:hint="eastAsia"/>
                <w:color w:val="auto"/>
                <w:sz w:val="24"/>
                <w:lang w:val="en-US" w:eastAsia="zh-CN"/>
              </w:rPr>
              <w:t>炉渣</w:t>
            </w:r>
            <w:r>
              <w:rPr>
                <w:rFonts w:hint="eastAsia"/>
                <w:color w:val="auto"/>
                <w:kern w:val="0"/>
                <w:sz w:val="24"/>
              </w:rPr>
              <w:t>、</w:t>
            </w:r>
            <w:r>
              <w:rPr>
                <w:rFonts w:hint="eastAsia"/>
                <w:color w:val="auto"/>
                <w:kern w:val="0"/>
                <w:sz w:val="24"/>
                <w:lang w:val="en-US" w:eastAsia="zh-CN"/>
              </w:rPr>
              <w:t>布袋除尘器收尘、废树脂、废布袋、喷淋塔沉淀池</w:t>
            </w:r>
            <w:r>
              <w:rPr>
                <w:rFonts w:hint="eastAsia"/>
                <w:color w:val="auto"/>
                <w:sz w:val="24"/>
                <w:lang w:eastAsia="zh-CN"/>
              </w:rPr>
              <w:t>沉渣、</w:t>
            </w:r>
            <w:r>
              <w:rPr>
                <w:color w:val="auto"/>
                <w:sz w:val="24"/>
              </w:rPr>
              <w:t>废</w:t>
            </w:r>
            <w:r>
              <w:rPr>
                <w:rFonts w:hint="eastAsia"/>
                <w:color w:val="auto"/>
                <w:sz w:val="24"/>
              </w:rPr>
              <w:t>润滑油桶、废润滑油</w:t>
            </w:r>
            <w:r>
              <w:rPr>
                <w:color w:val="auto"/>
                <w:kern w:val="0"/>
                <w:sz w:val="24"/>
              </w:rPr>
              <w:t>以及生活垃圾。</w:t>
            </w:r>
          </w:p>
          <w:p w14:paraId="14BDC89F">
            <w:pPr>
              <w:keepNext w:val="0"/>
              <w:keepLines w:val="0"/>
              <w:pageBreakBefore w:val="0"/>
              <w:widowControl/>
              <w:kinsoku/>
              <w:overflowPunct/>
              <w:bidi w:val="0"/>
              <w:adjustRightInd/>
              <w:snapToGrid/>
              <w:spacing w:line="360" w:lineRule="auto"/>
              <w:ind w:firstLine="480" w:firstLineChars="200"/>
              <w:rPr>
                <w:b/>
                <w:color w:val="auto"/>
                <w:kern w:val="0"/>
                <w:sz w:val="24"/>
              </w:rPr>
            </w:pPr>
            <w:r>
              <w:rPr>
                <w:color w:val="auto"/>
                <w:kern w:val="0"/>
                <w:sz w:val="24"/>
              </w:rPr>
              <w:t>建设单位将生活垃圾进行妥善分类收集，交由环卫部门统一处理；</w:t>
            </w:r>
            <w:r>
              <w:rPr>
                <w:rFonts w:hint="eastAsia"/>
                <w:b w:val="0"/>
                <w:bCs w:val="0"/>
                <w:color w:val="auto"/>
                <w:sz w:val="24"/>
                <w:lang w:val="en-US" w:eastAsia="zh-CN"/>
              </w:rPr>
              <w:t>边角料</w:t>
            </w:r>
            <w:r>
              <w:rPr>
                <w:rFonts w:hint="eastAsia"/>
                <w:color w:val="auto"/>
                <w:kern w:val="0"/>
                <w:sz w:val="24"/>
                <w:lang w:eastAsia="zh-CN"/>
              </w:rPr>
              <w:t>、</w:t>
            </w:r>
            <w:r>
              <w:rPr>
                <w:rFonts w:hint="eastAsia"/>
                <w:color w:val="auto"/>
                <w:kern w:val="0"/>
                <w:sz w:val="24"/>
              </w:rPr>
              <w:t>布袋除尘器收尘</w:t>
            </w:r>
            <w:r>
              <w:rPr>
                <w:rFonts w:hint="eastAsia"/>
                <w:color w:val="auto"/>
                <w:kern w:val="0"/>
                <w:sz w:val="24"/>
                <w:lang w:eastAsia="zh-CN"/>
              </w:rPr>
              <w:t>、</w:t>
            </w:r>
            <w:r>
              <w:rPr>
                <w:rFonts w:hint="eastAsia"/>
                <w:color w:val="auto"/>
                <w:sz w:val="24"/>
                <w:lang w:val="en-US" w:eastAsia="zh-CN"/>
              </w:rPr>
              <w:t>炉渣收集后外售综合利用，</w:t>
            </w:r>
            <w:r>
              <w:rPr>
                <w:rFonts w:hint="eastAsia"/>
                <w:color w:val="auto"/>
                <w:kern w:val="0"/>
                <w:sz w:val="24"/>
                <w:lang w:val="en-US" w:eastAsia="zh-CN"/>
              </w:rPr>
              <w:t>废树脂、废布袋、沉淀池沉渣</w:t>
            </w:r>
            <w:r>
              <w:rPr>
                <w:rFonts w:hint="eastAsia"/>
                <w:color w:val="auto"/>
                <w:sz w:val="24"/>
                <w:lang w:val="en-US" w:eastAsia="zh-CN"/>
              </w:rPr>
              <w:t>收集后外售给资源回收公司；</w:t>
            </w:r>
            <w:r>
              <w:rPr>
                <w:color w:val="auto"/>
                <w:sz w:val="24"/>
              </w:rPr>
              <w:t>废</w:t>
            </w:r>
            <w:r>
              <w:rPr>
                <w:rFonts w:hint="eastAsia"/>
                <w:color w:val="auto"/>
                <w:sz w:val="24"/>
              </w:rPr>
              <w:t>润滑油桶</w:t>
            </w:r>
            <w:r>
              <w:rPr>
                <w:rFonts w:hint="eastAsia"/>
                <w:color w:val="auto"/>
                <w:sz w:val="24"/>
                <w:lang w:eastAsia="zh-CN"/>
              </w:rPr>
              <w:t>、</w:t>
            </w:r>
            <w:r>
              <w:rPr>
                <w:rFonts w:hint="eastAsia"/>
                <w:color w:val="auto"/>
                <w:sz w:val="24"/>
              </w:rPr>
              <w:t>废润滑油</w:t>
            </w:r>
            <w:r>
              <w:rPr>
                <w:rFonts w:hint="eastAsia"/>
                <w:color w:val="auto"/>
                <w:sz w:val="24"/>
                <w:lang w:eastAsia="zh-CN"/>
              </w:rPr>
              <w:t>和</w:t>
            </w:r>
            <w:r>
              <w:rPr>
                <w:rFonts w:hint="eastAsia"/>
                <w:color w:val="auto"/>
                <w:sz w:val="24"/>
                <w:lang w:val="en-US" w:eastAsia="zh-CN"/>
              </w:rPr>
              <w:t>废催化剂</w:t>
            </w:r>
            <w:r>
              <w:rPr>
                <w:color w:val="auto"/>
                <w:kern w:val="0"/>
                <w:sz w:val="24"/>
              </w:rPr>
              <w:t>属于危险废物，将其交由具处理资质的单位回收处理。</w:t>
            </w:r>
          </w:p>
          <w:p w14:paraId="062C4412">
            <w:pPr>
              <w:keepNext w:val="0"/>
              <w:keepLines w:val="0"/>
              <w:pageBreakBefore w:val="0"/>
              <w:kinsoku/>
              <w:overflowPunct/>
              <w:bidi w:val="0"/>
              <w:adjustRightInd/>
              <w:snapToGrid/>
              <w:spacing w:line="360" w:lineRule="auto"/>
              <w:ind w:firstLine="482" w:firstLineChars="200"/>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lang w:val="en-US" w:eastAsia="zh-CN"/>
              </w:rPr>
              <w:t>环境管理要求</w:t>
            </w:r>
          </w:p>
          <w:p w14:paraId="692DAFDB">
            <w:pPr>
              <w:keepNext w:val="0"/>
              <w:keepLines w:val="0"/>
              <w:pageBreakBefore w:val="0"/>
              <w:kinsoku/>
              <w:overflowPunct/>
              <w:bidi w:val="0"/>
              <w:adjustRightInd/>
              <w:snapToGrid/>
              <w:spacing w:line="360" w:lineRule="auto"/>
              <w:ind w:firstLine="480" w:firstLineChars="200"/>
              <w:rPr>
                <w:bCs/>
                <w:color w:val="auto"/>
                <w:sz w:val="24"/>
              </w:rPr>
            </w:pPr>
            <w:r>
              <w:rPr>
                <w:bCs/>
                <w:color w:val="auto"/>
                <w:sz w:val="24"/>
              </w:rPr>
              <w:t>（1）一般固废暂存及处置</w:t>
            </w:r>
          </w:p>
          <w:p w14:paraId="3A3B9F08">
            <w:pPr>
              <w:keepNext w:val="0"/>
              <w:keepLines w:val="0"/>
              <w:pageBreakBefore w:val="0"/>
              <w:kinsoku/>
              <w:overflowPunct/>
              <w:bidi w:val="0"/>
              <w:adjustRightInd/>
              <w:snapToGrid/>
              <w:spacing w:line="360" w:lineRule="auto"/>
              <w:ind w:firstLine="480" w:firstLineChars="200"/>
              <w:rPr>
                <w:snapToGrid w:val="0"/>
                <w:color w:val="auto"/>
                <w:kern w:val="0"/>
                <w:sz w:val="24"/>
              </w:rPr>
            </w:pPr>
            <w:r>
              <w:rPr>
                <w:bCs/>
                <w:color w:val="auto"/>
                <w:sz w:val="24"/>
              </w:rPr>
              <w:t>本项目</w:t>
            </w:r>
            <w:r>
              <w:rPr>
                <w:rFonts w:hint="eastAsia"/>
                <w:bCs/>
                <w:color w:val="auto"/>
                <w:sz w:val="24"/>
                <w:lang w:eastAsia="zh-CN"/>
              </w:rPr>
              <w:t>在</w:t>
            </w:r>
            <w:r>
              <w:rPr>
                <w:rFonts w:hint="eastAsia"/>
                <w:bCs/>
                <w:color w:val="auto"/>
                <w:sz w:val="24"/>
                <w:lang w:val="en-US" w:eastAsia="zh-CN"/>
              </w:rPr>
              <w:t>厂内设有一般固体暂存区，主要用于堆放边角料、布袋除尘器收尘、炉渣、废树脂、废布袋、喷淋塔沉淀池沉渣等一般固废，占地面积100</w:t>
            </w:r>
            <w:r>
              <w:rPr>
                <w:snapToGrid w:val="0"/>
                <w:color w:val="auto"/>
                <w:kern w:val="0"/>
                <w:sz w:val="24"/>
              </w:rPr>
              <w:t>m</w:t>
            </w:r>
            <w:r>
              <w:rPr>
                <w:snapToGrid w:val="0"/>
                <w:color w:val="auto"/>
                <w:kern w:val="0"/>
                <w:sz w:val="24"/>
                <w:vertAlign w:val="superscript"/>
              </w:rPr>
              <w:t>2</w:t>
            </w:r>
            <w:r>
              <w:rPr>
                <w:snapToGrid w:val="0"/>
                <w:color w:val="auto"/>
                <w:kern w:val="0"/>
                <w:sz w:val="24"/>
              </w:rPr>
              <w:t>，一般固废库</w:t>
            </w:r>
            <w:r>
              <w:rPr>
                <w:rFonts w:hint="eastAsia"/>
                <w:snapToGrid w:val="0"/>
                <w:color w:val="auto"/>
                <w:kern w:val="0"/>
                <w:sz w:val="24"/>
              </w:rPr>
              <w:t>参考《</w:t>
            </w:r>
            <w:r>
              <w:rPr>
                <w:color w:val="auto"/>
                <w:kern w:val="0"/>
                <w:sz w:val="24"/>
              </w:rPr>
              <w:t>一般业固工体废物贮存和填埋污染控制标准</w:t>
            </w:r>
            <w:r>
              <w:rPr>
                <w:rFonts w:hint="eastAsia"/>
                <w:color w:val="auto"/>
                <w:kern w:val="0"/>
                <w:sz w:val="24"/>
              </w:rPr>
              <w:t>》</w:t>
            </w:r>
            <w:r>
              <w:rPr>
                <w:color w:val="auto"/>
                <w:kern w:val="0"/>
                <w:sz w:val="24"/>
              </w:rPr>
              <w:t>（GB18599-2020）</w:t>
            </w:r>
            <w:r>
              <w:rPr>
                <w:snapToGrid w:val="0"/>
                <w:color w:val="auto"/>
                <w:kern w:val="0"/>
                <w:sz w:val="24"/>
              </w:rPr>
              <w:t>要求建设</w:t>
            </w:r>
            <w:r>
              <w:rPr>
                <w:rFonts w:hint="eastAsia"/>
                <w:snapToGrid w:val="0"/>
                <w:color w:val="auto"/>
                <w:kern w:val="0"/>
                <w:sz w:val="24"/>
                <w:lang w:eastAsia="zh-CN"/>
              </w:rPr>
              <w:t>，满足防渗漏、防雨淋、防扬尘固体废物贮存要求</w:t>
            </w:r>
            <w:r>
              <w:rPr>
                <w:snapToGrid w:val="0"/>
                <w:color w:val="auto"/>
                <w:kern w:val="0"/>
                <w:sz w:val="24"/>
              </w:rPr>
              <w:t>。</w:t>
            </w:r>
          </w:p>
          <w:p w14:paraId="2557E126">
            <w:pPr>
              <w:keepNext w:val="0"/>
              <w:keepLines w:val="0"/>
              <w:pageBreakBefore w:val="0"/>
              <w:kinsoku/>
              <w:overflowPunct/>
              <w:bidi w:val="0"/>
              <w:adjustRightInd/>
              <w:snapToGrid/>
              <w:spacing w:line="360" w:lineRule="auto"/>
              <w:ind w:firstLine="525"/>
              <w:rPr>
                <w:snapToGrid w:val="0"/>
                <w:color w:val="auto"/>
                <w:kern w:val="0"/>
                <w:sz w:val="24"/>
              </w:rPr>
            </w:pPr>
            <w:r>
              <w:rPr>
                <w:snapToGrid w:val="0"/>
                <w:color w:val="auto"/>
                <w:kern w:val="0"/>
                <w:sz w:val="24"/>
              </w:rPr>
              <w:t>一般固废库具体建设要求如下：</w:t>
            </w:r>
          </w:p>
          <w:p w14:paraId="56FB4EFA">
            <w:pPr>
              <w:keepNext w:val="0"/>
              <w:keepLines w:val="0"/>
              <w:pageBreakBefore w:val="0"/>
              <w:kinsoku/>
              <w:overflowPunct/>
              <w:bidi w:val="0"/>
              <w:adjustRightInd/>
              <w:snapToGrid/>
              <w:spacing w:line="360" w:lineRule="auto"/>
              <w:ind w:firstLine="525"/>
              <w:rPr>
                <w:snapToGrid w:val="0"/>
                <w:color w:val="auto"/>
                <w:kern w:val="0"/>
                <w:sz w:val="24"/>
              </w:rPr>
            </w:pPr>
            <w:r>
              <w:rPr>
                <w:snapToGrid w:val="0"/>
                <w:color w:val="auto"/>
                <w:kern w:val="0"/>
                <w:sz w:val="24"/>
              </w:rPr>
              <w:t>①贮存、处置场的建设类型，必须与将要堆放的一般工业固体废物的类别相一致。</w:t>
            </w:r>
          </w:p>
          <w:p w14:paraId="37267A7F">
            <w:pPr>
              <w:keepNext w:val="0"/>
              <w:keepLines w:val="0"/>
              <w:pageBreakBefore w:val="0"/>
              <w:kinsoku/>
              <w:overflowPunct/>
              <w:bidi w:val="0"/>
              <w:adjustRightInd/>
              <w:snapToGrid/>
              <w:spacing w:line="360" w:lineRule="auto"/>
              <w:ind w:firstLine="525"/>
              <w:rPr>
                <w:snapToGrid w:val="0"/>
                <w:color w:val="auto"/>
                <w:kern w:val="0"/>
                <w:sz w:val="24"/>
              </w:rPr>
            </w:pPr>
            <w:r>
              <w:rPr>
                <w:snapToGrid w:val="0"/>
                <w:color w:val="auto"/>
                <w:kern w:val="0"/>
                <w:sz w:val="24"/>
              </w:rPr>
              <w:t>②贮存、处置场应采取防止粉尘污染的措施。</w:t>
            </w:r>
          </w:p>
          <w:p w14:paraId="3BA9B503">
            <w:pPr>
              <w:keepNext w:val="0"/>
              <w:keepLines w:val="0"/>
              <w:pageBreakBefore w:val="0"/>
              <w:kinsoku/>
              <w:overflowPunct/>
              <w:bidi w:val="0"/>
              <w:adjustRightInd/>
              <w:snapToGrid/>
              <w:spacing w:line="360" w:lineRule="auto"/>
              <w:ind w:firstLine="525"/>
              <w:rPr>
                <w:snapToGrid w:val="0"/>
                <w:color w:val="auto"/>
                <w:kern w:val="0"/>
                <w:sz w:val="24"/>
              </w:rPr>
            </w:pPr>
            <w:r>
              <w:rPr>
                <w:snapToGrid w:val="0"/>
                <w:color w:val="auto"/>
                <w:kern w:val="0"/>
                <w:sz w:val="24"/>
              </w:rPr>
              <w:t>③为防止雨水径流进入贮存、处置场内。</w:t>
            </w:r>
          </w:p>
          <w:p w14:paraId="2CA79C79">
            <w:pPr>
              <w:keepNext w:val="0"/>
              <w:keepLines w:val="0"/>
              <w:pageBreakBefore w:val="0"/>
              <w:kinsoku/>
              <w:overflowPunct/>
              <w:bidi w:val="0"/>
              <w:adjustRightInd/>
              <w:snapToGrid/>
              <w:spacing w:line="360" w:lineRule="auto"/>
              <w:ind w:firstLine="525"/>
              <w:rPr>
                <w:snapToGrid w:val="0"/>
                <w:color w:val="auto"/>
                <w:kern w:val="0"/>
                <w:sz w:val="24"/>
              </w:rPr>
            </w:pPr>
            <w:r>
              <w:rPr>
                <w:snapToGrid w:val="0"/>
                <w:color w:val="auto"/>
                <w:kern w:val="0"/>
                <w:sz w:val="24"/>
              </w:rPr>
              <w:t>④为保障设施、设备</w:t>
            </w:r>
            <w:r>
              <w:rPr>
                <w:rFonts w:hint="eastAsia"/>
                <w:snapToGrid w:val="0"/>
                <w:color w:val="auto"/>
                <w:kern w:val="0"/>
                <w:sz w:val="24"/>
                <w:lang w:eastAsia="zh-CN"/>
              </w:rPr>
              <w:t>正常运行</w:t>
            </w:r>
            <w:r>
              <w:rPr>
                <w:snapToGrid w:val="0"/>
                <w:color w:val="auto"/>
                <w:kern w:val="0"/>
                <w:sz w:val="24"/>
              </w:rPr>
              <w:t>，必要时应采取措施防止地基下沉，尤其是防止不均匀或局部下沉。</w:t>
            </w:r>
          </w:p>
          <w:p w14:paraId="7DE9133C">
            <w:pPr>
              <w:keepNext w:val="0"/>
              <w:keepLines w:val="0"/>
              <w:pageBreakBefore w:val="0"/>
              <w:kinsoku/>
              <w:overflowPunct/>
              <w:bidi w:val="0"/>
              <w:adjustRightInd/>
              <w:snapToGrid/>
              <w:spacing w:line="360" w:lineRule="auto"/>
              <w:ind w:firstLine="525"/>
              <w:rPr>
                <w:snapToGrid w:val="0"/>
                <w:color w:val="auto"/>
                <w:kern w:val="0"/>
                <w:sz w:val="24"/>
              </w:rPr>
            </w:pPr>
            <w:r>
              <w:rPr>
                <w:snapToGrid w:val="0"/>
                <w:color w:val="auto"/>
                <w:kern w:val="0"/>
                <w:sz w:val="24"/>
              </w:rPr>
              <w:t>（2）危险废物</w:t>
            </w:r>
            <w:r>
              <w:rPr>
                <w:bCs/>
                <w:color w:val="auto"/>
                <w:sz w:val="24"/>
              </w:rPr>
              <w:t>暂存及处置</w:t>
            </w:r>
          </w:p>
          <w:p w14:paraId="1778845F">
            <w:pPr>
              <w:keepNext w:val="0"/>
              <w:keepLines w:val="0"/>
              <w:pageBreakBefore w:val="0"/>
              <w:kinsoku/>
              <w:overflowPunct/>
              <w:bidi w:val="0"/>
              <w:adjustRightInd/>
              <w:snapToGrid/>
              <w:spacing w:line="360" w:lineRule="auto"/>
              <w:ind w:firstLine="480" w:firstLineChars="200"/>
              <w:rPr>
                <w:rFonts w:hint="eastAsia" w:cs="宋体"/>
                <w:color w:val="auto"/>
                <w:kern w:val="0"/>
                <w:sz w:val="24"/>
              </w:rPr>
            </w:pPr>
            <w:r>
              <w:rPr>
                <w:rFonts w:hint="eastAsia" w:cs="宋体"/>
                <w:color w:val="auto"/>
                <w:kern w:val="0"/>
                <w:sz w:val="24"/>
              </w:rPr>
              <w:t>本项目拟在</w:t>
            </w:r>
            <w:r>
              <w:rPr>
                <w:rFonts w:hint="eastAsia"/>
                <w:bCs/>
                <w:color w:val="auto"/>
                <w:sz w:val="24"/>
                <w:lang w:eastAsia="zh-CN"/>
              </w:rPr>
              <w:t>厂房西北角</w:t>
            </w:r>
            <w:r>
              <w:rPr>
                <w:rFonts w:hint="eastAsia" w:cs="宋体"/>
                <w:color w:val="auto"/>
                <w:kern w:val="0"/>
                <w:sz w:val="24"/>
              </w:rPr>
              <w:t>设置一间危废暂存间，建筑面积为</w:t>
            </w:r>
            <w:r>
              <w:rPr>
                <w:rFonts w:hint="eastAsia" w:cs="宋体"/>
                <w:color w:val="auto"/>
                <w:kern w:val="0"/>
                <w:sz w:val="24"/>
                <w:lang w:val="en-US" w:eastAsia="zh-CN"/>
              </w:rPr>
              <w:t>5m</w:t>
            </w:r>
            <w:r>
              <w:rPr>
                <w:rFonts w:hint="eastAsia" w:cs="宋体"/>
                <w:color w:val="auto"/>
                <w:kern w:val="0"/>
                <w:sz w:val="24"/>
                <w:vertAlign w:val="superscript"/>
                <w:lang w:val="en-US" w:eastAsia="zh-CN"/>
              </w:rPr>
              <w:t>2</w:t>
            </w:r>
            <w:r>
              <w:rPr>
                <w:rFonts w:hint="eastAsia" w:cs="宋体"/>
                <w:color w:val="auto"/>
                <w:kern w:val="0"/>
                <w:sz w:val="24"/>
              </w:rPr>
              <w:t>，高度</w:t>
            </w:r>
            <w:r>
              <w:rPr>
                <w:rFonts w:hint="eastAsia" w:cs="宋体"/>
                <w:color w:val="auto"/>
                <w:kern w:val="0"/>
                <w:sz w:val="24"/>
                <w:lang w:val="en-US" w:eastAsia="zh-CN"/>
              </w:rPr>
              <w:t>3.5</w:t>
            </w:r>
            <w:r>
              <w:rPr>
                <w:rFonts w:hint="eastAsia" w:cs="宋体"/>
                <w:color w:val="auto"/>
                <w:kern w:val="0"/>
                <w:sz w:val="24"/>
              </w:rPr>
              <w:t>m，进行合理分区后可存放危废最大量</w:t>
            </w:r>
            <w:r>
              <w:rPr>
                <w:rFonts w:hint="eastAsia" w:cs="宋体"/>
                <w:color w:val="auto"/>
                <w:kern w:val="0"/>
                <w:sz w:val="24"/>
                <w:lang w:val="en-US" w:eastAsia="zh-CN"/>
              </w:rPr>
              <w:t>4</w:t>
            </w:r>
            <w:r>
              <w:rPr>
                <w:rFonts w:hint="eastAsia" w:cs="宋体"/>
                <w:color w:val="auto"/>
                <w:kern w:val="0"/>
                <w:sz w:val="24"/>
              </w:rPr>
              <w:t>t。本项目危废</w:t>
            </w:r>
            <w:r>
              <w:rPr>
                <w:rFonts w:hint="eastAsia" w:cs="宋体"/>
                <w:color w:val="auto"/>
                <w:kern w:val="0"/>
                <w:sz w:val="24"/>
                <w:lang w:eastAsia="zh-CN"/>
              </w:rPr>
              <w:t>每年</w:t>
            </w:r>
            <w:r>
              <w:rPr>
                <w:rFonts w:hint="eastAsia" w:cs="宋体"/>
                <w:color w:val="auto"/>
                <w:kern w:val="0"/>
                <w:sz w:val="24"/>
              </w:rPr>
              <w:t>委托处置一次</w:t>
            </w:r>
            <w:r>
              <w:rPr>
                <w:rFonts w:hint="eastAsia" w:cs="宋体"/>
                <w:color w:val="auto"/>
                <w:kern w:val="0"/>
                <w:sz w:val="24"/>
                <w:lang w:eastAsia="zh-CN"/>
              </w:rPr>
              <w:t>，每次最大量为</w:t>
            </w:r>
            <w:r>
              <w:rPr>
                <w:rFonts w:hint="eastAsia" w:cs="宋体"/>
                <w:color w:val="auto"/>
                <w:kern w:val="0"/>
                <w:sz w:val="24"/>
                <w:lang w:val="en-US" w:eastAsia="zh-CN"/>
              </w:rPr>
              <w:t>0.078t</w:t>
            </w:r>
            <w:r>
              <w:rPr>
                <w:rFonts w:hint="eastAsia" w:cs="宋体"/>
                <w:color w:val="auto"/>
                <w:kern w:val="0"/>
                <w:sz w:val="24"/>
              </w:rPr>
              <w:t>，因此，危废暂存间面积设置满足贮存要求。</w:t>
            </w:r>
            <w:r>
              <w:rPr>
                <w:rFonts w:hint="eastAsia" w:cs="宋体"/>
                <w:color w:val="auto"/>
                <w:kern w:val="0"/>
                <w:sz w:val="24"/>
                <w:lang w:eastAsia="zh-CN"/>
              </w:rPr>
              <w:t>同时</w:t>
            </w:r>
            <w:r>
              <w:rPr>
                <w:rFonts w:hint="eastAsia" w:cs="宋体"/>
                <w:color w:val="auto"/>
                <w:kern w:val="0"/>
                <w:sz w:val="24"/>
              </w:rPr>
              <w:t>本项目危废暂存间建设应满足以下要求：</w:t>
            </w:r>
          </w:p>
          <w:p w14:paraId="74127912">
            <w:pPr>
              <w:keepNext w:val="0"/>
              <w:keepLines w:val="0"/>
              <w:pageBreakBefore w:val="0"/>
              <w:kinsoku/>
              <w:overflowPunct/>
              <w:bidi w:val="0"/>
              <w:adjustRightInd/>
              <w:snapToGrid/>
              <w:spacing w:line="360" w:lineRule="auto"/>
              <w:ind w:firstLine="480" w:firstLineChars="200"/>
              <w:rPr>
                <w:snapToGrid w:val="0"/>
                <w:color w:val="auto"/>
                <w:sz w:val="24"/>
              </w:rPr>
            </w:pPr>
            <w:r>
              <w:rPr>
                <w:snapToGrid w:val="0"/>
                <w:color w:val="auto"/>
                <w:sz w:val="24"/>
              </w:rPr>
              <w:t>①危险废物贮存场所（设施）的污染防治措施</w:t>
            </w:r>
          </w:p>
          <w:p w14:paraId="102EB89D">
            <w:pPr>
              <w:keepNext w:val="0"/>
              <w:keepLines w:val="0"/>
              <w:pageBreakBefore w:val="0"/>
              <w:kinsoku/>
              <w:overflowPunct/>
              <w:bidi w:val="0"/>
              <w:adjustRightInd/>
              <w:snapToGrid/>
              <w:spacing w:line="360" w:lineRule="auto"/>
              <w:ind w:firstLine="480" w:firstLineChars="200"/>
              <w:rPr>
                <w:rFonts w:hint="eastAsia"/>
                <w:snapToGrid w:val="0"/>
                <w:color w:val="auto"/>
                <w:sz w:val="24"/>
              </w:rPr>
            </w:pPr>
            <w:r>
              <w:rPr>
                <w:snapToGrid w:val="0"/>
                <w:color w:val="auto"/>
                <w:sz w:val="24"/>
              </w:rPr>
              <w:t>按照危险废物处置的有关规定，对属于国家规定危险废物之列的固体废物，必须委托有资质单位进行妥善处理。外运时需要严格按照国家环境保护总局令第5号文件《危险废物转移管理办法》的相关规定上报危险废物转移计划，应做到不沿途抛洒；因此，必须加强对固体废弃物的管理，确保各类固体废弃物的妥善处置，固体废弃物贮存场</w:t>
            </w:r>
            <w:r>
              <w:rPr>
                <w:rFonts w:hint="eastAsia"/>
                <w:snapToGrid w:val="0"/>
                <w:color w:val="auto"/>
                <w:sz w:val="24"/>
                <w:lang w:eastAsia="zh-CN"/>
              </w:rPr>
              <w:t>所</w:t>
            </w:r>
            <w:r>
              <w:rPr>
                <w:snapToGrid w:val="0"/>
                <w:color w:val="auto"/>
                <w:sz w:val="24"/>
              </w:rPr>
              <w:t>应有明显的标志，并有防雨、防晒等设施</w:t>
            </w:r>
            <w:r>
              <w:rPr>
                <w:rFonts w:hint="eastAsia"/>
                <w:snapToGrid w:val="0"/>
                <w:color w:val="auto"/>
                <w:sz w:val="24"/>
              </w:rPr>
              <w:t>。</w:t>
            </w:r>
          </w:p>
          <w:p w14:paraId="004D2472">
            <w:pPr>
              <w:keepNext w:val="0"/>
              <w:keepLines w:val="0"/>
              <w:pageBreakBefore w:val="0"/>
              <w:widowControl/>
              <w:kinsoku/>
              <w:overflowPunct/>
              <w:bidi w:val="0"/>
              <w:adjustRightInd/>
              <w:snapToGrid/>
              <w:spacing w:line="360" w:lineRule="auto"/>
              <w:ind w:firstLine="480"/>
              <w:jc w:val="left"/>
              <w:rPr>
                <w:rFonts w:cs="宋体"/>
                <w:bCs/>
                <w:color w:val="auto"/>
                <w:kern w:val="0"/>
                <w:sz w:val="24"/>
              </w:rPr>
            </w:pPr>
            <w:r>
              <w:rPr>
                <w:rFonts w:hint="eastAsia" w:cs="宋体"/>
                <w:color w:val="auto"/>
                <w:kern w:val="0"/>
                <w:sz w:val="24"/>
              </w:rPr>
              <w:t>危废暂存间</w:t>
            </w:r>
            <w:r>
              <w:rPr>
                <w:rFonts w:cs="宋体"/>
                <w:bCs/>
                <w:color w:val="auto"/>
                <w:kern w:val="0"/>
                <w:sz w:val="24"/>
              </w:rPr>
              <w:t>按照《危险废物贮存污染控制标准》（GB18597-20</w:t>
            </w:r>
            <w:r>
              <w:rPr>
                <w:rFonts w:hint="eastAsia" w:cs="宋体"/>
                <w:bCs/>
                <w:color w:val="auto"/>
                <w:kern w:val="0"/>
                <w:sz w:val="24"/>
              </w:rPr>
              <w:t>23</w:t>
            </w:r>
            <w:r>
              <w:rPr>
                <w:rFonts w:cs="宋体"/>
                <w:bCs/>
                <w:color w:val="auto"/>
                <w:kern w:val="0"/>
                <w:sz w:val="24"/>
              </w:rPr>
              <w:t>）的规定设置，具体要求如下：</w:t>
            </w:r>
          </w:p>
          <w:p w14:paraId="39203A45">
            <w:pPr>
              <w:keepNext w:val="0"/>
              <w:keepLines w:val="0"/>
              <w:pageBreakBefore w:val="0"/>
              <w:kinsoku/>
              <w:overflowPunct/>
              <w:bidi w:val="0"/>
              <w:adjustRightInd/>
              <w:snapToGrid/>
              <w:spacing w:line="360" w:lineRule="auto"/>
              <w:ind w:firstLine="480" w:firstLineChars="200"/>
              <w:rPr>
                <w:rFonts w:hint="eastAsia" w:eastAsia="宋体" w:cs="宋体"/>
                <w:bCs/>
                <w:color w:val="auto"/>
                <w:kern w:val="0"/>
                <w:sz w:val="24"/>
                <w:lang w:eastAsia="zh-CN"/>
              </w:rPr>
            </w:pPr>
            <w:r>
              <w:rPr>
                <w:rFonts w:cs="宋体"/>
                <w:bCs/>
                <w:color w:val="auto"/>
                <w:kern w:val="0"/>
                <w:sz w:val="24"/>
              </w:rPr>
              <w:t>贮存设施应根据危险废物的类别、数量、形态、物理化学性质和污染防治等要求设置必要的贮存分区，避免不相容的危险废物接触、混合。</w:t>
            </w:r>
          </w:p>
          <w:p w14:paraId="045C7BD8">
            <w:pPr>
              <w:keepNext w:val="0"/>
              <w:keepLines w:val="0"/>
              <w:pageBreakBefore w:val="0"/>
              <w:kinsoku/>
              <w:overflowPunct/>
              <w:bidi w:val="0"/>
              <w:adjustRightInd/>
              <w:snapToGrid/>
              <w:spacing w:line="360" w:lineRule="auto"/>
              <w:ind w:firstLine="480" w:firstLineChars="200"/>
              <w:rPr>
                <w:rFonts w:hint="eastAsia" w:eastAsia="宋体" w:cs="宋体"/>
                <w:bCs/>
                <w:color w:val="auto"/>
                <w:kern w:val="0"/>
                <w:sz w:val="24"/>
                <w:lang w:eastAsia="zh-CN"/>
              </w:rPr>
            </w:pPr>
            <w:r>
              <w:rPr>
                <w:rFonts w:cs="宋体"/>
                <w:bCs/>
                <w:color w:val="auto"/>
                <w:kern w:val="0"/>
                <w:sz w:val="24"/>
              </w:rPr>
              <w:t>贮存设施或贮存分区内地面、墙面裙脚、堵截泄漏的围堰、接触危险废物的隔板和墙体等应采用坚固的材料建造，表面无裂缝。</w:t>
            </w:r>
          </w:p>
          <w:p w14:paraId="6F074C4C">
            <w:pPr>
              <w:keepNext w:val="0"/>
              <w:keepLines w:val="0"/>
              <w:pageBreakBefore w:val="0"/>
              <w:kinsoku/>
              <w:overflowPunct/>
              <w:bidi w:val="0"/>
              <w:adjustRightInd/>
              <w:snapToGrid/>
              <w:spacing w:line="360" w:lineRule="auto"/>
              <w:ind w:firstLine="480" w:firstLineChars="200"/>
              <w:rPr>
                <w:rFonts w:hint="eastAsia" w:eastAsia="宋体" w:cs="宋体"/>
                <w:bCs/>
                <w:color w:val="auto"/>
                <w:kern w:val="0"/>
                <w:sz w:val="24"/>
                <w:lang w:eastAsia="zh-CN"/>
              </w:rPr>
            </w:pPr>
            <w:r>
              <w:rPr>
                <w:rFonts w:cs="宋体"/>
                <w:bCs/>
                <w:color w:val="auto"/>
                <w:kern w:val="0"/>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cs="宋体"/>
                <w:bCs/>
                <w:color w:val="auto"/>
                <w:kern w:val="0"/>
                <w:sz w:val="24"/>
                <w:vertAlign w:val="superscript"/>
              </w:rPr>
              <w:t>-7</w:t>
            </w:r>
            <w:r>
              <w:rPr>
                <w:rFonts w:cs="宋体"/>
                <w:bCs/>
                <w:color w:val="auto"/>
                <w:kern w:val="0"/>
                <w:sz w:val="24"/>
              </w:rPr>
              <w:t>cm/s），或至少2mm厚高密度聚乙烯膜等人工防渗材料（渗透系数不大于10</w:t>
            </w:r>
            <w:r>
              <w:rPr>
                <w:rFonts w:cs="宋体"/>
                <w:bCs/>
                <w:color w:val="auto"/>
                <w:kern w:val="0"/>
                <w:sz w:val="24"/>
                <w:vertAlign w:val="superscript"/>
              </w:rPr>
              <w:t>-10</w:t>
            </w:r>
            <w:r>
              <w:rPr>
                <w:rFonts w:cs="宋体"/>
                <w:bCs/>
                <w:color w:val="auto"/>
                <w:kern w:val="0"/>
                <w:sz w:val="24"/>
              </w:rPr>
              <w:t>cm/s），或其他防渗性能等效的材料。</w:t>
            </w:r>
          </w:p>
          <w:p w14:paraId="683CB492">
            <w:pPr>
              <w:keepNext w:val="0"/>
              <w:keepLines w:val="0"/>
              <w:pageBreakBefore w:val="0"/>
              <w:kinsoku/>
              <w:overflowPunct/>
              <w:bidi w:val="0"/>
              <w:adjustRightInd/>
              <w:snapToGrid/>
              <w:spacing w:line="360" w:lineRule="auto"/>
              <w:ind w:firstLine="480" w:firstLineChars="200"/>
              <w:rPr>
                <w:rFonts w:cs="宋体"/>
                <w:bCs/>
                <w:color w:val="auto"/>
                <w:kern w:val="0"/>
                <w:sz w:val="24"/>
              </w:rPr>
            </w:pPr>
            <w:r>
              <w:rPr>
                <w:rFonts w:cs="宋体"/>
                <w:bCs/>
                <w:color w:val="auto"/>
                <w:kern w:val="0"/>
                <w:sz w:val="24"/>
              </w:rPr>
              <w:t>同一贮存设施宜采用相同的防渗、防腐工艺（包括防渗、防腐结构或材料），防渗、防腐材料应覆盖所有可能与废物及其渗滤液、渗漏液等接触的构筑物表面；采用不同防渗、防腐工艺应分别建设贮存分区。</w:t>
            </w:r>
          </w:p>
          <w:p w14:paraId="62C6456A">
            <w:pPr>
              <w:keepNext w:val="0"/>
              <w:keepLines w:val="0"/>
              <w:pageBreakBefore w:val="0"/>
              <w:kinsoku/>
              <w:overflowPunct/>
              <w:bidi w:val="0"/>
              <w:adjustRightInd/>
              <w:snapToGrid/>
              <w:spacing w:line="360" w:lineRule="auto"/>
              <w:ind w:firstLine="480" w:firstLineChars="200"/>
              <w:rPr>
                <w:rFonts w:cs="宋体"/>
                <w:bCs/>
                <w:color w:val="auto"/>
                <w:kern w:val="0"/>
                <w:sz w:val="24"/>
              </w:rPr>
            </w:pPr>
            <w:r>
              <w:rPr>
                <w:rFonts w:cs="宋体"/>
                <w:bCs/>
                <w:color w:val="auto"/>
                <w:kern w:val="0"/>
                <w:sz w:val="24"/>
              </w:rPr>
              <w:t>贮存设施应采取技术和管理措施防止无关人员进入。</w:t>
            </w:r>
          </w:p>
          <w:p w14:paraId="3C0CB48D">
            <w:pPr>
              <w:keepNext w:val="0"/>
              <w:keepLines w:val="0"/>
              <w:pageBreakBefore w:val="0"/>
              <w:kinsoku/>
              <w:overflowPunct/>
              <w:bidi w:val="0"/>
              <w:adjustRightInd/>
              <w:snapToGrid/>
              <w:spacing w:line="360" w:lineRule="auto"/>
              <w:ind w:firstLine="480" w:firstLineChars="200"/>
              <w:rPr>
                <w:rFonts w:cs="宋体"/>
                <w:bCs/>
                <w:color w:val="auto"/>
                <w:kern w:val="0"/>
                <w:sz w:val="24"/>
              </w:rPr>
            </w:pPr>
            <w:r>
              <w:rPr>
                <w:rFonts w:cs="宋体"/>
                <w:bCs/>
                <w:color w:val="auto"/>
                <w:kern w:val="0"/>
                <w:sz w:val="24"/>
              </w:rPr>
              <w:t>贮存库内不同贮存分区之间应采取隔离措施。隔离措施可根据危险废物特性采用过道、隔板或隔墙等方式。</w:t>
            </w:r>
          </w:p>
          <w:p w14:paraId="1184E3A1">
            <w:pPr>
              <w:keepNext w:val="0"/>
              <w:keepLines w:val="0"/>
              <w:pageBreakBefore w:val="0"/>
              <w:kinsoku/>
              <w:overflowPunct/>
              <w:bidi w:val="0"/>
              <w:adjustRightInd/>
              <w:snapToGrid/>
              <w:spacing w:line="360" w:lineRule="auto"/>
              <w:ind w:firstLine="480" w:firstLineChars="200"/>
              <w:rPr>
                <w:rFonts w:hint="eastAsia" w:eastAsia="宋体" w:cs="宋体"/>
                <w:bCs/>
                <w:color w:val="auto"/>
                <w:kern w:val="0"/>
                <w:sz w:val="24"/>
                <w:lang w:eastAsia="zh-CN"/>
              </w:rPr>
            </w:pPr>
            <w:r>
              <w:rPr>
                <w:rFonts w:cs="宋体"/>
                <w:bCs/>
                <w:color w:val="auto"/>
                <w:kern w:val="0"/>
                <w:sz w:val="24"/>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1BAE3852">
            <w:pPr>
              <w:keepNext w:val="0"/>
              <w:keepLines w:val="0"/>
              <w:pageBreakBefore w:val="0"/>
              <w:kinsoku/>
              <w:overflowPunct/>
              <w:bidi w:val="0"/>
              <w:adjustRightInd/>
              <w:snapToGrid/>
              <w:spacing w:line="360" w:lineRule="auto"/>
              <w:ind w:firstLine="480" w:firstLineChars="200"/>
              <w:rPr>
                <w:rFonts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贮存点应具有固定的区域边界，并应采取与其他区域进行隔离的措施。</w:t>
            </w:r>
          </w:p>
          <w:p w14:paraId="37B79AD8">
            <w:pPr>
              <w:keepNext w:val="0"/>
              <w:keepLines w:val="0"/>
              <w:pageBreakBefore w:val="0"/>
              <w:kinsoku/>
              <w:overflowPunct/>
              <w:bidi w:val="0"/>
              <w:adjustRightInd/>
              <w:snapToGrid/>
              <w:spacing w:line="360" w:lineRule="auto"/>
              <w:ind w:firstLine="480" w:firstLineChars="200"/>
              <w:rPr>
                <w:rFonts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贮存点应采取防风、防雨、防晒和防止危险废物流失、扬散等措施。</w:t>
            </w:r>
          </w:p>
          <w:p w14:paraId="0894D482">
            <w:pPr>
              <w:keepNext w:val="0"/>
              <w:keepLines w:val="0"/>
              <w:pageBreakBefore w:val="0"/>
              <w:kinsoku/>
              <w:overflowPunct/>
              <w:bidi w:val="0"/>
              <w:adjustRightInd/>
              <w:snapToGrid/>
              <w:spacing w:line="360" w:lineRule="auto"/>
              <w:ind w:firstLine="480" w:firstLineChars="200"/>
              <w:rPr>
                <w:rFonts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贮存点贮存的危险废物应置于容器或包装物中，不应直接散堆。</w:t>
            </w:r>
          </w:p>
          <w:p w14:paraId="1EBD019F">
            <w:pPr>
              <w:keepNext w:val="0"/>
              <w:keepLines w:val="0"/>
              <w:pageBreakBefore w:val="0"/>
              <w:kinsoku/>
              <w:overflowPunct/>
              <w:bidi w:val="0"/>
              <w:adjustRightInd/>
              <w:snapToGrid/>
              <w:spacing w:line="360" w:lineRule="auto"/>
              <w:ind w:firstLine="480" w:firstLineChars="200"/>
              <w:rPr>
                <w:rFonts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贮存点应根据危险废物的形态、物理化学性质、包装形式等，采取防渗、防漏等污染防治措施或采用具有相应功能的装置。</w:t>
            </w:r>
          </w:p>
          <w:p w14:paraId="59499D1C">
            <w:pPr>
              <w:keepNext w:val="0"/>
              <w:keepLines w:val="0"/>
              <w:pageBreakBefore w:val="0"/>
              <w:kinsoku/>
              <w:overflowPunct/>
              <w:bidi w:val="0"/>
              <w:adjustRightInd/>
              <w:snapToGrid/>
              <w:spacing w:line="360" w:lineRule="auto"/>
              <w:ind w:firstLine="480" w:firstLineChars="200"/>
              <w:rPr>
                <w:color w:val="auto"/>
              </w:rPr>
            </w:pPr>
            <w:r>
              <w:rPr>
                <w:rFonts w:ascii="Times New Roman" w:hAnsi="Times New Roman" w:eastAsia="宋体" w:cs="宋体"/>
                <w:b w:val="0"/>
                <w:bCs/>
                <w:color w:val="auto"/>
                <w:kern w:val="0"/>
                <w:sz w:val="24"/>
                <w:szCs w:val="24"/>
                <w:lang w:val="en-US" w:eastAsia="zh-CN" w:bidi="ar-SA"/>
              </w:rPr>
              <w:t>贮存点应及时清运贮存的危险废物，实时贮存量不应超过3吨。</w:t>
            </w:r>
          </w:p>
          <w:p w14:paraId="08FF8697">
            <w:pPr>
              <w:keepNext w:val="0"/>
              <w:keepLines w:val="0"/>
              <w:pageBreakBefore w:val="0"/>
              <w:kinsoku/>
              <w:overflowPunct/>
              <w:bidi w:val="0"/>
              <w:adjustRightInd/>
              <w:snapToGrid/>
              <w:spacing w:line="360" w:lineRule="auto"/>
              <w:ind w:firstLine="480" w:firstLineChars="200"/>
              <w:rPr>
                <w:snapToGrid w:val="0"/>
                <w:color w:val="auto"/>
                <w:sz w:val="24"/>
              </w:rPr>
            </w:pPr>
            <w:r>
              <w:rPr>
                <w:rFonts w:cs="宋体"/>
                <w:bCs/>
                <w:color w:val="auto"/>
                <w:kern w:val="0"/>
                <w:sz w:val="24"/>
              </w:rPr>
              <w:t>危险废物贮存设施必须按照《环境保护图形标志 固体废物贮存（处置）场》（GB15562.2-1995）的规定设置警示标志</w:t>
            </w:r>
            <w:r>
              <w:rPr>
                <w:rFonts w:hint="eastAsia" w:cs="宋体"/>
                <w:bCs/>
                <w:color w:val="auto"/>
                <w:kern w:val="0"/>
                <w:sz w:val="24"/>
              </w:rPr>
              <w:t>。</w:t>
            </w:r>
          </w:p>
          <w:p w14:paraId="439A8FF3">
            <w:pPr>
              <w:keepNext w:val="0"/>
              <w:keepLines w:val="0"/>
              <w:pageBreakBefore w:val="0"/>
              <w:kinsoku/>
              <w:overflowPunct/>
              <w:bidi w:val="0"/>
              <w:adjustRightInd/>
              <w:snapToGrid/>
              <w:spacing w:line="360" w:lineRule="auto"/>
              <w:ind w:firstLine="480" w:firstLineChars="200"/>
              <w:rPr>
                <w:rFonts w:hint="eastAsia"/>
                <w:snapToGrid w:val="0"/>
                <w:color w:val="auto"/>
                <w:sz w:val="24"/>
              </w:rPr>
            </w:pPr>
            <w:r>
              <w:rPr>
                <w:snapToGrid w:val="0"/>
                <w:color w:val="auto"/>
                <w:sz w:val="24"/>
              </w:rPr>
              <w:t>②</w:t>
            </w:r>
            <w:r>
              <w:rPr>
                <w:rFonts w:ascii="Times New Roman" w:hAnsi="Times New Roman" w:eastAsia="宋体" w:cs="宋体"/>
                <w:b/>
                <w:bCs w:val="0"/>
                <w:color w:val="auto"/>
                <w:kern w:val="0"/>
                <w:sz w:val="24"/>
                <w:szCs w:val="24"/>
                <w:lang w:val="en-US" w:eastAsia="zh-CN" w:bidi="ar-SA"/>
              </w:rPr>
              <w:t>容器和包装物污染控制要求</w:t>
            </w:r>
          </w:p>
          <w:p w14:paraId="53B9244F">
            <w:pPr>
              <w:keepNext w:val="0"/>
              <w:keepLines w:val="0"/>
              <w:pageBreakBefore w:val="0"/>
              <w:widowControl/>
              <w:kinsoku/>
              <w:overflowPunct/>
              <w:bidi w:val="0"/>
              <w:adjustRightInd/>
              <w:snapToGrid/>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本项目各类危废包装均应满足《危险废物贮存污染控制标准》有关规定，具体如下：</w:t>
            </w:r>
          </w:p>
          <w:p w14:paraId="15173667">
            <w:pPr>
              <w:keepNext w:val="0"/>
              <w:keepLines w:val="0"/>
              <w:pageBreakBefore w:val="0"/>
              <w:kinsoku/>
              <w:overflowPunct/>
              <w:bidi w:val="0"/>
              <w:adjustRightInd/>
              <w:snapToGrid/>
              <w:spacing w:line="360" w:lineRule="auto"/>
              <w:ind w:firstLine="480" w:firstLineChars="200"/>
              <w:rPr>
                <w:rFonts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容器和包装物材质、内衬应与盛装的危险废物相容。</w:t>
            </w:r>
          </w:p>
          <w:p w14:paraId="73F6C909">
            <w:pPr>
              <w:keepNext w:val="0"/>
              <w:keepLines w:val="0"/>
              <w:pageBreakBefore w:val="0"/>
              <w:kinsoku/>
              <w:overflowPunct/>
              <w:bidi w:val="0"/>
              <w:adjustRightInd/>
              <w:snapToGrid/>
              <w:spacing w:line="360" w:lineRule="auto"/>
              <w:ind w:firstLine="480" w:firstLineChars="200"/>
              <w:rPr>
                <w:rFonts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针对不同类别、形态、物理化学性质的危险废物，其容器和包装物应满足相应的防渗、防漏、防腐和强度等要求。</w:t>
            </w:r>
          </w:p>
          <w:p w14:paraId="23380869">
            <w:pPr>
              <w:keepNext w:val="0"/>
              <w:keepLines w:val="0"/>
              <w:pageBreakBefore w:val="0"/>
              <w:kinsoku/>
              <w:overflowPunct/>
              <w:bidi w:val="0"/>
              <w:adjustRightInd/>
              <w:snapToGrid/>
              <w:spacing w:line="360" w:lineRule="auto"/>
              <w:ind w:firstLine="480" w:firstLineChars="200"/>
              <w:rPr>
                <w:rFonts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硬质容器和包装物及其支护结构堆叠码放时不应有明显变形，无破损泄漏。</w:t>
            </w:r>
          </w:p>
          <w:p w14:paraId="671A2E76">
            <w:pPr>
              <w:keepNext w:val="0"/>
              <w:keepLines w:val="0"/>
              <w:pageBreakBefore w:val="0"/>
              <w:kinsoku/>
              <w:overflowPunct/>
              <w:bidi w:val="0"/>
              <w:adjustRightInd/>
              <w:snapToGrid/>
              <w:spacing w:line="360" w:lineRule="auto"/>
              <w:ind w:firstLine="480" w:firstLineChars="200"/>
              <w:rPr>
                <w:rFonts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柔性容器和包装物堆叠码放时应封口严密，无破损泄漏。</w:t>
            </w:r>
          </w:p>
          <w:p w14:paraId="251EB564">
            <w:pPr>
              <w:keepNext w:val="0"/>
              <w:keepLines w:val="0"/>
              <w:pageBreakBefore w:val="0"/>
              <w:kinsoku/>
              <w:overflowPunct/>
              <w:bidi w:val="0"/>
              <w:adjustRightInd/>
              <w:snapToGrid/>
              <w:spacing w:line="360" w:lineRule="auto"/>
              <w:ind w:firstLine="480" w:firstLineChars="200"/>
              <w:rPr>
                <w:rFonts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使用容器盛装液态、半固态危险废物时，容器内部应留有适当的空间，以适应因温度变化等可能引发的收缩和膨胀，防止其导致容器渗漏或永久变形。</w:t>
            </w:r>
          </w:p>
          <w:p w14:paraId="3B2CD2F1">
            <w:pPr>
              <w:keepNext w:val="0"/>
              <w:keepLines w:val="0"/>
              <w:pageBreakBefore w:val="0"/>
              <w:kinsoku/>
              <w:overflowPunct/>
              <w:bidi w:val="0"/>
              <w:adjustRightInd/>
              <w:snapToGrid/>
              <w:spacing w:line="360" w:lineRule="auto"/>
              <w:ind w:firstLine="480" w:firstLineChars="200"/>
              <w:rPr>
                <w:rFonts w:hint="eastAsia" w:ascii="Times New Roman" w:hAnsi="Times New Roman" w:eastAsia="宋体" w:cs="宋体"/>
                <w:b w:val="0"/>
                <w:bCs/>
                <w:color w:val="auto"/>
                <w:kern w:val="0"/>
                <w:sz w:val="24"/>
                <w:szCs w:val="24"/>
                <w:lang w:val="en-US" w:eastAsia="zh-CN" w:bidi="ar-SA"/>
              </w:rPr>
            </w:pPr>
            <w:r>
              <w:rPr>
                <w:rFonts w:ascii="Times New Roman" w:hAnsi="Times New Roman" w:eastAsia="宋体" w:cs="宋体"/>
                <w:b w:val="0"/>
                <w:bCs/>
                <w:color w:val="auto"/>
                <w:kern w:val="0"/>
                <w:sz w:val="24"/>
                <w:szCs w:val="24"/>
                <w:lang w:val="en-US" w:eastAsia="zh-CN" w:bidi="ar-SA"/>
              </w:rPr>
              <w:t>容器和包装物外表面应保持清洁</w:t>
            </w:r>
            <w:r>
              <w:rPr>
                <w:rFonts w:hint="eastAsia" w:ascii="Times New Roman" w:hAnsi="Times New Roman" w:eastAsia="宋体" w:cs="宋体"/>
                <w:b w:val="0"/>
                <w:bCs/>
                <w:color w:val="auto"/>
                <w:kern w:val="0"/>
                <w:sz w:val="24"/>
                <w:szCs w:val="24"/>
                <w:lang w:val="en-US" w:eastAsia="zh-CN" w:bidi="ar-SA"/>
              </w:rPr>
              <w:t>。</w:t>
            </w:r>
          </w:p>
          <w:p w14:paraId="54E35BEA">
            <w:pPr>
              <w:keepNext w:val="0"/>
              <w:keepLines w:val="0"/>
              <w:pageBreakBefore w:val="0"/>
              <w:kinsoku/>
              <w:overflowPunct/>
              <w:bidi w:val="0"/>
              <w:adjustRightInd/>
              <w:snapToGrid/>
              <w:spacing w:line="360" w:lineRule="auto"/>
              <w:ind w:firstLine="480" w:firstLineChars="200"/>
              <w:rPr>
                <w:snapToGrid w:val="0"/>
                <w:color w:val="auto"/>
                <w:sz w:val="24"/>
              </w:rPr>
            </w:pPr>
            <w:r>
              <w:rPr>
                <w:snapToGrid w:val="0"/>
                <w:color w:val="auto"/>
                <w:sz w:val="24"/>
              </w:rPr>
              <w:t>③</w:t>
            </w:r>
            <w:r>
              <w:rPr>
                <w:rFonts w:hint="eastAsia" w:cs="宋体"/>
                <w:bCs/>
                <w:color w:val="auto"/>
                <w:kern w:val="0"/>
                <w:sz w:val="24"/>
              </w:rPr>
              <w:t>危险废物转运过程二次污染防治措施</w:t>
            </w:r>
          </w:p>
          <w:p w14:paraId="43732172">
            <w:pPr>
              <w:keepNext w:val="0"/>
              <w:keepLines w:val="0"/>
              <w:pageBreakBefore w:val="0"/>
              <w:kinsoku/>
              <w:overflowPunct/>
              <w:bidi w:val="0"/>
              <w:adjustRightInd/>
              <w:snapToGrid/>
              <w:spacing w:line="360" w:lineRule="auto"/>
              <w:ind w:firstLine="480" w:firstLineChars="200"/>
              <w:rPr>
                <w:rFonts w:hint="eastAsia"/>
                <w:snapToGrid w:val="0"/>
                <w:color w:val="auto"/>
                <w:sz w:val="24"/>
              </w:rPr>
            </w:pPr>
            <w:r>
              <w:rPr>
                <w:snapToGrid w:val="0"/>
                <w:color w:val="auto"/>
                <w:sz w:val="24"/>
              </w:rPr>
              <w:t>在危险废物的运输中执行《危险废物转移管理办法》中有关的规定和要求。建设单位应通过</w:t>
            </w:r>
            <w:r>
              <w:rPr>
                <w:rFonts w:hint="eastAsia"/>
                <w:snapToGrid w:val="0"/>
                <w:color w:val="auto"/>
                <w:sz w:val="24"/>
              </w:rPr>
              <w:t>“</w:t>
            </w:r>
            <w:r>
              <w:rPr>
                <w:snapToGrid w:val="0"/>
                <w:color w:val="auto"/>
                <w:sz w:val="24"/>
              </w:rPr>
              <w:t>安徽省固体废物管理信息系统</w:t>
            </w:r>
            <w:r>
              <w:rPr>
                <w:rFonts w:hint="eastAsia"/>
                <w:snapToGrid w:val="0"/>
                <w:color w:val="auto"/>
                <w:sz w:val="24"/>
              </w:rPr>
              <w:t>”</w:t>
            </w:r>
            <w:r>
              <w:rPr>
                <w:snapToGrid w:val="0"/>
                <w:color w:val="auto"/>
                <w:sz w:val="24"/>
              </w:rPr>
              <w:t>进行危险废物申报登记。将危险废物的实际产生、贮存、利用、处置等情况纳入生产记录，建立危险废物管理台账和企业内部产生的收集、贮存、转移等危险废物交接制度</w:t>
            </w:r>
            <w:r>
              <w:rPr>
                <w:rFonts w:hint="eastAsia"/>
                <w:snapToGrid w:val="0"/>
                <w:color w:val="auto"/>
                <w:sz w:val="24"/>
              </w:rPr>
              <w:t>。</w:t>
            </w:r>
          </w:p>
          <w:p w14:paraId="23F248CA">
            <w:pPr>
              <w:keepNext w:val="0"/>
              <w:keepLines w:val="0"/>
              <w:pageBreakBefore w:val="0"/>
              <w:kinsoku/>
              <w:overflowPunct/>
              <w:bidi w:val="0"/>
              <w:adjustRightInd/>
              <w:snapToGrid/>
              <w:spacing w:line="360" w:lineRule="auto"/>
              <w:ind w:firstLine="480" w:firstLineChars="200"/>
              <w:rPr>
                <w:snapToGrid w:val="0"/>
                <w:color w:val="auto"/>
                <w:sz w:val="24"/>
              </w:rPr>
            </w:pPr>
            <w:r>
              <w:rPr>
                <w:snapToGrid w:val="0"/>
                <w:color w:val="auto"/>
                <w:sz w:val="24"/>
              </w:rPr>
              <w:t>危险废物要根据其成分，用专门容器分类收集，装运危险废物的容器应不易破损、变形、老化，能有效地防止渗漏、扩散。</w:t>
            </w:r>
          </w:p>
          <w:p w14:paraId="219010C3">
            <w:pPr>
              <w:keepNext w:val="0"/>
              <w:keepLines w:val="0"/>
              <w:pageBreakBefore w:val="0"/>
              <w:kinsoku/>
              <w:overflowPunct/>
              <w:bidi w:val="0"/>
              <w:adjustRightInd/>
              <w:snapToGrid/>
              <w:spacing w:line="360" w:lineRule="auto"/>
              <w:ind w:firstLine="480" w:firstLineChars="200"/>
              <w:rPr>
                <w:snapToGrid w:val="0"/>
                <w:color w:val="auto"/>
                <w:sz w:val="24"/>
              </w:rPr>
            </w:pPr>
            <w:r>
              <w:rPr>
                <w:snapToGrid w:val="0"/>
                <w:color w:val="auto"/>
                <w:sz w:val="24"/>
              </w:rPr>
              <w:t>在危险废物贮存和运输过程中应避免</w:t>
            </w:r>
            <w:r>
              <w:rPr>
                <w:rFonts w:hint="eastAsia"/>
                <w:snapToGrid w:val="0"/>
                <w:color w:val="auto"/>
                <w:sz w:val="24"/>
                <w:lang w:eastAsia="zh-CN"/>
              </w:rPr>
              <w:t>泄漏</w:t>
            </w:r>
            <w:r>
              <w:rPr>
                <w:snapToGrid w:val="0"/>
                <w:color w:val="auto"/>
                <w:sz w:val="24"/>
              </w:rPr>
              <w:t>，造成二次污染。装有危险废物的容器必须贴有标签，在标签上详细标明危险废物的名称、重量、成分、特性以及发生</w:t>
            </w:r>
            <w:r>
              <w:rPr>
                <w:rFonts w:hint="eastAsia"/>
                <w:snapToGrid w:val="0"/>
                <w:color w:val="auto"/>
                <w:sz w:val="24"/>
                <w:lang w:eastAsia="zh-CN"/>
              </w:rPr>
              <w:t>泄漏</w:t>
            </w:r>
            <w:r>
              <w:rPr>
                <w:snapToGrid w:val="0"/>
                <w:color w:val="auto"/>
                <w:sz w:val="24"/>
              </w:rPr>
              <w:t>、扩散污染事故时的应急措施和补救方法。</w:t>
            </w:r>
          </w:p>
          <w:p w14:paraId="184CEF74">
            <w:pPr>
              <w:keepNext w:val="0"/>
              <w:keepLines w:val="0"/>
              <w:pageBreakBefore w:val="0"/>
              <w:kinsoku/>
              <w:overflowPunct/>
              <w:bidi w:val="0"/>
              <w:adjustRightInd/>
              <w:snapToGrid/>
              <w:spacing w:line="360" w:lineRule="auto"/>
              <w:ind w:firstLine="480" w:firstLineChars="200"/>
              <w:rPr>
                <w:rFonts w:hint="eastAsia" w:ascii="Times New Roman" w:hAnsi="Times New Roman" w:eastAsia="宋体" w:cs="宋体"/>
                <w:b w:val="0"/>
                <w:bCs/>
                <w:color w:val="auto"/>
                <w:kern w:val="0"/>
                <w:sz w:val="24"/>
                <w:szCs w:val="24"/>
                <w:lang w:val="en-US" w:eastAsia="zh-CN" w:bidi="ar-SA"/>
              </w:rPr>
            </w:pPr>
            <w:r>
              <w:rPr>
                <w:snapToGrid w:val="0"/>
                <w:color w:val="auto"/>
                <w:sz w:val="24"/>
              </w:rPr>
              <w:t>危险废物转移过程中应严格执行</w:t>
            </w:r>
            <w:r>
              <w:rPr>
                <w:rFonts w:hint="eastAsia"/>
                <w:snapToGrid w:val="0"/>
                <w:color w:val="auto"/>
                <w:sz w:val="24"/>
              </w:rPr>
              <w:t>“</w:t>
            </w:r>
            <w:r>
              <w:rPr>
                <w:snapToGrid w:val="0"/>
                <w:color w:val="auto"/>
                <w:sz w:val="24"/>
              </w:rPr>
              <w:t>危险废物转移联单</w:t>
            </w:r>
            <w:r>
              <w:rPr>
                <w:rFonts w:hint="eastAsia"/>
                <w:snapToGrid w:val="0"/>
                <w:color w:val="auto"/>
                <w:sz w:val="24"/>
              </w:rPr>
              <w:t>”</w:t>
            </w:r>
            <w:r>
              <w:rPr>
                <w:snapToGrid w:val="0"/>
                <w:color w:val="auto"/>
                <w:sz w:val="24"/>
              </w:rPr>
              <w:t>制度。建立健全危险废物管理档案，记录危险废物名称、产生时间、产生数量、处置利用方式和去向，与有回收利用能力的企业签订回收协议，建立完善的出入库台账，监控其流向。</w:t>
            </w:r>
          </w:p>
          <w:p w14:paraId="40FD87DA">
            <w:pPr>
              <w:keepNext w:val="0"/>
              <w:keepLines w:val="0"/>
              <w:pageBreakBefore w:val="0"/>
              <w:kinsoku/>
              <w:overflowPunct/>
              <w:bidi w:val="0"/>
              <w:adjustRightInd/>
              <w:snapToGrid/>
              <w:spacing w:line="360" w:lineRule="auto"/>
              <w:ind w:firstLine="480" w:firstLineChars="200"/>
              <w:rPr>
                <w:color w:val="auto"/>
                <w:kern w:val="1"/>
                <w:sz w:val="24"/>
              </w:rPr>
            </w:pPr>
            <w:r>
              <w:rPr>
                <w:rFonts w:cs="宋体"/>
                <w:bCs/>
                <w:color w:val="auto"/>
                <w:kern w:val="0"/>
                <w:sz w:val="24"/>
              </w:rPr>
              <w:t>因此，在落实如上处理措施后，营运期产生的固体废物均可实现清洁处理和处置，</w:t>
            </w:r>
            <w:r>
              <w:rPr>
                <w:rFonts w:hint="eastAsia" w:cs="宋体"/>
                <w:bCs/>
                <w:color w:val="auto"/>
                <w:kern w:val="0"/>
                <w:sz w:val="24"/>
              </w:rPr>
              <w:t>不对外环境产生明显影响。</w:t>
            </w:r>
          </w:p>
          <w:p w14:paraId="4335B010">
            <w:pPr>
              <w:keepNext w:val="0"/>
              <w:keepLines w:val="0"/>
              <w:pageBreakBefore w:val="0"/>
              <w:kinsoku/>
              <w:overflowPunct/>
              <w:bidi w:val="0"/>
              <w:adjustRightInd/>
              <w:snapToGrid/>
              <w:spacing w:line="360" w:lineRule="auto"/>
              <w:ind w:firstLine="482" w:firstLineChars="200"/>
              <w:rPr>
                <w:b/>
                <w:color w:val="auto"/>
                <w:sz w:val="24"/>
              </w:rPr>
            </w:pPr>
            <w:r>
              <w:rPr>
                <w:b/>
                <w:color w:val="auto"/>
                <w:sz w:val="24"/>
              </w:rPr>
              <w:t>五、地下水</w:t>
            </w:r>
            <w:r>
              <w:rPr>
                <w:rFonts w:hint="eastAsia"/>
                <w:b/>
                <w:color w:val="auto"/>
                <w:sz w:val="24"/>
              </w:rPr>
              <w:t>和土壤</w:t>
            </w:r>
            <w:r>
              <w:rPr>
                <w:b/>
                <w:color w:val="auto"/>
                <w:sz w:val="24"/>
              </w:rPr>
              <w:t>环境影响分析</w:t>
            </w:r>
          </w:p>
          <w:p w14:paraId="39859A8A">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针对可能对地下水造成影响的各环节，按照“考虑重点，辐射全面”的防腐防渗原则，按照《环境影响评价技术导则 地下水环境》（HJ610-2016）中提出的根据建设项目场地天然包气带防污性能、污染控制难易程度和污染物特性，防渗技术要求进行划分。本项目厂内不同区域实施分区防治，污染区划分为一般防渗区、重点防渗区。</w:t>
            </w:r>
          </w:p>
          <w:p w14:paraId="313779E6">
            <w:pPr>
              <w:keepNext w:val="0"/>
              <w:keepLines w:val="0"/>
              <w:pageBreakBefore w:val="0"/>
              <w:kinsoku/>
              <w:wordWrap w:val="0"/>
              <w:overflowPunct/>
              <w:topLinePunct/>
              <w:bidi w:val="0"/>
              <w:adjustRightInd/>
              <w:snapToGrid/>
              <w:spacing w:line="360" w:lineRule="auto"/>
              <w:ind w:firstLine="602" w:firstLineChars="250"/>
              <w:rPr>
                <w:b/>
                <w:bCs/>
                <w:color w:val="auto"/>
                <w:sz w:val="24"/>
              </w:rPr>
            </w:pPr>
            <w:r>
              <w:rPr>
                <w:rFonts w:hint="eastAsia"/>
                <w:b/>
                <w:bCs/>
                <w:color w:val="auto"/>
                <w:sz w:val="24"/>
              </w:rPr>
              <w:t>1、污染环节分析</w:t>
            </w:r>
          </w:p>
          <w:p w14:paraId="00AC19B9">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项目生产过程中使用和产生的污染物主要为危险废物泄漏及污水通过包气带中的裂隙、孔隙向地下垂直渗漏和渗透。泄漏物质在遇砂性土会较快进入地下水体，如遇粘性土，载体则沿层面做水平运动，使污染范围扩大，当遇到下渗通道时再垂向渗漏，进入地下水体。包气带的防护能力大小，直接影响着地下水的防护，包气带防护条件与包气带厚度、岩性结构、弱渗透性地层的渗透性能及厚度有关，若包气带粘性土厚度小，且分布不连续、不稳定，则地下水自然防护条件就差，渗漏就易对地下水产生污染，若包气带粘性土厚度建设项目使虽小，但分布连续，稳定，则地下水自然防护条件相对就好些，污染物对地下水影响就相对小些。</w:t>
            </w:r>
          </w:p>
          <w:p w14:paraId="4DFE1249">
            <w:pPr>
              <w:pStyle w:val="13"/>
              <w:keepNext w:val="0"/>
              <w:keepLines w:val="0"/>
              <w:pageBreakBefore w:val="0"/>
              <w:kinsoku/>
              <w:overflowPunct/>
              <w:bidi w:val="0"/>
              <w:adjustRightInd/>
              <w:snapToGrid/>
              <w:spacing w:before="0" w:after="0" w:line="360" w:lineRule="auto"/>
              <w:ind w:right="0" w:firstLine="480" w:firstLineChars="200"/>
              <w:jc w:val="left"/>
              <w:rPr>
                <w:rFonts w:hint="default" w:eastAsia="宋体"/>
                <w:color w:val="auto"/>
                <w:sz w:val="24"/>
                <w:szCs w:val="24"/>
                <w:lang w:val="en-US" w:eastAsia="zh-CN"/>
              </w:rPr>
            </w:pPr>
            <w:r>
              <w:rPr>
                <w:color w:val="auto"/>
                <w:sz w:val="24"/>
                <w:szCs w:val="24"/>
              </w:rPr>
              <w:t>本项目</w:t>
            </w:r>
            <w:r>
              <w:rPr>
                <w:rFonts w:hint="eastAsia"/>
                <w:color w:val="auto"/>
                <w:sz w:val="24"/>
                <w:szCs w:val="24"/>
                <w:lang w:eastAsia="zh-CN"/>
              </w:rPr>
              <w:t>土壤和地下水污染源主要为</w:t>
            </w:r>
            <w:r>
              <w:rPr>
                <w:rFonts w:hint="eastAsia"/>
                <w:color w:val="auto"/>
                <w:sz w:val="24"/>
                <w:szCs w:val="24"/>
                <w:lang w:val="en-US" w:eastAsia="zh-CN"/>
              </w:rPr>
              <w:t>化学品库</w:t>
            </w:r>
            <w:r>
              <w:rPr>
                <w:rFonts w:hint="eastAsia"/>
                <w:color w:val="auto"/>
                <w:sz w:val="24"/>
                <w:szCs w:val="24"/>
                <w:lang w:eastAsia="zh-CN"/>
              </w:rPr>
              <w:t>（存放</w:t>
            </w:r>
            <w:r>
              <w:rPr>
                <w:rFonts w:hint="eastAsia"/>
                <w:color w:val="auto"/>
                <w:sz w:val="24"/>
                <w:lang w:eastAsia="zh-CN"/>
              </w:rPr>
              <w:t>润滑油</w:t>
            </w:r>
            <w:r>
              <w:rPr>
                <w:rFonts w:hint="eastAsia"/>
                <w:color w:val="auto"/>
                <w:sz w:val="24"/>
                <w:szCs w:val="24"/>
                <w:lang w:eastAsia="zh-CN"/>
              </w:rPr>
              <w:t>）、循环水沉淀池（</w:t>
            </w:r>
            <w:r>
              <w:rPr>
                <w:rFonts w:hint="eastAsia"/>
                <w:color w:val="auto"/>
                <w:sz w:val="24"/>
                <w:szCs w:val="24"/>
                <w:lang w:val="en-US" w:eastAsia="zh-CN"/>
              </w:rPr>
              <w:t>pH＞7碱性喷淋塔循环水</w:t>
            </w:r>
            <w:r>
              <w:rPr>
                <w:rFonts w:hint="eastAsia"/>
                <w:color w:val="auto"/>
                <w:sz w:val="24"/>
                <w:szCs w:val="24"/>
                <w:lang w:eastAsia="zh-CN"/>
              </w:rPr>
              <w:t>）、</w:t>
            </w:r>
            <w:r>
              <w:rPr>
                <w:color w:val="auto"/>
                <w:sz w:val="24"/>
                <w:szCs w:val="24"/>
              </w:rPr>
              <w:t>危废暂存</w:t>
            </w:r>
            <w:r>
              <w:rPr>
                <w:rFonts w:hint="eastAsia"/>
                <w:color w:val="auto"/>
                <w:sz w:val="24"/>
                <w:szCs w:val="24"/>
                <w:lang w:eastAsia="zh-CN"/>
              </w:rPr>
              <w:t>间等，存在污染途径为</w:t>
            </w:r>
            <w:r>
              <w:rPr>
                <w:rFonts w:hint="eastAsia"/>
                <w:color w:val="auto"/>
                <w:sz w:val="24"/>
                <w:lang w:eastAsia="zh-CN"/>
              </w:rPr>
              <w:t>润滑油</w:t>
            </w:r>
            <w:r>
              <w:rPr>
                <w:rFonts w:hint="eastAsia"/>
                <w:color w:val="auto"/>
                <w:sz w:val="24"/>
                <w:szCs w:val="24"/>
                <w:lang w:eastAsia="zh-CN"/>
              </w:rPr>
              <w:t>、废</w:t>
            </w:r>
            <w:r>
              <w:rPr>
                <w:rFonts w:hint="eastAsia"/>
                <w:color w:val="auto"/>
                <w:sz w:val="24"/>
                <w:lang w:eastAsia="zh-CN"/>
              </w:rPr>
              <w:t>润滑</w:t>
            </w:r>
            <w:r>
              <w:rPr>
                <w:rFonts w:hint="eastAsia"/>
                <w:color w:val="auto"/>
                <w:sz w:val="24"/>
                <w:szCs w:val="24"/>
                <w:lang w:eastAsia="zh-CN"/>
              </w:rPr>
              <w:t>油、循环水沉淀池碱性废水发生泄漏、渗漏或流失后通过地面漫流、垂直入渗等方式对土壤和地下水造成污染。</w:t>
            </w:r>
          </w:p>
          <w:p w14:paraId="4F76EC81">
            <w:pPr>
              <w:pStyle w:val="13"/>
              <w:keepNext w:val="0"/>
              <w:keepLines w:val="0"/>
              <w:pageBreakBefore w:val="0"/>
              <w:kinsoku/>
              <w:overflowPunct/>
              <w:bidi w:val="0"/>
              <w:adjustRightInd/>
              <w:snapToGrid/>
              <w:spacing w:before="0" w:after="0" w:line="360" w:lineRule="auto"/>
              <w:ind w:right="0" w:firstLine="480" w:firstLineChars="200"/>
              <w:jc w:val="left"/>
              <w:rPr>
                <w:rFonts w:hint="eastAsia"/>
                <w:color w:val="auto"/>
                <w:sz w:val="24"/>
                <w:szCs w:val="24"/>
                <w:lang w:eastAsia="zh-CN"/>
              </w:rPr>
            </w:pPr>
            <w:r>
              <w:rPr>
                <w:rFonts w:hint="eastAsia"/>
                <w:color w:val="auto"/>
                <w:sz w:val="24"/>
                <w:szCs w:val="24"/>
                <w:lang w:eastAsia="zh-CN"/>
              </w:rPr>
              <w:t>本项目排放的大气污染物主要为颗粒物、二氧化硫、氮氧化物，大气沉降途径不会造成土壤污染。</w:t>
            </w:r>
          </w:p>
          <w:p w14:paraId="37CEFF1B">
            <w:pPr>
              <w:keepNext w:val="0"/>
              <w:keepLines w:val="0"/>
              <w:pageBreakBefore w:val="0"/>
              <w:kinsoku/>
              <w:wordWrap w:val="0"/>
              <w:overflowPunct/>
              <w:topLinePunct/>
              <w:bidi w:val="0"/>
              <w:adjustRightInd/>
              <w:snapToGrid/>
              <w:spacing w:line="360" w:lineRule="auto"/>
              <w:ind w:firstLine="602" w:firstLineChars="250"/>
              <w:rPr>
                <w:b/>
                <w:bCs/>
                <w:color w:val="auto"/>
                <w:sz w:val="24"/>
              </w:rPr>
            </w:pPr>
            <w:r>
              <w:rPr>
                <w:rFonts w:hint="eastAsia"/>
                <w:b/>
                <w:bCs/>
                <w:color w:val="auto"/>
                <w:sz w:val="24"/>
              </w:rPr>
              <w:t>2、污染防治措施</w:t>
            </w:r>
          </w:p>
          <w:p w14:paraId="20ACC40F">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（1）源头控制</w:t>
            </w:r>
          </w:p>
          <w:p w14:paraId="2E0C8818">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①优先选择先进、成熟、可靠的工艺技术和较清洁的原辅材料，并对产生的各类废物进行合理的回用和治理，尽可能从源头上减少污染物的产生和排放。</w:t>
            </w:r>
          </w:p>
          <w:p w14:paraId="4FAAF4F1">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②严格按照国家相关规范要求，采取相应措施，防止和降低污染物的跑、冒、滴、漏，将污染物泄漏的环境风险降到最低程度。</w:t>
            </w:r>
          </w:p>
          <w:p w14:paraId="743C8C6B">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③堆放各种危险废物临时存放场所要按照国家相关规范要求，采取严格的防泄漏、防溢流、防腐蚀等措施，严格危险化学品和危险废物的管理。</w:t>
            </w:r>
          </w:p>
          <w:p w14:paraId="3571BF3A">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④对可能泄漏有害介质和污染物的设备和管道铺设尽量采用“可视化”原则，即管道尽可能地上铺设，做到污染物“早发现、早处理”，以减少由于埋地管道泄漏而可能造成的地下水污染。</w:t>
            </w:r>
          </w:p>
          <w:p w14:paraId="09EB03E2">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（2）分区防治措施</w:t>
            </w:r>
          </w:p>
          <w:p w14:paraId="55F33C3D">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根据项目各功能单元是否可能对地下水造成污染及其风险程度，将项目划分为重点防渗区、一般防渗区和简单防渗区。重点防渗区是可能会泄漏污染物对地下水造成污染，泄漏不能及时发现和处理，需要重点防治或者需要重点保护的区域，主要是地下或半地下工程，包括危废暂存间</w:t>
            </w:r>
            <w:r>
              <w:rPr>
                <w:rFonts w:hint="eastAsia"/>
                <w:color w:val="auto"/>
                <w:sz w:val="24"/>
                <w:lang w:eastAsia="zh-CN"/>
              </w:rPr>
              <w:t>、原料间（存放润滑油）、循环水沉淀池</w:t>
            </w:r>
            <w:r>
              <w:rPr>
                <w:rFonts w:hint="eastAsia"/>
                <w:color w:val="auto"/>
                <w:sz w:val="24"/>
              </w:rPr>
              <w:t>；一般防渗区是可能会对地下水造成污染，但危害性或风险程度相对较低的区域，包括生产区、原料库、成品库、一般固废暂存间；简单防渗区为不会对地下水造成污染的区域，一般为非生产区域。</w:t>
            </w:r>
          </w:p>
          <w:p w14:paraId="7978618A">
            <w:pPr>
              <w:keepNext w:val="0"/>
              <w:keepLines w:val="0"/>
              <w:pageBreakBefore w:val="0"/>
              <w:kinsoku/>
              <w:wordWrap w:val="0"/>
              <w:overflowPunct/>
              <w:topLinePunct/>
              <w:bidi w:val="0"/>
              <w:adjustRightInd/>
              <w:snapToGrid/>
              <w:spacing w:line="360" w:lineRule="auto"/>
              <w:ind w:firstLine="600" w:firstLineChars="250"/>
              <w:rPr>
                <w:color w:val="auto"/>
                <w:sz w:val="24"/>
              </w:rPr>
            </w:pPr>
            <w:r>
              <w:rPr>
                <w:rFonts w:hint="eastAsia"/>
                <w:color w:val="auto"/>
                <w:sz w:val="24"/>
              </w:rPr>
              <w:t>针对可能对地下水造成影响的各环节，按照“考虑重点，辐射全面”的防腐防渗原则，本项目防腐、防渗等防止地下水、土壤污染预防措施见下表。</w:t>
            </w:r>
          </w:p>
          <w:p w14:paraId="42FE78D7">
            <w:pPr>
              <w:pStyle w:val="4"/>
              <w:keepNext w:val="0"/>
              <w:keepLines w:val="0"/>
              <w:pageBreakBefore w:val="0"/>
              <w:numPr>
                <w:ilvl w:val="2"/>
                <w:numId w:val="0"/>
              </w:numPr>
              <w:tabs>
                <w:tab w:val="left" w:pos="720"/>
              </w:tabs>
              <w:kinsoku/>
              <w:overflowPunct/>
              <w:bidi w:val="0"/>
              <w:adjustRightInd/>
              <w:snapToGrid/>
              <w:spacing w:line="360" w:lineRule="auto"/>
              <w:ind w:left="240" w:leftChars="100"/>
              <w:jc w:val="center"/>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表4-20 分区防渗划分一览表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935"/>
              <w:gridCol w:w="5743"/>
            </w:tblGrid>
            <w:tr w14:paraId="73B2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7ED8F39D">
                  <w:pPr>
                    <w:keepNext w:val="0"/>
                    <w:keepLines w:val="0"/>
                    <w:pageBreakBefore w:val="0"/>
                    <w:kinsoku/>
                    <w:overflowPunct/>
                    <w:bidi w:val="0"/>
                    <w:adjustRightInd/>
                    <w:snapToGrid/>
                    <w:jc w:val="center"/>
                    <w:rPr>
                      <w:b/>
                      <w:bCs/>
                      <w:color w:val="auto"/>
                      <w:sz w:val="21"/>
                      <w:szCs w:val="21"/>
                    </w:rPr>
                  </w:pPr>
                  <w:r>
                    <w:rPr>
                      <w:rFonts w:hint="eastAsia"/>
                      <w:b/>
                      <w:bCs/>
                      <w:color w:val="auto"/>
                      <w:sz w:val="21"/>
                      <w:szCs w:val="21"/>
                    </w:rPr>
                    <w:t>防渗分区</w:t>
                  </w:r>
                </w:p>
              </w:tc>
              <w:tc>
                <w:tcPr>
                  <w:tcW w:w="1100" w:type="pct"/>
                  <w:vAlign w:val="center"/>
                </w:tcPr>
                <w:p w14:paraId="7F082AC4">
                  <w:pPr>
                    <w:keepNext w:val="0"/>
                    <w:keepLines w:val="0"/>
                    <w:pageBreakBefore w:val="0"/>
                    <w:kinsoku/>
                    <w:overflowPunct/>
                    <w:bidi w:val="0"/>
                    <w:adjustRightInd/>
                    <w:snapToGrid/>
                    <w:jc w:val="center"/>
                    <w:rPr>
                      <w:b/>
                      <w:bCs/>
                      <w:color w:val="auto"/>
                      <w:sz w:val="21"/>
                      <w:szCs w:val="21"/>
                    </w:rPr>
                  </w:pPr>
                  <w:r>
                    <w:rPr>
                      <w:rFonts w:hint="eastAsia"/>
                      <w:b/>
                      <w:bCs/>
                      <w:color w:val="auto"/>
                      <w:sz w:val="21"/>
                      <w:szCs w:val="21"/>
                    </w:rPr>
                    <w:t>厂内分区</w:t>
                  </w:r>
                </w:p>
              </w:tc>
              <w:tc>
                <w:tcPr>
                  <w:tcW w:w="3265" w:type="pct"/>
                  <w:vAlign w:val="center"/>
                </w:tcPr>
                <w:p w14:paraId="4EAC7A74">
                  <w:pPr>
                    <w:keepNext w:val="0"/>
                    <w:keepLines w:val="0"/>
                    <w:pageBreakBefore w:val="0"/>
                    <w:kinsoku/>
                    <w:overflowPunct/>
                    <w:bidi w:val="0"/>
                    <w:adjustRightInd/>
                    <w:snapToGrid/>
                    <w:jc w:val="center"/>
                    <w:rPr>
                      <w:b/>
                      <w:bCs/>
                      <w:color w:val="auto"/>
                      <w:sz w:val="21"/>
                      <w:szCs w:val="21"/>
                    </w:rPr>
                  </w:pPr>
                  <w:r>
                    <w:rPr>
                      <w:rFonts w:hint="eastAsia"/>
                      <w:b/>
                      <w:bCs/>
                      <w:color w:val="auto"/>
                      <w:sz w:val="21"/>
                      <w:szCs w:val="21"/>
                    </w:rPr>
                    <w:t>需采取措施</w:t>
                  </w:r>
                </w:p>
              </w:tc>
            </w:tr>
            <w:tr w14:paraId="1210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1983E9E5">
                  <w:pPr>
                    <w:keepNext w:val="0"/>
                    <w:keepLines w:val="0"/>
                    <w:pageBreakBefore w:val="0"/>
                    <w:kinsoku/>
                    <w:overflowPunct/>
                    <w:bidi w:val="0"/>
                    <w:adjustRightInd/>
                    <w:snapToGrid/>
                    <w:jc w:val="center"/>
                    <w:rPr>
                      <w:color w:val="auto"/>
                      <w:sz w:val="21"/>
                      <w:szCs w:val="21"/>
                    </w:rPr>
                  </w:pPr>
                  <w:r>
                    <w:rPr>
                      <w:rFonts w:hint="eastAsia"/>
                      <w:color w:val="auto"/>
                      <w:sz w:val="21"/>
                      <w:szCs w:val="21"/>
                    </w:rPr>
                    <w:t>重点防渗区</w:t>
                  </w:r>
                </w:p>
              </w:tc>
              <w:tc>
                <w:tcPr>
                  <w:tcW w:w="1100" w:type="pct"/>
                  <w:vAlign w:val="center"/>
                </w:tcPr>
                <w:p w14:paraId="1EB969BE">
                  <w:pPr>
                    <w:keepNext w:val="0"/>
                    <w:keepLines w:val="0"/>
                    <w:pageBreakBefore w:val="0"/>
                    <w:kinsoku/>
                    <w:overflowPunct/>
                    <w:bidi w:val="0"/>
                    <w:adjustRightInd/>
                    <w:snapToGrid/>
                    <w:jc w:val="center"/>
                    <w:rPr>
                      <w:color w:val="auto"/>
                      <w:sz w:val="21"/>
                      <w:szCs w:val="21"/>
                    </w:rPr>
                  </w:pPr>
                  <w:r>
                    <w:rPr>
                      <w:rFonts w:hint="eastAsia"/>
                      <w:color w:val="auto"/>
                      <w:sz w:val="21"/>
                      <w:szCs w:val="21"/>
                    </w:rPr>
                    <w:t>危废暂存间</w:t>
                  </w:r>
                  <w:r>
                    <w:rPr>
                      <w:rFonts w:hint="eastAsia"/>
                      <w:color w:val="auto"/>
                      <w:sz w:val="21"/>
                      <w:szCs w:val="21"/>
                      <w:lang w:eastAsia="zh-CN"/>
                    </w:rPr>
                    <w:t>、</w:t>
                  </w:r>
                  <w:r>
                    <w:rPr>
                      <w:rFonts w:hint="eastAsia"/>
                      <w:color w:val="auto"/>
                      <w:sz w:val="21"/>
                      <w:szCs w:val="21"/>
                      <w:lang w:val="en-US" w:eastAsia="zh-CN"/>
                    </w:rPr>
                    <w:t>化学品库</w:t>
                  </w:r>
                  <w:r>
                    <w:rPr>
                      <w:rFonts w:hint="eastAsia"/>
                      <w:color w:val="auto"/>
                      <w:sz w:val="21"/>
                      <w:szCs w:val="21"/>
                      <w:lang w:eastAsia="zh-CN"/>
                    </w:rPr>
                    <w:t>（存放润滑油）、沉淀池</w:t>
                  </w:r>
                </w:p>
              </w:tc>
              <w:tc>
                <w:tcPr>
                  <w:tcW w:w="3265" w:type="pct"/>
                  <w:vAlign w:val="center"/>
                </w:tcPr>
                <w:p w14:paraId="2597B003">
                  <w:pPr>
                    <w:keepNext w:val="0"/>
                    <w:keepLines w:val="0"/>
                    <w:pageBreakBefore w:val="0"/>
                    <w:kinsoku/>
                    <w:overflowPunct/>
                    <w:bidi w:val="0"/>
                    <w:adjustRightInd/>
                    <w:snapToGrid/>
                    <w:jc w:val="center"/>
                    <w:rPr>
                      <w:color w:val="auto"/>
                      <w:sz w:val="21"/>
                      <w:szCs w:val="21"/>
                    </w:rPr>
                  </w:pPr>
                  <w:r>
                    <w:rPr>
                      <w:rFonts w:hint="eastAsia"/>
                      <w:color w:val="auto"/>
                      <w:sz w:val="21"/>
                      <w:szCs w:val="21"/>
                    </w:rPr>
                    <w:t>基础必须防渗，防渗层为至少1m厚黏土层（渗透系数≤10</w:t>
                  </w:r>
                  <w:r>
                    <w:rPr>
                      <w:rFonts w:hint="eastAsia"/>
                      <w:color w:val="auto"/>
                      <w:sz w:val="21"/>
                      <w:szCs w:val="21"/>
                      <w:vertAlign w:val="superscript"/>
                    </w:rPr>
                    <w:t>-7</w:t>
                  </w:r>
                  <w:r>
                    <w:rPr>
                      <w:rFonts w:hint="eastAsia"/>
                      <w:color w:val="auto"/>
                      <w:sz w:val="21"/>
                      <w:szCs w:val="21"/>
                    </w:rPr>
                    <w:t>cm/s），或2mm厚高密度聚乙烯，或至少2mm厚的其他人工材料，渗透系数≤10</w:t>
                  </w:r>
                  <w:r>
                    <w:rPr>
                      <w:rFonts w:hint="eastAsia"/>
                      <w:color w:val="auto"/>
                      <w:sz w:val="21"/>
                      <w:szCs w:val="21"/>
                      <w:vertAlign w:val="superscript"/>
                    </w:rPr>
                    <w:t>-7</w:t>
                  </w:r>
                  <w:r>
                    <w:rPr>
                      <w:rFonts w:hint="eastAsia"/>
                      <w:color w:val="auto"/>
                      <w:sz w:val="21"/>
                      <w:szCs w:val="21"/>
                    </w:rPr>
                    <w:t>cm/s，或参照GB18597执行</w:t>
                  </w:r>
                </w:p>
              </w:tc>
            </w:tr>
            <w:tr w14:paraId="51F6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0F8B9E54">
                  <w:pPr>
                    <w:keepNext w:val="0"/>
                    <w:keepLines w:val="0"/>
                    <w:pageBreakBefore w:val="0"/>
                    <w:kinsoku/>
                    <w:overflowPunct/>
                    <w:bidi w:val="0"/>
                    <w:adjustRightInd/>
                    <w:snapToGrid/>
                    <w:jc w:val="center"/>
                    <w:rPr>
                      <w:color w:val="auto"/>
                      <w:sz w:val="21"/>
                      <w:szCs w:val="21"/>
                    </w:rPr>
                  </w:pPr>
                  <w:r>
                    <w:rPr>
                      <w:rFonts w:hint="eastAsia"/>
                      <w:color w:val="auto"/>
                      <w:sz w:val="21"/>
                      <w:szCs w:val="21"/>
                    </w:rPr>
                    <w:t>一般防渗区</w:t>
                  </w:r>
                </w:p>
              </w:tc>
              <w:tc>
                <w:tcPr>
                  <w:tcW w:w="1100" w:type="pct"/>
                  <w:vAlign w:val="center"/>
                </w:tcPr>
                <w:p w14:paraId="44A128D5">
                  <w:pPr>
                    <w:keepNext w:val="0"/>
                    <w:keepLines w:val="0"/>
                    <w:pageBreakBefore w:val="0"/>
                    <w:kinsoku/>
                    <w:overflowPunct/>
                    <w:bidi w:val="0"/>
                    <w:adjustRightInd/>
                    <w:snapToGrid/>
                    <w:jc w:val="center"/>
                    <w:rPr>
                      <w:rFonts w:hint="eastAsia" w:eastAsia="宋体"/>
                      <w:color w:val="auto"/>
                      <w:sz w:val="21"/>
                      <w:szCs w:val="21"/>
                      <w:lang w:val="en-US" w:eastAsia="zh-CN"/>
                    </w:rPr>
                  </w:pPr>
                  <w:r>
                    <w:rPr>
                      <w:rFonts w:hint="eastAsia"/>
                      <w:color w:val="auto"/>
                      <w:sz w:val="21"/>
                      <w:szCs w:val="21"/>
                    </w:rPr>
                    <w:t>生产车间、一般固废</w:t>
                  </w:r>
                  <w:r>
                    <w:rPr>
                      <w:rFonts w:hint="eastAsia"/>
                      <w:color w:val="auto"/>
                      <w:sz w:val="21"/>
                      <w:szCs w:val="21"/>
                      <w:lang w:eastAsia="zh-CN"/>
                    </w:rPr>
                    <w:t>间</w:t>
                  </w:r>
                </w:p>
              </w:tc>
              <w:tc>
                <w:tcPr>
                  <w:tcW w:w="3265" w:type="pct"/>
                  <w:vAlign w:val="center"/>
                </w:tcPr>
                <w:p w14:paraId="11E83778">
                  <w:pPr>
                    <w:keepNext w:val="0"/>
                    <w:keepLines w:val="0"/>
                    <w:pageBreakBefore w:val="0"/>
                    <w:kinsoku/>
                    <w:overflowPunct/>
                    <w:bidi w:val="0"/>
                    <w:adjustRightInd/>
                    <w:snapToGrid/>
                    <w:jc w:val="center"/>
                    <w:rPr>
                      <w:color w:val="auto"/>
                      <w:sz w:val="21"/>
                      <w:szCs w:val="21"/>
                    </w:rPr>
                  </w:pPr>
                  <w:r>
                    <w:rPr>
                      <w:rFonts w:hint="eastAsia"/>
                      <w:color w:val="auto"/>
                      <w:sz w:val="21"/>
                      <w:szCs w:val="21"/>
                    </w:rPr>
                    <w:t>地面防渗需满足：等效黏土防渗层Mb≥1.5m，K≤1×10</w:t>
                  </w:r>
                  <w:r>
                    <w:rPr>
                      <w:rFonts w:hint="eastAsia"/>
                      <w:color w:val="auto"/>
                      <w:sz w:val="21"/>
                      <w:szCs w:val="21"/>
                      <w:vertAlign w:val="superscript"/>
                    </w:rPr>
                    <w:t>-7</w:t>
                  </w:r>
                  <w:r>
                    <w:rPr>
                      <w:rFonts w:hint="eastAsia"/>
                      <w:color w:val="auto"/>
                      <w:sz w:val="21"/>
                      <w:szCs w:val="21"/>
                    </w:rPr>
                    <w:t>cm/s，或参照GB16889执行</w:t>
                  </w:r>
                </w:p>
              </w:tc>
            </w:tr>
          </w:tbl>
          <w:p w14:paraId="276CB612">
            <w:pPr>
              <w:keepNext w:val="0"/>
              <w:keepLines w:val="0"/>
              <w:pageBreakBefore w:val="0"/>
              <w:kinsoku/>
              <w:overflowPunct/>
              <w:bidi w:val="0"/>
              <w:adjustRightInd/>
              <w:snapToGrid/>
              <w:spacing w:line="360" w:lineRule="auto"/>
              <w:ind w:firstLine="480" w:firstLineChars="200"/>
              <w:rPr>
                <w:color w:val="auto"/>
                <w:kern w:val="0"/>
                <w:sz w:val="24"/>
                <w:szCs w:val="20"/>
              </w:rPr>
            </w:pPr>
            <w:r>
              <w:rPr>
                <w:rFonts w:hint="eastAsia"/>
                <w:color w:val="auto"/>
                <w:kern w:val="0"/>
                <w:sz w:val="24"/>
                <w:szCs w:val="20"/>
              </w:rPr>
              <w:t>综上分析，项目采取上述的分区防渗措施后，正常运营状况下可以有效防止地下水、土壤污染。</w:t>
            </w:r>
          </w:p>
          <w:p w14:paraId="4F98F263">
            <w:pPr>
              <w:keepNext w:val="0"/>
              <w:keepLines w:val="0"/>
              <w:pageBreakBefore w:val="0"/>
              <w:kinsoku/>
              <w:overflowPunct/>
              <w:bidi w:val="0"/>
              <w:adjustRightInd/>
              <w:snapToGrid/>
              <w:spacing w:line="360" w:lineRule="auto"/>
              <w:ind w:firstLine="482" w:firstLineChars="200"/>
              <w:rPr>
                <w:b/>
                <w:bCs/>
                <w:color w:val="auto"/>
                <w:sz w:val="24"/>
              </w:rPr>
            </w:pPr>
            <w:r>
              <w:rPr>
                <w:rFonts w:hint="eastAsia"/>
                <w:b/>
                <w:bCs/>
                <w:color w:val="auto"/>
                <w:sz w:val="24"/>
              </w:rPr>
              <w:t>六</w:t>
            </w:r>
            <w:r>
              <w:rPr>
                <w:b/>
                <w:bCs/>
                <w:color w:val="auto"/>
                <w:sz w:val="24"/>
              </w:rPr>
              <w:t>、环境风险</w:t>
            </w:r>
          </w:p>
          <w:p w14:paraId="5ED879C3">
            <w:pPr>
              <w:keepNext w:val="0"/>
              <w:keepLines w:val="0"/>
              <w:pageBreakBefore w:val="0"/>
              <w:widowControl/>
              <w:kinsoku/>
              <w:overflowPunct/>
              <w:bidi w:val="0"/>
              <w:adjustRightInd/>
              <w:snapToGrid/>
              <w:spacing w:line="360" w:lineRule="auto"/>
              <w:ind w:left="115" w:leftChars="48" w:right="120" w:firstLine="424" w:firstLineChars="177"/>
              <w:rPr>
                <w:color w:val="auto"/>
                <w:kern w:val="0"/>
                <w:sz w:val="24"/>
              </w:rPr>
            </w:pPr>
            <w:r>
              <w:rPr>
                <w:color w:val="auto"/>
                <w:kern w:val="0"/>
                <w:sz w:val="24"/>
              </w:rPr>
              <w:t>环境风险评价的目的是分析和预测建设项目存在的潜在危险、有害因素、建设项目的建设和运行期间可能发生的突发性事件或事故（一般不包括人为破坏及自然灾害）引起有毒有害和易燃易爆等物质泄漏所造成的人身安全与环境影响和损害程度，并提出合理可行的防范、应急与减缓措施，以使建设项目事故率、损失和环境影响达到可接受的水平。</w:t>
            </w:r>
          </w:p>
          <w:p w14:paraId="6DFDB789">
            <w:pPr>
              <w:keepNext w:val="0"/>
              <w:keepLines w:val="0"/>
              <w:pageBreakBefore w:val="0"/>
              <w:widowControl/>
              <w:kinsoku/>
              <w:overflowPunct/>
              <w:bidi w:val="0"/>
              <w:adjustRightInd/>
              <w:snapToGrid/>
              <w:spacing w:line="360" w:lineRule="auto"/>
              <w:ind w:left="115" w:leftChars="48" w:right="120" w:firstLine="426" w:firstLineChars="177"/>
              <w:rPr>
                <w:b/>
                <w:color w:val="auto"/>
                <w:kern w:val="0"/>
                <w:sz w:val="24"/>
              </w:rPr>
            </w:pPr>
            <w:r>
              <w:rPr>
                <w:b/>
                <w:color w:val="auto"/>
                <w:kern w:val="0"/>
                <w:sz w:val="24"/>
              </w:rPr>
              <w:t>1、评价依据</w:t>
            </w:r>
          </w:p>
          <w:p w14:paraId="0889CA53">
            <w:pPr>
              <w:keepNext w:val="0"/>
              <w:keepLines w:val="0"/>
              <w:pageBreakBefore w:val="0"/>
              <w:widowControl/>
              <w:kinsoku/>
              <w:overflowPunct/>
              <w:bidi w:val="0"/>
              <w:adjustRightInd/>
              <w:snapToGrid/>
              <w:spacing w:line="360" w:lineRule="auto"/>
              <w:ind w:left="115" w:leftChars="48" w:right="120" w:firstLine="424" w:firstLineChars="177"/>
              <w:rPr>
                <w:b/>
                <w:bCs/>
                <w:color w:val="auto"/>
                <w:kern w:val="0"/>
                <w:sz w:val="24"/>
              </w:rPr>
            </w:pPr>
            <w:r>
              <w:rPr>
                <w:color w:val="auto"/>
                <w:kern w:val="0"/>
                <w:sz w:val="24"/>
              </w:rPr>
              <w:t>环境风险评价的目的是分析和预测建设项目存在的潜在危险、有害因素、建设项目的建设和运行期间可能发生的突发性事件或事故（一般不包括人为破坏及自然灾害）引起有毒有害和易燃易爆等物质泄漏所造成的人身安全与环境影响和损害程度，并提出合理可行的防范、应急与减缓措施，以使建设项目事故率、损失和环境影响达到可接受的水平。</w:t>
            </w:r>
          </w:p>
          <w:p w14:paraId="15F23903">
            <w:pPr>
              <w:keepNext w:val="0"/>
              <w:keepLines w:val="0"/>
              <w:pageBreakBefore w:val="0"/>
              <w:widowControl/>
              <w:kinsoku/>
              <w:overflowPunct/>
              <w:bidi w:val="0"/>
              <w:adjustRightInd/>
              <w:snapToGrid/>
              <w:spacing w:line="360" w:lineRule="auto"/>
              <w:ind w:left="115" w:leftChars="48" w:right="120" w:firstLine="426" w:firstLineChars="177"/>
              <w:rPr>
                <w:b/>
                <w:bCs/>
                <w:color w:val="auto"/>
                <w:kern w:val="0"/>
                <w:sz w:val="24"/>
              </w:rPr>
            </w:pPr>
            <w:r>
              <w:rPr>
                <w:b/>
                <w:bCs/>
                <w:color w:val="auto"/>
                <w:kern w:val="0"/>
                <w:sz w:val="24"/>
              </w:rPr>
              <w:t>（1）风险调查</w:t>
            </w:r>
          </w:p>
          <w:p w14:paraId="3917C693">
            <w:pPr>
              <w:keepNext w:val="0"/>
              <w:keepLines w:val="0"/>
              <w:pageBreakBefore w:val="0"/>
              <w:widowControl/>
              <w:kinsoku/>
              <w:overflowPunct/>
              <w:bidi w:val="0"/>
              <w:adjustRightInd/>
              <w:snapToGrid/>
              <w:spacing w:line="360" w:lineRule="auto"/>
              <w:ind w:left="115" w:leftChars="48" w:right="120" w:firstLine="424" w:firstLineChars="177"/>
              <w:rPr>
                <w:color w:val="auto"/>
                <w:kern w:val="0"/>
                <w:sz w:val="24"/>
              </w:rPr>
            </w:pPr>
            <w:r>
              <w:rPr>
                <w:color w:val="auto"/>
                <w:kern w:val="0"/>
                <w:sz w:val="24"/>
              </w:rPr>
              <w:t>经查询《建设项目环境风险评价技术导则》（HJ169-2018）附录B表B.1、《化学品分类和标签规范 第18部分：急性毒性》（GB 30000.18-2013），本项目所使用的原辅材料中</w:t>
            </w:r>
            <w:r>
              <w:rPr>
                <w:rFonts w:hint="eastAsia"/>
                <w:color w:val="auto"/>
                <w:kern w:val="0"/>
                <w:sz w:val="24"/>
              </w:rPr>
              <w:t>润滑油</w:t>
            </w:r>
            <w:r>
              <w:rPr>
                <w:rFonts w:hint="eastAsia"/>
                <w:color w:val="auto"/>
                <w:kern w:val="0"/>
                <w:sz w:val="24"/>
                <w:lang w:eastAsia="zh-CN"/>
              </w:rPr>
              <w:t>、</w:t>
            </w:r>
            <w:r>
              <w:rPr>
                <w:rFonts w:hint="eastAsia"/>
                <w:color w:val="auto"/>
                <w:kern w:val="0"/>
                <w:sz w:val="24"/>
                <w:lang w:val="en-US" w:eastAsia="zh-CN"/>
              </w:rPr>
              <w:t>废润滑油</w:t>
            </w:r>
            <w:r>
              <w:rPr>
                <w:color w:val="auto"/>
                <w:sz w:val="24"/>
              </w:rPr>
              <w:t>属于健康危险急性毒性物质</w:t>
            </w:r>
            <w:r>
              <w:rPr>
                <w:color w:val="auto"/>
                <w:kern w:val="0"/>
                <w:sz w:val="24"/>
              </w:rPr>
              <w:t>。</w:t>
            </w:r>
          </w:p>
          <w:p w14:paraId="07A6AD9B">
            <w:pPr>
              <w:keepNext w:val="0"/>
              <w:keepLines w:val="0"/>
              <w:pageBreakBefore w:val="0"/>
              <w:widowControl/>
              <w:kinsoku/>
              <w:overflowPunct/>
              <w:bidi w:val="0"/>
              <w:adjustRightInd/>
              <w:snapToGrid/>
              <w:spacing w:line="360" w:lineRule="auto"/>
              <w:ind w:left="115" w:leftChars="48" w:right="120" w:firstLine="426" w:firstLineChars="177"/>
              <w:rPr>
                <w:b/>
                <w:bCs/>
                <w:color w:val="auto"/>
                <w:kern w:val="0"/>
                <w:sz w:val="24"/>
              </w:rPr>
            </w:pPr>
            <w:r>
              <w:rPr>
                <w:b/>
                <w:bCs/>
                <w:color w:val="auto"/>
                <w:kern w:val="0"/>
                <w:sz w:val="24"/>
              </w:rPr>
              <w:t>（2）风险潜势初判</w:t>
            </w:r>
          </w:p>
          <w:p w14:paraId="5A8E3F87">
            <w:pPr>
              <w:keepNext w:val="0"/>
              <w:keepLines w:val="0"/>
              <w:pageBreakBefore w:val="0"/>
              <w:widowControl/>
              <w:kinsoku/>
              <w:overflowPunct/>
              <w:bidi w:val="0"/>
              <w:adjustRightInd/>
              <w:snapToGrid/>
              <w:spacing w:line="360" w:lineRule="auto"/>
              <w:ind w:left="115" w:leftChars="48" w:right="120" w:firstLine="424" w:firstLineChars="177"/>
              <w:rPr>
                <w:color w:val="auto"/>
                <w:kern w:val="0"/>
                <w:sz w:val="24"/>
              </w:rPr>
            </w:pPr>
            <w:r>
              <w:rPr>
                <w:color w:val="auto"/>
                <w:kern w:val="0"/>
                <w:sz w:val="24"/>
              </w:rPr>
              <w:t>根据《建设项目环境风险评价技术导则》（HJ169-2018），项目涉及的危险化学品名称、临界量及实际最大储存量见下表。</w:t>
            </w:r>
          </w:p>
          <w:p w14:paraId="6AD20557">
            <w:pPr>
              <w:pStyle w:val="4"/>
              <w:keepNext w:val="0"/>
              <w:keepLines w:val="0"/>
              <w:pageBreakBefore w:val="0"/>
              <w:numPr>
                <w:ilvl w:val="2"/>
                <w:numId w:val="0"/>
              </w:numPr>
              <w:tabs>
                <w:tab w:val="left" w:pos="720"/>
              </w:tabs>
              <w:kinsoku/>
              <w:overflowPunct/>
              <w:bidi w:val="0"/>
              <w:adjustRightInd/>
              <w:snapToGrid/>
              <w:spacing w:line="360" w:lineRule="auto"/>
              <w:ind w:left="240" w:leftChars="100"/>
              <w:jc w:val="center"/>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表4-21  临界量与实际量对比一览表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9"/>
              <w:gridCol w:w="2199"/>
              <w:gridCol w:w="1862"/>
              <w:gridCol w:w="1616"/>
              <w:gridCol w:w="2447"/>
            </w:tblGrid>
            <w:tr w14:paraId="2453A0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80" w:type="pct"/>
                  <w:tcBorders>
                    <w:tl2br w:val="nil"/>
                    <w:tr2bl w:val="nil"/>
                  </w:tcBorders>
                  <w:vAlign w:val="center"/>
                </w:tcPr>
                <w:p w14:paraId="2B7CE4E3">
                  <w:pPr>
                    <w:keepNext w:val="0"/>
                    <w:keepLines w:val="0"/>
                    <w:pageBreakBefore w:val="0"/>
                    <w:kinsoku/>
                    <w:overflowPunct/>
                    <w:bidi w:val="0"/>
                    <w:adjustRightInd/>
                    <w:snapToGrid/>
                    <w:jc w:val="center"/>
                    <w:rPr>
                      <w:b/>
                      <w:bCs/>
                      <w:color w:val="auto"/>
                      <w:sz w:val="21"/>
                      <w:szCs w:val="21"/>
                    </w:rPr>
                  </w:pPr>
                  <w:r>
                    <w:rPr>
                      <w:b/>
                      <w:bCs/>
                      <w:color w:val="auto"/>
                      <w:sz w:val="21"/>
                      <w:szCs w:val="21"/>
                    </w:rPr>
                    <w:t>序号</w:t>
                  </w:r>
                </w:p>
              </w:tc>
              <w:tc>
                <w:tcPr>
                  <w:tcW w:w="1250" w:type="pct"/>
                  <w:tcBorders>
                    <w:tl2br w:val="nil"/>
                    <w:tr2bl w:val="nil"/>
                  </w:tcBorders>
                  <w:vAlign w:val="center"/>
                </w:tcPr>
                <w:p w14:paraId="6FC9CB5D">
                  <w:pPr>
                    <w:keepNext w:val="0"/>
                    <w:keepLines w:val="0"/>
                    <w:pageBreakBefore w:val="0"/>
                    <w:kinsoku/>
                    <w:overflowPunct/>
                    <w:bidi w:val="0"/>
                    <w:adjustRightInd/>
                    <w:snapToGrid/>
                    <w:jc w:val="center"/>
                    <w:rPr>
                      <w:b/>
                      <w:bCs/>
                      <w:color w:val="auto"/>
                      <w:sz w:val="21"/>
                      <w:szCs w:val="21"/>
                    </w:rPr>
                  </w:pPr>
                  <w:r>
                    <w:rPr>
                      <w:b/>
                      <w:bCs/>
                      <w:color w:val="auto"/>
                      <w:sz w:val="21"/>
                      <w:szCs w:val="21"/>
                    </w:rPr>
                    <w:t>原辅材料名称</w:t>
                  </w:r>
                </w:p>
              </w:tc>
              <w:tc>
                <w:tcPr>
                  <w:tcW w:w="1058" w:type="pct"/>
                  <w:tcBorders>
                    <w:tl2br w:val="nil"/>
                    <w:tr2bl w:val="nil"/>
                  </w:tcBorders>
                  <w:vAlign w:val="center"/>
                </w:tcPr>
                <w:p w14:paraId="134E4BD9">
                  <w:pPr>
                    <w:keepNext w:val="0"/>
                    <w:keepLines w:val="0"/>
                    <w:pageBreakBefore w:val="0"/>
                    <w:kinsoku/>
                    <w:overflowPunct/>
                    <w:bidi w:val="0"/>
                    <w:adjustRightInd/>
                    <w:snapToGrid/>
                    <w:jc w:val="center"/>
                    <w:rPr>
                      <w:b/>
                      <w:bCs/>
                      <w:color w:val="auto"/>
                      <w:sz w:val="21"/>
                      <w:szCs w:val="21"/>
                    </w:rPr>
                  </w:pPr>
                  <w:r>
                    <w:rPr>
                      <w:b/>
                      <w:bCs/>
                      <w:color w:val="auto"/>
                      <w:sz w:val="21"/>
                      <w:szCs w:val="21"/>
                    </w:rPr>
                    <w:t>一次最大储量t</w:t>
                  </w:r>
                </w:p>
              </w:tc>
              <w:tc>
                <w:tcPr>
                  <w:tcW w:w="918" w:type="pct"/>
                  <w:tcBorders>
                    <w:tl2br w:val="nil"/>
                    <w:tr2bl w:val="nil"/>
                  </w:tcBorders>
                  <w:vAlign w:val="center"/>
                </w:tcPr>
                <w:p w14:paraId="34421918">
                  <w:pPr>
                    <w:keepNext w:val="0"/>
                    <w:keepLines w:val="0"/>
                    <w:pageBreakBefore w:val="0"/>
                    <w:kinsoku/>
                    <w:overflowPunct/>
                    <w:bidi w:val="0"/>
                    <w:adjustRightInd/>
                    <w:snapToGrid/>
                    <w:jc w:val="center"/>
                    <w:rPr>
                      <w:b/>
                      <w:bCs/>
                      <w:color w:val="auto"/>
                      <w:sz w:val="21"/>
                      <w:szCs w:val="21"/>
                    </w:rPr>
                  </w:pPr>
                  <w:r>
                    <w:rPr>
                      <w:b/>
                      <w:color w:val="auto"/>
                      <w:sz w:val="21"/>
                      <w:szCs w:val="21"/>
                    </w:rPr>
                    <w:t>临界量（t）</w:t>
                  </w:r>
                </w:p>
              </w:tc>
              <w:tc>
                <w:tcPr>
                  <w:tcW w:w="1391" w:type="pct"/>
                  <w:tcBorders>
                    <w:tl2br w:val="nil"/>
                    <w:tr2bl w:val="nil"/>
                  </w:tcBorders>
                  <w:vAlign w:val="center"/>
                </w:tcPr>
                <w:p w14:paraId="71FEC63E">
                  <w:pPr>
                    <w:keepNext w:val="0"/>
                    <w:keepLines w:val="0"/>
                    <w:pageBreakBefore w:val="0"/>
                    <w:kinsoku/>
                    <w:overflowPunct/>
                    <w:bidi w:val="0"/>
                    <w:adjustRightInd/>
                    <w:snapToGrid/>
                    <w:jc w:val="center"/>
                    <w:rPr>
                      <w:b/>
                      <w:bCs/>
                      <w:color w:val="auto"/>
                      <w:sz w:val="21"/>
                      <w:szCs w:val="21"/>
                    </w:rPr>
                  </w:pPr>
                  <w:r>
                    <w:rPr>
                      <w:b/>
                      <w:color w:val="auto"/>
                      <w:sz w:val="21"/>
                      <w:szCs w:val="21"/>
                    </w:rPr>
                    <w:t>危险物质数量与临界量比值（Qn）</w:t>
                  </w:r>
                </w:p>
              </w:tc>
            </w:tr>
            <w:tr w14:paraId="41FA72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8" w:hRule="atLeast"/>
                <w:jc w:val="center"/>
              </w:trPr>
              <w:tc>
                <w:tcPr>
                  <w:tcW w:w="380" w:type="pct"/>
                  <w:tcBorders>
                    <w:tl2br w:val="nil"/>
                    <w:tr2bl w:val="nil"/>
                  </w:tcBorders>
                  <w:vAlign w:val="center"/>
                </w:tcPr>
                <w:p w14:paraId="70647157">
                  <w:pPr>
                    <w:keepNext w:val="0"/>
                    <w:keepLines w:val="0"/>
                    <w:pageBreakBefore w:val="0"/>
                    <w:kinsoku/>
                    <w:overflowPunct/>
                    <w:bidi w:val="0"/>
                    <w:adjustRightInd/>
                    <w:snapToGrid/>
                    <w:jc w:val="center"/>
                    <w:rPr>
                      <w:color w:val="auto"/>
                      <w:sz w:val="21"/>
                      <w:szCs w:val="21"/>
                    </w:rPr>
                  </w:pPr>
                  <w:r>
                    <w:rPr>
                      <w:rFonts w:hint="eastAsia"/>
                      <w:color w:val="auto"/>
                      <w:sz w:val="21"/>
                      <w:szCs w:val="21"/>
                    </w:rPr>
                    <w:t>1</w:t>
                  </w:r>
                </w:p>
              </w:tc>
              <w:tc>
                <w:tcPr>
                  <w:tcW w:w="1250" w:type="pct"/>
                  <w:tcBorders>
                    <w:tl2br w:val="nil"/>
                    <w:tr2bl w:val="nil"/>
                  </w:tcBorders>
                  <w:vAlign w:val="center"/>
                </w:tcPr>
                <w:p w14:paraId="03B543FE">
                  <w:pPr>
                    <w:keepNext w:val="0"/>
                    <w:keepLines w:val="0"/>
                    <w:pageBreakBefore w:val="0"/>
                    <w:kinsoku/>
                    <w:overflowPunct/>
                    <w:bidi w:val="0"/>
                    <w:adjustRightInd/>
                    <w:snapToGrid/>
                    <w:jc w:val="center"/>
                    <w:rPr>
                      <w:color w:val="auto"/>
                      <w:sz w:val="21"/>
                      <w:szCs w:val="21"/>
                    </w:rPr>
                  </w:pPr>
                  <w:r>
                    <w:rPr>
                      <w:rFonts w:hint="eastAsia"/>
                      <w:color w:val="auto"/>
                      <w:sz w:val="21"/>
                      <w:szCs w:val="21"/>
                    </w:rPr>
                    <w:t>润滑油</w:t>
                  </w:r>
                </w:p>
              </w:tc>
              <w:tc>
                <w:tcPr>
                  <w:tcW w:w="1058" w:type="pct"/>
                  <w:tcBorders>
                    <w:tl2br w:val="nil"/>
                    <w:tr2bl w:val="nil"/>
                  </w:tcBorders>
                  <w:vAlign w:val="center"/>
                </w:tcPr>
                <w:p w14:paraId="6668A3C4">
                  <w:pPr>
                    <w:keepNext w:val="0"/>
                    <w:keepLines w:val="0"/>
                    <w:pageBreakBefore w:val="0"/>
                    <w:kinsoku/>
                    <w:overflowPunct/>
                    <w:bidi w:val="0"/>
                    <w:adjustRightInd/>
                    <w:snapToGrid/>
                    <w:jc w:val="center"/>
                    <w:rPr>
                      <w:rFonts w:hint="eastAsia"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5</w:t>
                  </w:r>
                </w:p>
              </w:tc>
              <w:tc>
                <w:tcPr>
                  <w:tcW w:w="918" w:type="pct"/>
                  <w:tcBorders>
                    <w:tl2br w:val="nil"/>
                    <w:tr2bl w:val="nil"/>
                  </w:tcBorders>
                  <w:vAlign w:val="center"/>
                </w:tcPr>
                <w:p w14:paraId="3707CB62">
                  <w:pPr>
                    <w:keepNext w:val="0"/>
                    <w:keepLines w:val="0"/>
                    <w:pageBreakBefore w:val="0"/>
                    <w:kinsoku/>
                    <w:overflowPunct/>
                    <w:bidi w:val="0"/>
                    <w:adjustRightInd/>
                    <w:snapToGrid/>
                    <w:jc w:val="center"/>
                    <w:rPr>
                      <w:color w:val="auto"/>
                      <w:sz w:val="21"/>
                      <w:szCs w:val="21"/>
                    </w:rPr>
                  </w:pPr>
                  <w:r>
                    <w:rPr>
                      <w:color w:val="auto"/>
                      <w:sz w:val="21"/>
                      <w:szCs w:val="21"/>
                    </w:rPr>
                    <w:t>2500</w:t>
                  </w:r>
                </w:p>
              </w:tc>
              <w:tc>
                <w:tcPr>
                  <w:tcW w:w="1391" w:type="pct"/>
                  <w:tcBorders>
                    <w:tl2br w:val="nil"/>
                    <w:tr2bl w:val="nil"/>
                  </w:tcBorders>
                  <w:vAlign w:val="center"/>
                </w:tcPr>
                <w:p w14:paraId="1965CABA">
                  <w:pPr>
                    <w:keepNext w:val="0"/>
                    <w:keepLines w:val="0"/>
                    <w:pageBreakBefore w:val="0"/>
                    <w:widowControl/>
                    <w:kinsoku/>
                    <w:overflowPunct/>
                    <w:bidi w:val="0"/>
                    <w:adjustRightInd/>
                    <w:snapToGrid/>
                    <w:jc w:val="center"/>
                    <w:textAlignment w:val="center"/>
                    <w:rPr>
                      <w:color w:val="auto"/>
                      <w:kern w:val="0"/>
                      <w:sz w:val="21"/>
                      <w:szCs w:val="21"/>
                      <w:lang w:bidi="ar"/>
                    </w:rPr>
                  </w:pPr>
                  <w:r>
                    <w:rPr>
                      <w:rFonts w:hint="eastAsia"/>
                      <w:color w:val="auto"/>
                      <w:kern w:val="0"/>
                      <w:sz w:val="21"/>
                      <w:szCs w:val="21"/>
                      <w:lang w:bidi="ar"/>
                    </w:rPr>
                    <w:t>0.00002</w:t>
                  </w:r>
                </w:p>
              </w:tc>
            </w:tr>
            <w:tr w14:paraId="7E5084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8" w:hRule="atLeast"/>
                <w:jc w:val="center"/>
              </w:trPr>
              <w:tc>
                <w:tcPr>
                  <w:tcW w:w="380" w:type="pct"/>
                  <w:tcBorders>
                    <w:tl2br w:val="nil"/>
                    <w:tr2bl w:val="nil"/>
                  </w:tcBorders>
                  <w:vAlign w:val="center"/>
                </w:tcPr>
                <w:p w14:paraId="164BD44C">
                  <w:pPr>
                    <w:keepNext w:val="0"/>
                    <w:keepLines w:val="0"/>
                    <w:pageBreakBefore w:val="0"/>
                    <w:widowControl/>
                    <w:kinsoku/>
                    <w:overflowPunct/>
                    <w:bidi w:val="0"/>
                    <w:adjustRightInd/>
                    <w:snapToGrid/>
                    <w:jc w:val="center"/>
                    <w:textAlignment w:val="center"/>
                    <w:rPr>
                      <w:rFonts w:hint="eastAsia" w:eastAsia="宋体"/>
                      <w:color w:val="auto"/>
                      <w:sz w:val="21"/>
                      <w:szCs w:val="21"/>
                      <w:lang w:val="en-US" w:eastAsia="zh-CN"/>
                    </w:rPr>
                  </w:pPr>
                  <w:r>
                    <w:rPr>
                      <w:rFonts w:hint="eastAsia"/>
                      <w:color w:val="auto"/>
                      <w:sz w:val="21"/>
                      <w:szCs w:val="21"/>
                      <w:lang w:val="en-US" w:eastAsia="zh-CN"/>
                    </w:rPr>
                    <w:t>2</w:t>
                  </w:r>
                </w:p>
              </w:tc>
              <w:tc>
                <w:tcPr>
                  <w:tcW w:w="1250" w:type="pct"/>
                  <w:tcBorders>
                    <w:tl2br w:val="nil"/>
                    <w:tr2bl w:val="nil"/>
                  </w:tcBorders>
                  <w:vAlign w:val="center"/>
                </w:tcPr>
                <w:p w14:paraId="13CFD1FE">
                  <w:pPr>
                    <w:keepNext w:val="0"/>
                    <w:keepLines w:val="0"/>
                    <w:pageBreakBefore w:val="0"/>
                    <w:widowControl/>
                    <w:kinsoku/>
                    <w:overflowPunct/>
                    <w:bidi w:val="0"/>
                    <w:adjustRightInd/>
                    <w:snapToGrid/>
                    <w:jc w:val="center"/>
                    <w:textAlignment w:val="center"/>
                    <w:rPr>
                      <w:rFonts w:hint="eastAsia" w:eastAsia="宋体"/>
                      <w:color w:val="auto"/>
                      <w:sz w:val="21"/>
                      <w:szCs w:val="21"/>
                      <w:lang w:val="en-US" w:eastAsia="zh-CN"/>
                    </w:rPr>
                  </w:pPr>
                  <w:r>
                    <w:rPr>
                      <w:rFonts w:hint="eastAsia"/>
                      <w:color w:val="auto"/>
                      <w:sz w:val="21"/>
                      <w:szCs w:val="21"/>
                      <w:lang w:val="en-US" w:eastAsia="zh-CN"/>
                    </w:rPr>
                    <w:t>废润滑油</w:t>
                  </w:r>
                </w:p>
              </w:tc>
              <w:tc>
                <w:tcPr>
                  <w:tcW w:w="1058" w:type="pct"/>
                  <w:tcBorders>
                    <w:tl2br w:val="nil"/>
                    <w:tr2bl w:val="nil"/>
                  </w:tcBorders>
                  <w:vAlign w:val="center"/>
                </w:tcPr>
                <w:p w14:paraId="27ABAE21">
                  <w:pPr>
                    <w:keepNext w:val="0"/>
                    <w:keepLines w:val="0"/>
                    <w:pageBreakBefore w:val="0"/>
                    <w:widowControl/>
                    <w:kinsoku/>
                    <w:overflowPunct/>
                    <w:bidi w:val="0"/>
                    <w:adjustRightInd/>
                    <w:snapToGrid/>
                    <w:jc w:val="center"/>
                    <w:textAlignment w:val="center"/>
                    <w:rPr>
                      <w:rFonts w:hint="default" w:eastAsia="宋体"/>
                      <w:color w:val="auto"/>
                      <w:sz w:val="21"/>
                      <w:szCs w:val="21"/>
                      <w:lang w:val="en-US" w:eastAsia="zh-CN"/>
                    </w:rPr>
                  </w:pPr>
                  <w:r>
                    <w:rPr>
                      <w:rFonts w:hint="eastAsia"/>
                      <w:color w:val="auto"/>
                      <w:sz w:val="21"/>
                      <w:szCs w:val="21"/>
                      <w:lang w:val="en-US" w:eastAsia="zh-CN"/>
                    </w:rPr>
                    <w:t>0.02</w:t>
                  </w:r>
                </w:p>
              </w:tc>
              <w:tc>
                <w:tcPr>
                  <w:tcW w:w="918" w:type="pct"/>
                  <w:tcBorders>
                    <w:tl2br w:val="nil"/>
                    <w:tr2bl w:val="nil"/>
                  </w:tcBorders>
                  <w:vAlign w:val="center"/>
                </w:tcPr>
                <w:p w14:paraId="1D1CC051">
                  <w:pPr>
                    <w:keepNext w:val="0"/>
                    <w:keepLines w:val="0"/>
                    <w:pageBreakBefore w:val="0"/>
                    <w:widowControl/>
                    <w:kinsoku/>
                    <w:overflowPunct/>
                    <w:bidi w:val="0"/>
                    <w:adjustRightInd/>
                    <w:snapToGrid/>
                    <w:jc w:val="center"/>
                    <w:textAlignment w:val="center"/>
                    <w:rPr>
                      <w:rFonts w:hint="default" w:eastAsia="宋体"/>
                      <w:color w:val="auto"/>
                      <w:sz w:val="21"/>
                      <w:szCs w:val="21"/>
                      <w:lang w:val="en-US" w:eastAsia="zh-CN"/>
                    </w:rPr>
                  </w:pPr>
                  <w:r>
                    <w:rPr>
                      <w:rFonts w:hint="eastAsia"/>
                      <w:color w:val="auto"/>
                      <w:sz w:val="21"/>
                      <w:szCs w:val="21"/>
                      <w:lang w:val="en-US" w:eastAsia="zh-CN"/>
                    </w:rPr>
                    <w:t>2500</w:t>
                  </w:r>
                </w:p>
              </w:tc>
              <w:tc>
                <w:tcPr>
                  <w:tcW w:w="1391" w:type="pct"/>
                  <w:tcBorders>
                    <w:tl2br w:val="nil"/>
                    <w:tr2bl w:val="nil"/>
                  </w:tcBorders>
                  <w:vAlign w:val="center"/>
                </w:tcPr>
                <w:p w14:paraId="43DBB03A">
                  <w:pPr>
                    <w:keepNext w:val="0"/>
                    <w:keepLines w:val="0"/>
                    <w:pageBreakBefore w:val="0"/>
                    <w:widowControl/>
                    <w:kinsoku/>
                    <w:overflowPunct/>
                    <w:bidi w:val="0"/>
                    <w:adjustRightInd/>
                    <w:snapToGrid/>
                    <w:jc w:val="center"/>
                    <w:textAlignment w:val="center"/>
                    <w:rPr>
                      <w:rFonts w:hint="default" w:eastAsia="宋体"/>
                      <w:color w:val="auto"/>
                      <w:sz w:val="21"/>
                      <w:szCs w:val="21"/>
                      <w:lang w:val="en-US" w:eastAsia="zh-CN"/>
                    </w:rPr>
                  </w:pPr>
                  <w:r>
                    <w:rPr>
                      <w:rFonts w:hint="eastAsia"/>
                      <w:color w:val="auto"/>
                      <w:sz w:val="21"/>
                      <w:szCs w:val="21"/>
                      <w:lang w:val="en-US" w:eastAsia="zh-CN"/>
                    </w:rPr>
                    <w:t>0.000008</w:t>
                  </w:r>
                </w:p>
              </w:tc>
            </w:tr>
            <w:tr w14:paraId="7C398E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608" w:type="pct"/>
                  <w:gridSpan w:val="4"/>
                  <w:tcBorders>
                    <w:tl2br w:val="nil"/>
                    <w:tr2bl w:val="nil"/>
                  </w:tcBorders>
                  <w:vAlign w:val="center"/>
                </w:tcPr>
                <w:p w14:paraId="72DE3973">
                  <w:pPr>
                    <w:keepNext w:val="0"/>
                    <w:keepLines w:val="0"/>
                    <w:pageBreakBefore w:val="0"/>
                    <w:kinsoku/>
                    <w:overflowPunct/>
                    <w:bidi w:val="0"/>
                    <w:adjustRightInd/>
                    <w:snapToGrid/>
                    <w:jc w:val="center"/>
                    <w:rPr>
                      <w:color w:val="auto"/>
                      <w:sz w:val="21"/>
                      <w:szCs w:val="21"/>
                    </w:rPr>
                  </w:pPr>
                  <w:r>
                    <w:rPr>
                      <w:color w:val="auto"/>
                      <w:sz w:val="21"/>
                      <w:szCs w:val="21"/>
                    </w:rPr>
                    <w:t>合计</w:t>
                  </w:r>
                </w:p>
              </w:tc>
              <w:tc>
                <w:tcPr>
                  <w:tcW w:w="1391" w:type="pct"/>
                  <w:tcBorders>
                    <w:tl2br w:val="nil"/>
                    <w:tr2bl w:val="nil"/>
                  </w:tcBorders>
                  <w:vAlign w:val="center"/>
                </w:tcPr>
                <w:p w14:paraId="40F76CF9">
                  <w:pPr>
                    <w:keepNext w:val="0"/>
                    <w:keepLines w:val="0"/>
                    <w:pageBreakBefore w:val="0"/>
                    <w:widowControl/>
                    <w:kinsoku/>
                    <w:overflowPunct/>
                    <w:bidi w:val="0"/>
                    <w:adjustRightInd/>
                    <w:snapToGrid/>
                    <w:jc w:val="center"/>
                    <w:textAlignment w:val="center"/>
                    <w:rPr>
                      <w:rFonts w:hint="default" w:eastAsia="宋体"/>
                      <w:color w:val="auto"/>
                      <w:sz w:val="21"/>
                      <w:szCs w:val="21"/>
                      <w:lang w:val="en-US" w:eastAsia="zh-CN"/>
                    </w:rPr>
                  </w:pPr>
                  <w:r>
                    <w:rPr>
                      <w:rFonts w:hint="eastAsia"/>
                      <w:color w:val="auto"/>
                      <w:kern w:val="0"/>
                      <w:sz w:val="21"/>
                      <w:szCs w:val="21"/>
                      <w:lang w:bidi="ar"/>
                    </w:rPr>
                    <w:t>0.0000</w:t>
                  </w:r>
                  <w:r>
                    <w:rPr>
                      <w:rFonts w:hint="eastAsia"/>
                      <w:color w:val="auto"/>
                      <w:kern w:val="0"/>
                      <w:sz w:val="21"/>
                      <w:szCs w:val="21"/>
                      <w:lang w:val="en-US" w:eastAsia="zh-CN" w:bidi="ar"/>
                    </w:rPr>
                    <w:t>28</w:t>
                  </w:r>
                </w:p>
              </w:tc>
            </w:tr>
          </w:tbl>
          <w:p w14:paraId="5FA1EEA3">
            <w:pPr>
              <w:keepNext w:val="0"/>
              <w:keepLines w:val="0"/>
              <w:pageBreakBefore w:val="0"/>
              <w:kinsoku/>
              <w:overflowPunct/>
              <w:autoSpaceDE w:val="0"/>
              <w:autoSpaceDN w:val="0"/>
              <w:bidi w:val="0"/>
              <w:adjustRightInd/>
              <w:snapToGrid/>
              <w:spacing w:line="360" w:lineRule="auto"/>
              <w:ind w:firstLine="482" w:firstLineChars="200"/>
              <w:rPr>
                <w:b/>
                <w:color w:val="auto"/>
                <w:sz w:val="24"/>
              </w:rPr>
            </w:pPr>
            <w:r>
              <w:rPr>
                <w:b/>
                <w:color w:val="auto"/>
                <w:sz w:val="24"/>
              </w:rPr>
              <w:t>2、环境风险识别</w:t>
            </w:r>
          </w:p>
          <w:p w14:paraId="661CE1D3">
            <w:pPr>
              <w:keepNext w:val="0"/>
              <w:keepLines w:val="0"/>
              <w:pageBreakBefore w:val="0"/>
              <w:kinsoku/>
              <w:overflowPunct/>
              <w:autoSpaceDE w:val="0"/>
              <w:autoSpaceDN w:val="0"/>
              <w:bidi w:val="0"/>
              <w:adjustRightInd/>
              <w:snapToGrid/>
              <w:spacing w:line="360" w:lineRule="auto"/>
              <w:ind w:firstLine="480" w:firstLineChars="200"/>
              <w:rPr>
                <w:bCs/>
                <w:color w:val="auto"/>
                <w:sz w:val="24"/>
              </w:rPr>
            </w:pPr>
            <w:r>
              <w:rPr>
                <w:bCs/>
                <w:color w:val="auto"/>
                <w:sz w:val="24"/>
              </w:rPr>
              <w:t>①运输、装卸过程</w:t>
            </w:r>
          </w:p>
          <w:p w14:paraId="0614BEB6">
            <w:pPr>
              <w:keepNext w:val="0"/>
              <w:keepLines w:val="0"/>
              <w:pageBreakBefore w:val="0"/>
              <w:kinsoku/>
              <w:overflowPunct/>
              <w:autoSpaceDE w:val="0"/>
              <w:autoSpaceDN w:val="0"/>
              <w:bidi w:val="0"/>
              <w:adjustRightInd/>
              <w:snapToGrid/>
              <w:spacing w:line="360" w:lineRule="auto"/>
              <w:ind w:firstLine="480" w:firstLineChars="200"/>
              <w:rPr>
                <w:bCs/>
                <w:color w:val="auto"/>
                <w:sz w:val="24"/>
              </w:rPr>
            </w:pPr>
            <w:r>
              <w:rPr>
                <w:bCs/>
                <w:color w:val="auto"/>
                <w:sz w:val="24"/>
              </w:rPr>
              <w:t>本项目</w:t>
            </w:r>
            <w:r>
              <w:rPr>
                <w:rFonts w:hint="eastAsia"/>
                <w:bCs/>
                <w:color w:val="auto"/>
                <w:sz w:val="24"/>
              </w:rPr>
              <w:t>设备维护使用的润滑油，</w:t>
            </w:r>
            <w:r>
              <w:rPr>
                <w:bCs/>
                <w:color w:val="auto"/>
                <w:sz w:val="24"/>
              </w:rPr>
              <w:t>定期委托外单位送货到厂。在运输、装卸过程中可能存在的风险事故为：</w:t>
            </w:r>
          </w:p>
          <w:p w14:paraId="27C2863F">
            <w:pPr>
              <w:keepNext w:val="0"/>
              <w:keepLines w:val="0"/>
              <w:pageBreakBefore w:val="0"/>
              <w:kinsoku/>
              <w:overflowPunct/>
              <w:autoSpaceDE w:val="0"/>
              <w:autoSpaceDN w:val="0"/>
              <w:bidi w:val="0"/>
              <w:adjustRightInd/>
              <w:snapToGrid/>
              <w:spacing w:line="360" w:lineRule="auto"/>
              <w:ind w:firstLine="480" w:firstLineChars="200"/>
              <w:rPr>
                <w:bCs/>
                <w:color w:val="auto"/>
                <w:sz w:val="24"/>
              </w:rPr>
            </w:pPr>
            <w:r>
              <w:rPr>
                <w:bCs/>
                <w:color w:val="auto"/>
                <w:sz w:val="24"/>
              </w:rPr>
              <w:t>A、最为严重但几率很小的是运输过程中因意外交通事故，造成火灾、爆炸或泄露，周围人员烧伤等情况。</w:t>
            </w:r>
          </w:p>
          <w:p w14:paraId="4B92C471">
            <w:pPr>
              <w:keepNext w:val="0"/>
              <w:keepLines w:val="0"/>
              <w:pageBreakBefore w:val="0"/>
              <w:kinsoku/>
              <w:overflowPunct/>
              <w:autoSpaceDE w:val="0"/>
              <w:autoSpaceDN w:val="0"/>
              <w:bidi w:val="0"/>
              <w:adjustRightInd/>
              <w:snapToGrid/>
              <w:spacing w:line="360" w:lineRule="auto"/>
              <w:ind w:firstLine="480" w:firstLineChars="200"/>
              <w:rPr>
                <w:bCs/>
                <w:color w:val="auto"/>
                <w:sz w:val="24"/>
              </w:rPr>
            </w:pPr>
            <w:r>
              <w:rPr>
                <w:bCs/>
                <w:color w:val="auto"/>
                <w:sz w:val="24"/>
              </w:rPr>
              <w:t>B、运输过程中因包装桶老化、封盖密闭不严等原因而造成泄漏，遇火源引起爆炸现象。</w:t>
            </w:r>
          </w:p>
          <w:p w14:paraId="386B4D04">
            <w:pPr>
              <w:pStyle w:val="16"/>
              <w:keepNext w:val="0"/>
              <w:keepLines w:val="0"/>
              <w:pageBreakBefore w:val="0"/>
              <w:kinsoku/>
              <w:overflowPunct/>
              <w:autoSpaceDE w:val="0"/>
              <w:autoSpaceDN w:val="0"/>
              <w:bidi w:val="0"/>
              <w:adjustRightInd/>
              <w:snapToGrid/>
              <w:spacing w:after="0" w:line="360" w:lineRule="auto"/>
              <w:ind w:left="0" w:leftChars="0" w:firstLine="480"/>
              <w:rPr>
                <w:color w:val="auto"/>
                <w:szCs w:val="32"/>
              </w:rPr>
            </w:pPr>
            <w:r>
              <w:rPr>
                <w:color w:val="auto"/>
                <w:szCs w:val="32"/>
              </w:rPr>
              <w:t>C、因卸料等原因造成冲击较大，造成泄漏，当有点火源存在时，将可能导致火灾、爆炸事故的发生、人员灼伤等现象。</w:t>
            </w:r>
          </w:p>
          <w:p w14:paraId="54BA1472">
            <w:pPr>
              <w:pStyle w:val="16"/>
              <w:keepNext w:val="0"/>
              <w:keepLines w:val="0"/>
              <w:pageBreakBefore w:val="0"/>
              <w:kinsoku/>
              <w:overflowPunct/>
              <w:autoSpaceDE w:val="0"/>
              <w:autoSpaceDN w:val="0"/>
              <w:bidi w:val="0"/>
              <w:adjustRightInd/>
              <w:snapToGrid/>
              <w:spacing w:after="0" w:line="360" w:lineRule="auto"/>
              <w:ind w:left="0" w:leftChars="0" w:firstLine="480"/>
              <w:rPr>
                <w:color w:val="auto"/>
                <w:szCs w:val="32"/>
              </w:rPr>
            </w:pPr>
            <w:r>
              <w:rPr>
                <w:color w:val="auto"/>
                <w:szCs w:val="32"/>
              </w:rPr>
              <w:t>D、项目因员工操作不当而造成危险废物流失。</w:t>
            </w:r>
          </w:p>
          <w:p w14:paraId="2CB1127B">
            <w:pPr>
              <w:pStyle w:val="16"/>
              <w:keepNext w:val="0"/>
              <w:keepLines w:val="0"/>
              <w:pageBreakBefore w:val="0"/>
              <w:kinsoku/>
              <w:overflowPunct/>
              <w:autoSpaceDE w:val="0"/>
              <w:autoSpaceDN w:val="0"/>
              <w:bidi w:val="0"/>
              <w:adjustRightInd/>
              <w:snapToGrid/>
              <w:spacing w:after="0" w:line="360" w:lineRule="auto"/>
              <w:ind w:left="0" w:leftChars="0" w:firstLine="480"/>
              <w:rPr>
                <w:color w:val="auto"/>
                <w:szCs w:val="32"/>
              </w:rPr>
            </w:pPr>
            <w:r>
              <w:rPr>
                <w:color w:val="auto"/>
                <w:szCs w:val="32"/>
              </w:rPr>
              <w:t>②贮存与使用过程</w:t>
            </w:r>
          </w:p>
          <w:p w14:paraId="0877614B">
            <w:pPr>
              <w:pStyle w:val="16"/>
              <w:keepNext w:val="0"/>
              <w:keepLines w:val="0"/>
              <w:pageBreakBefore w:val="0"/>
              <w:kinsoku/>
              <w:overflowPunct/>
              <w:autoSpaceDE w:val="0"/>
              <w:autoSpaceDN w:val="0"/>
              <w:bidi w:val="0"/>
              <w:adjustRightInd/>
              <w:snapToGrid/>
              <w:spacing w:after="0" w:line="360" w:lineRule="auto"/>
              <w:ind w:left="0" w:leftChars="0" w:firstLine="480"/>
              <w:rPr>
                <w:color w:val="auto"/>
                <w:szCs w:val="32"/>
              </w:rPr>
            </w:pPr>
            <w:r>
              <w:rPr>
                <w:color w:val="auto"/>
                <w:szCs w:val="32"/>
              </w:rPr>
              <w:t>在贮存过程中可能存在的风险事故为：管理人员失误或不可抗拒因素等造成物料泄漏引发污染事故：在生产过程中由于包装桶封盖老化或操作未按规范，致使物料泄漏逸散，导致遇火源发生燃烧甚至爆炸。</w:t>
            </w:r>
          </w:p>
          <w:p w14:paraId="1DB0C5BF">
            <w:pPr>
              <w:pStyle w:val="16"/>
              <w:keepNext w:val="0"/>
              <w:keepLines w:val="0"/>
              <w:pageBreakBefore w:val="0"/>
              <w:kinsoku/>
              <w:overflowPunct/>
              <w:autoSpaceDE w:val="0"/>
              <w:autoSpaceDN w:val="0"/>
              <w:bidi w:val="0"/>
              <w:adjustRightInd/>
              <w:snapToGrid/>
              <w:spacing w:after="0" w:line="360" w:lineRule="auto"/>
              <w:ind w:left="0" w:leftChars="0" w:firstLine="480"/>
              <w:rPr>
                <w:color w:val="auto"/>
                <w:szCs w:val="32"/>
              </w:rPr>
            </w:pPr>
            <w:r>
              <w:rPr>
                <w:color w:val="auto"/>
                <w:szCs w:val="32"/>
              </w:rPr>
              <w:t>容器等本身设计不合格，或制造存在缺陷，造成其耐压能力不够，发生破裂，导致危险化学品泄漏，遇点火源则发生火灾、爆炸事故；另外，容器在防雷设施失效的情况下遭受雷击、遭受电火花或在贮存区内违禁使用明火、违规操作等情况，也易诱发火灾、爆炸事故。</w:t>
            </w:r>
          </w:p>
          <w:p w14:paraId="0E77FB3B">
            <w:pPr>
              <w:pStyle w:val="16"/>
              <w:keepNext w:val="0"/>
              <w:keepLines w:val="0"/>
              <w:pageBreakBefore w:val="0"/>
              <w:kinsoku/>
              <w:overflowPunct/>
              <w:autoSpaceDE w:val="0"/>
              <w:autoSpaceDN w:val="0"/>
              <w:bidi w:val="0"/>
              <w:adjustRightInd/>
              <w:snapToGrid/>
              <w:spacing w:after="0" w:line="360" w:lineRule="auto"/>
              <w:ind w:left="0" w:leftChars="0" w:firstLine="480"/>
              <w:rPr>
                <w:color w:val="auto"/>
                <w:szCs w:val="32"/>
              </w:rPr>
            </w:pPr>
            <w:r>
              <w:rPr>
                <w:color w:val="auto"/>
                <w:szCs w:val="32"/>
              </w:rPr>
              <w:t>危险化学品在使用过程中可能存在的风险事故为：原料使用过程中，由于使用量较大时，滴漏到设备的电气元件上，电气元件产生的火花引起火灾。设备维修过程中动用明火时，未及时移开盛装的容器，造成火灾等。</w:t>
            </w:r>
          </w:p>
          <w:p w14:paraId="0345A257">
            <w:pPr>
              <w:keepNext w:val="0"/>
              <w:keepLines w:val="0"/>
              <w:pageBreakBefore w:val="0"/>
              <w:kinsoku/>
              <w:overflowPunct/>
              <w:bidi w:val="0"/>
              <w:adjustRightInd/>
              <w:snapToGrid/>
              <w:spacing w:before="0" w:beforeLines="0" w:line="360" w:lineRule="auto"/>
              <w:ind w:firstLine="482" w:firstLineChars="200"/>
              <w:rPr>
                <w:rFonts w:hint="default" w:ascii="Times New Roman" w:hAnsi="Times New Roman" w:eastAsia="宋体" w:cs="Times New Roman"/>
                <w:b/>
                <w:bCs/>
                <w:color w:val="auto"/>
                <w:sz w:val="24"/>
                <w:szCs w:val="24"/>
                <w:lang w:val="en-US" w:eastAsia="zh-CN"/>
              </w:rPr>
            </w:pPr>
            <w:r>
              <w:rPr>
                <w:b/>
                <w:bCs/>
                <w:color w:val="auto"/>
                <w:szCs w:val="32"/>
              </w:rPr>
              <w:t>3、</w:t>
            </w:r>
            <w:r>
              <w:rPr>
                <w:rFonts w:hint="eastAsia" w:ascii="Times New Roman" w:hAnsi="Times New Roman" w:cs="Times New Roman"/>
                <w:b/>
                <w:bCs/>
                <w:color w:val="auto"/>
                <w:sz w:val="24"/>
                <w:szCs w:val="24"/>
                <w:lang w:val="en-US" w:eastAsia="zh-CN"/>
              </w:rPr>
              <w:t>生产过程中潜在的事故风险</w:t>
            </w:r>
          </w:p>
          <w:p w14:paraId="60A8ACE6">
            <w:pPr>
              <w:keepNext w:val="0"/>
              <w:keepLines w:val="0"/>
              <w:pageBreakBefore w:val="0"/>
              <w:kinsoku/>
              <w:overflowPunct/>
              <w:bidi w:val="0"/>
              <w:adjustRightInd/>
              <w:snapToGrid/>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eastAsia="zh-CN"/>
              </w:rPr>
              <w:t>）火灾爆炸伴生环境事件</w:t>
            </w:r>
          </w:p>
          <w:p w14:paraId="04CF59C3">
            <w:pPr>
              <w:keepNext w:val="0"/>
              <w:keepLines w:val="0"/>
              <w:pageBreakBefore w:val="0"/>
              <w:kinsoku/>
              <w:overflowPunct/>
              <w:bidi w:val="0"/>
              <w:adjustRightInd/>
              <w:snapToGrid/>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厂区因电气或可燃物质等发生火灾，灭火产生事故废弃物或产生混合有环境污染物质的消防下水。</w:t>
            </w:r>
          </w:p>
          <w:p w14:paraId="2903DBC4">
            <w:pPr>
              <w:keepNext w:val="0"/>
              <w:keepLines w:val="0"/>
              <w:pageBreakBefore w:val="0"/>
              <w:kinsoku/>
              <w:overflowPunct/>
              <w:bidi w:val="0"/>
              <w:adjustRightInd/>
              <w:snapToGrid/>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2</w:t>
            </w:r>
            <w:r>
              <w:rPr>
                <w:rFonts w:hint="eastAsia" w:ascii="Times New Roman" w:hAnsi="Times New Roman" w:eastAsia="宋体" w:cs="Times New Roman"/>
                <w:bCs/>
                <w:color w:val="auto"/>
                <w:sz w:val="24"/>
                <w:szCs w:val="24"/>
                <w:lang w:eastAsia="zh-CN"/>
              </w:rPr>
              <w:t>）废气异常排放</w:t>
            </w:r>
          </w:p>
          <w:p w14:paraId="46679DFB">
            <w:pPr>
              <w:keepNext w:val="0"/>
              <w:keepLines w:val="0"/>
              <w:pageBreakBefore w:val="0"/>
              <w:kinsoku/>
              <w:overflowPunct/>
              <w:bidi w:val="0"/>
              <w:adjustRightInd/>
              <w:snapToGrid/>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若由于废气处理装置布袋除尘器布袋破裂、机器故障等原因，可能导致废气异常排放，会对空气环境质量产生影响。</w:t>
            </w:r>
          </w:p>
          <w:p w14:paraId="428A23C0">
            <w:pPr>
              <w:keepNext w:val="0"/>
              <w:keepLines w:val="0"/>
              <w:pageBreakBefore w:val="0"/>
              <w:kinsoku/>
              <w:overflowPunct/>
              <w:bidi w:val="0"/>
              <w:adjustRightInd/>
              <w:snapToGrid/>
              <w:spacing w:line="360" w:lineRule="auto"/>
              <w:ind w:firstLine="480" w:firstLineChars="200"/>
              <w:jc w:val="left"/>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（3）</w:t>
            </w:r>
            <w:r>
              <w:rPr>
                <w:rFonts w:hint="eastAsia" w:cs="Times New Roman"/>
                <w:bCs/>
                <w:color w:val="auto"/>
                <w:sz w:val="24"/>
                <w:szCs w:val="24"/>
                <w:lang w:val="en-US" w:eastAsia="zh-CN"/>
              </w:rPr>
              <w:t>润滑油</w:t>
            </w:r>
            <w:r>
              <w:rPr>
                <w:rFonts w:hint="eastAsia" w:ascii="Times New Roman" w:hAnsi="Times New Roman" w:eastAsia="宋体" w:cs="Times New Roman"/>
                <w:bCs/>
                <w:color w:val="auto"/>
                <w:sz w:val="24"/>
                <w:szCs w:val="24"/>
                <w:lang w:val="en-US" w:eastAsia="zh-CN"/>
              </w:rPr>
              <w:t>泄露</w:t>
            </w:r>
          </w:p>
          <w:p w14:paraId="74F2F300">
            <w:pPr>
              <w:keepNext w:val="0"/>
              <w:keepLines w:val="0"/>
              <w:pageBreakBefore w:val="0"/>
              <w:kinsoku/>
              <w:overflowPunct/>
              <w:bidi w:val="0"/>
              <w:adjustRightInd/>
              <w:snapToGrid/>
              <w:spacing w:line="360" w:lineRule="auto"/>
              <w:ind w:firstLine="480" w:firstLineChars="200"/>
              <w:jc w:val="left"/>
              <w:rPr>
                <w:rFonts w:hint="eastAsia"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原料间</w:t>
            </w:r>
            <w:r>
              <w:rPr>
                <w:rFonts w:hint="eastAsia" w:ascii="Times New Roman" w:hAnsi="Times New Roman" w:eastAsia="宋体" w:cs="Times New Roman"/>
                <w:bCs/>
                <w:color w:val="auto"/>
                <w:sz w:val="24"/>
                <w:szCs w:val="24"/>
                <w:lang w:val="en-US" w:eastAsia="zh-CN"/>
              </w:rPr>
              <w:t>存放的</w:t>
            </w:r>
            <w:r>
              <w:rPr>
                <w:rFonts w:hint="eastAsia" w:cs="Times New Roman"/>
                <w:bCs/>
                <w:color w:val="auto"/>
                <w:sz w:val="24"/>
                <w:szCs w:val="24"/>
                <w:lang w:val="en-US" w:eastAsia="zh-CN"/>
              </w:rPr>
              <w:t>润滑油</w:t>
            </w:r>
            <w:r>
              <w:rPr>
                <w:rFonts w:hint="eastAsia" w:ascii="Times New Roman" w:hAnsi="Times New Roman" w:eastAsia="宋体" w:cs="Times New Roman"/>
                <w:bCs/>
                <w:color w:val="auto"/>
                <w:sz w:val="24"/>
                <w:szCs w:val="24"/>
                <w:lang w:val="en-US" w:eastAsia="zh-CN"/>
              </w:rPr>
              <w:t>发生倾倒等时间，导致</w:t>
            </w:r>
            <w:r>
              <w:rPr>
                <w:rFonts w:hint="eastAsia" w:cs="Times New Roman"/>
                <w:bCs/>
                <w:color w:val="auto"/>
                <w:sz w:val="24"/>
                <w:szCs w:val="24"/>
                <w:lang w:val="en-US" w:eastAsia="zh-CN"/>
              </w:rPr>
              <w:t>润滑油</w:t>
            </w:r>
            <w:r>
              <w:rPr>
                <w:rFonts w:hint="eastAsia" w:ascii="Times New Roman" w:hAnsi="Times New Roman" w:eastAsia="宋体" w:cs="Times New Roman"/>
                <w:bCs/>
                <w:color w:val="auto"/>
                <w:sz w:val="24"/>
                <w:szCs w:val="24"/>
                <w:lang w:val="en-US" w:eastAsia="zh-CN"/>
              </w:rPr>
              <w:t>沿地面进行漫流，对地表水、土壤、地下水造成污染。</w:t>
            </w:r>
          </w:p>
          <w:p w14:paraId="0167152C">
            <w:pPr>
              <w:keepNext w:val="0"/>
              <w:keepLines w:val="0"/>
              <w:pageBreakBefore w:val="0"/>
              <w:kinsoku/>
              <w:overflowPunct/>
              <w:bidi w:val="0"/>
              <w:adjustRightInd/>
              <w:snapToGrid/>
              <w:spacing w:line="360" w:lineRule="auto"/>
              <w:ind w:firstLine="480" w:firstLineChars="200"/>
              <w:jc w:val="left"/>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（4）固体流失</w:t>
            </w:r>
          </w:p>
          <w:p w14:paraId="1C05DBD9">
            <w:pPr>
              <w:keepNext w:val="0"/>
              <w:keepLines w:val="0"/>
              <w:pageBreakBefore w:val="0"/>
              <w:kinsoku/>
              <w:overflowPunct/>
              <w:bidi w:val="0"/>
              <w:adjustRightInd/>
              <w:snapToGrid/>
              <w:spacing w:line="360" w:lineRule="auto"/>
              <w:ind w:firstLine="480" w:firstLineChars="200"/>
              <w:jc w:val="left"/>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废</w:t>
            </w:r>
            <w:r>
              <w:rPr>
                <w:rFonts w:hint="eastAsia" w:cs="Times New Roman"/>
                <w:bCs/>
                <w:color w:val="auto"/>
                <w:sz w:val="24"/>
                <w:szCs w:val="24"/>
                <w:lang w:val="en-US" w:eastAsia="zh-CN"/>
              </w:rPr>
              <w:t>润滑油</w:t>
            </w:r>
            <w:r>
              <w:rPr>
                <w:rFonts w:hint="eastAsia" w:ascii="Times New Roman" w:hAnsi="Times New Roman" w:eastAsia="宋体" w:cs="Times New Roman"/>
                <w:bCs/>
                <w:color w:val="auto"/>
                <w:sz w:val="24"/>
                <w:szCs w:val="24"/>
                <w:lang w:val="en-US" w:eastAsia="zh-CN"/>
              </w:rPr>
              <w:t>收集后存储于危废间中，在收集、贮存过程由于管理不当，导致废</w:t>
            </w:r>
            <w:r>
              <w:rPr>
                <w:rFonts w:hint="eastAsia" w:cs="Times New Roman"/>
                <w:bCs/>
                <w:color w:val="auto"/>
                <w:sz w:val="24"/>
                <w:szCs w:val="24"/>
                <w:lang w:val="en-US" w:eastAsia="zh-CN"/>
              </w:rPr>
              <w:t>润滑油</w:t>
            </w:r>
            <w:r>
              <w:rPr>
                <w:rFonts w:hint="eastAsia" w:ascii="Times New Roman" w:hAnsi="Times New Roman" w:eastAsia="宋体" w:cs="Times New Roman"/>
                <w:bCs/>
                <w:color w:val="auto"/>
                <w:sz w:val="24"/>
                <w:szCs w:val="24"/>
                <w:lang w:val="en-US" w:eastAsia="zh-CN"/>
              </w:rPr>
              <w:t>发生泄露、渗漏以及流失，对外环境地表水、土壤、地下水造成污染。</w:t>
            </w:r>
          </w:p>
          <w:p w14:paraId="7936AEAE">
            <w:pPr>
              <w:keepNext w:val="0"/>
              <w:keepLines w:val="0"/>
              <w:pageBreakBefore w:val="0"/>
              <w:kinsoku/>
              <w:overflowPunct/>
              <w:bidi w:val="0"/>
              <w:adjustRightInd/>
              <w:snapToGrid/>
              <w:spacing w:line="360" w:lineRule="auto"/>
              <w:ind w:firstLine="482" w:firstLineChars="200"/>
              <w:jc w:val="left"/>
              <w:rPr>
                <w:rFonts w:hint="eastAsia"/>
                <w:b/>
                <w:bCs w:val="0"/>
                <w:color w:val="auto"/>
                <w:sz w:val="24"/>
                <w:lang w:val="en-US" w:eastAsia="zh-CN"/>
              </w:rPr>
            </w:pPr>
            <w:r>
              <w:rPr>
                <w:rFonts w:hint="eastAsia"/>
                <w:b/>
                <w:bCs w:val="0"/>
                <w:color w:val="auto"/>
                <w:sz w:val="24"/>
                <w:lang w:val="en-US" w:eastAsia="zh-CN"/>
              </w:rPr>
              <w:t>4、环境风险防范措施</w:t>
            </w:r>
          </w:p>
          <w:p w14:paraId="1A38B1F0">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rFonts w:hint="eastAsia"/>
                <w:bCs/>
                <w:color w:val="auto"/>
                <w:sz w:val="24"/>
              </w:rPr>
              <w:t>火灾爆炸伴生风险防范措施</w:t>
            </w:r>
          </w:p>
          <w:p w14:paraId="71E691EE">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①总图布置和建筑安全防范措施</w:t>
            </w:r>
          </w:p>
          <w:p w14:paraId="30AC72EA">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厂区总平面布置、防火间距应符合《建筑设计防火规范》和《工业企业总平面设计规范》等相关规定。物料储存车间建筑物耐火等级应符合《建筑设计防火规范》的有关规定，并通过消防、安全验收。</w:t>
            </w:r>
          </w:p>
          <w:p w14:paraId="44E5990A">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②可燃易燃品储运防范措施</w:t>
            </w:r>
          </w:p>
          <w:p w14:paraId="037B6A41">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尽可能减少可燃易燃品储存量和储存周期，物料储存应符合《常用化学危险品贮存通则</w:t>
            </w:r>
            <w:r>
              <w:rPr>
                <w:rFonts w:hint="eastAsia"/>
                <w:bCs/>
                <w:color w:val="auto"/>
                <w:sz w:val="24"/>
                <w:lang w:eastAsia="zh-CN"/>
              </w:rPr>
              <w:t>》《</w:t>
            </w:r>
            <w:r>
              <w:rPr>
                <w:rFonts w:hint="eastAsia"/>
                <w:bCs/>
                <w:color w:val="auto"/>
                <w:sz w:val="24"/>
              </w:rPr>
              <w:t>易燃易爆性商品储藏养护技术条件》等相关技术规范。</w:t>
            </w:r>
          </w:p>
          <w:p w14:paraId="15AA9F85">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③环境安全管理措施</w:t>
            </w:r>
          </w:p>
          <w:p w14:paraId="5C2530B9">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对安全专用设施和设备（如安全防护设施、通风设施、消防设施、应急救援器材及急救药品等）以及劳防用品，配备专人维修和管理，确保这些设施、设备正常运行和有效使用。定期对所有从业人员进行安全培训教育，使员工掌握各类危险物质的特性及防护措施，提高人员的安全防范和自我保护意识。</w:t>
            </w:r>
          </w:p>
          <w:p w14:paraId="1E0B6B50">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lang w:val="en-US" w:eastAsia="zh-CN"/>
              </w:rPr>
              <w:t>（2）</w:t>
            </w:r>
            <w:r>
              <w:rPr>
                <w:rFonts w:hint="eastAsia"/>
                <w:bCs/>
                <w:color w:val="auto"/>
                <w:sz w:val="24"/>
              </w:rPr>
              <w:t>废气事故风险防范措施</w:t>
            </w:r>
          </w:p>
          <w:p w14:paraId="25E69E4C">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发生事故的原因主要有以下几个：</w:t>
            </w:r>
          </w:p>
          <w:p w14:paraId="5A236D2F">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①废气处理系统在出现故障，未经处理的废气排入大气环境中；</w:t>
            </w:r>
          </w:p>
          <w:p w14:paraId="1B61536D">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②生产过程中由于设备老化、腐蚀、失误操作等原因造成废气浓度超标；</w:t>
            </w:r>
          </w:p>
          <w:p w14:paraId="1B397F50">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③厂内突然停电，废气处理系统停止工作，致使废气不能得到及时处理而造成事故排放；</w:t>
            </w:r>
          </w:p>
          <w:p w14:paraId="60D687B5">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④对废气治理措施疏于管理，使废气治理措施处理效率降低造成废气浓度超标；</w:t>
            </w:r>
          </w:p>
          <w:p w14:paraId="11EAE0DB">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⑤管理人员的疏忽和失职。</w:t>
            </w:r>
          </w:p>
          <w:p w14:paraId="1CD50E75">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为杜绝事故性废气排放，建议采用以下措施来确保废气达标排放：</w:t>
            </w:r>
          </w:p>
          <w:p w14:paraId="4DCFCB22">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①平时加强废气处理设施的维护保养，及时发现处理设备的隐患，并及时进行维修，确保废气处理系统正常运行；</w:t>
            </w:r>
          </w:p>
          <w:p w14:paraId="6E86D2E3">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②建立健全的环保机构，对管理人员和技术人员进行岗位培训，对废气处理实行全过程跟踪控制；</w:t>
            </w:r>
          </w:p>
          <w:p w14:paraId="02CBBC82">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③项目应设有备用电源，以备停电时保障废气处理系统仍能正常工作。</w:t>
            </w:r>
          </w:p>
          <w:p w14:paraId="7BB1AF62">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lang w:val="en-US" w:eastAsia="zh-CN"/>
              </w:rPr>
              <w:t>（3）</w:t>
            </w:r>
            <w:r>
              <w:rPr>
                <w:rFonts w:hint="eastAsia"/>
                <w:bCs/>
                <w:color w:val="auto"/>
                <w:sz w:val="24"/>
              </w:rPr>
              <w:t>固废事故风险防范措施</w:t>
            </w:r>
          </w:p>
          <w:p w14:paraId="2C361638">
            <w:pPr>
              <w:keepNext w:val="0"/>
              <w:keepLines w:val="0"/>
              <w:pageBreakBefore w:val="0"/>
              <w:widowControl/>
              <w:kinsoku/>
              <w:overflowPunct/>
              <w:bidi w:val="0"/>
              <w:adjustRightInd/>
              <w:snapToGrid/>
              <w:spacing w:line="360" w:lineRule="auto"/>
              <w:ind w:firstLine="480" w:firstLineChars="200"/>
              <w:jc w:val="left"/>
              <w:rPr>
                <w:color w:val="auto"/>
              </w:rPr>
            </w:pPr>
            <w:r>
              <w:rPr>
                <w:rFonts w:hint="eastAsia" w:ascii="宋体" w:hAnsi="宋体" w:cs="宋体"/>
                <w:color w:val="auto"/>
                <w:kern w:val="0"/>
                <w:sz w:val="24"/>
                <w:lang w:bidi="ar"/>
              </w:rPr>
              <w:t>全厂各种固废分类收集，盛放，</w:t>
            </w:r>
            <w:r>
              <w:rPr>
                <w:rFonts w:hint="eastAsia" w:ascii="宋体" w:hAnsi="宋体" w:cs="宋体"/>
                <w:color w:val="auto"/>
                <w:kern w:val="0"/>
                <w:sz w:val="24"/>
                <w:lang w:eastAsia="zh-CN" w:bidi="ar"/>
              </w:rPr>
              <w:t>建立固体废物产生、处置、去向的台账，</w:t>
            </w:r>
            <w:r>
              <w:rPr>
                <w:rFonts w:hint="eastAsia" w:ascii="宋体" w:hAnsi="宋体" w:cs="宋体"/>
                <w:color w:val="auto"/>
                <w:kern w:val="0"/>
                <w:sz w:val="24"/>
                <w:lang w:bidi="ar"/>
              </w:rPr>
              <w:t>临时存放室内固定场所不被雨淋、风吹，专车运送，所有固废都得到合适的处置或综合利用，固废实现“零排放”是有保证的，不会对环境产生二次污染。</w:t>
            </w:r>
          </w:p>
          <w:p w14:paraId="2BC86D66">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lang w:val="en-US" w:eastAsia="zh-CN"/>
              </w:rPr>
              <w:t>（4）</w:t>
            </w:r>
            <w:r>
              <w:rPr>
                <w:rFonts w:hint="eastAsia"/>
                <w:bCs/>
                <w:color w:val="auto"/>
                <w:sz w:val="24"/>
              </w:rPr>
              <w:t>液体原辅料泄漏事故风险防范措施</w:t>
            </w:r>
          </w:p>
          <w:p w14:paraId="6132C702">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化学品库房应有明显的货物标记，场所应有警示标志和书写有危险特性、泄漏应急处理、储运注意事项和灭火方法等内容的标牌；对仓库内储存的风险物质定期进行检查，检查中发现变质、包装破损、渗漏等问题应及时采取应急措施解决。存放区域地面及裙角应做耐腐蚀硬化、防渗漏处理。</w:t>
            </w:r>
          </w:p>
          <w:p w14:paraId="2424B16D">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组织义务消防队，并定期组织消防训练，使每</w:t>
            </w:r>
            <w:r>
              <w:rPr>
                <w:rFonts w:hint="eastAsia"/>
                <w:bCs/>
                <w:color w:val="auto"/>
                <w:sz w:val="24"/>
                <w:lang w:eastAsia="zh-CN"/>
              </w:rPr>
              <w:t>名</w:t>
            </w:r>
            <w:r>
              <w:rPr>
                <w:rFonts w:hint="eastAsia"/>
                <w:bCs/>
                <w:color w:val="auto"/>
                <w:sz w:val="24"/>
              </w:rPr>
              <w:t>员工都会使用消防器材。应针对性的制定化学伤害、中毒急救方案，并组织训练演习。</w:t>
            </w:r>
          </w:p>
          <w:p w14:paraId="05C43F48">
            <w:pPr>
              <w:keepNext w:val="0"/>
              <w:keepLines w:val="0"/>
              <w:pageBreakBefore w:val="0"/>
              <w:kinsoku/>
              <w:overflowPunct/>
              <w:bidi w:val="0"/>
              <w:adjustRightInd/>
              <w:snapToGrid/>
              <w:spacing w:line="360" w:lineRule="auto"/>
              <w:ind w:firstLine="480" w:firstLineChars="200"/>
              <w:jc w:val="left"/>
              <w:rPr>
                <w:bCs/>
                <w:color w:val="auto"/>
                <w:sz w:val="24"/>
              </w:rPr>
            </w:pPr>
            <w:r>
              <w:rPr>
                <w:rFonts w:hint="eastAsia"/>
                <w:bCs/>
                <w:color w:val="auto"/>
                <w:sz w:val="24"/>
                <w:lang w:val="en-US" w:eastAsia="zh-CN"/>
              </w:rPr>
              <w:t>（5）</w:t>
            </w:r>
            <w:r>
              <w:rPr>
                <w:rFonts w:hint="eastAsia"/>
                <w:bCs/>
                <w:color w:val="auto"/>
                <w:sz w:val="24"/>
              </w:rPr>
              <w:t>配备环境应急物资和应急设施</w:t>
            </w:r>
          </w:p>
          <w:p w14:paraId="223F4840">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建设单位应按照可能发生的突发环境事件情形配备应急物资、消防器材、人员防护应急物资以及应急设施。</w:t>
            </w:r>
          </w:p>
          <w:p w14:paraId="6CA74C7B">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rPr>
              <w:t>危废暂存间、</w:t>
            </w:r>
            <w:r>
              <w:rPr>
                <w:rFonts w:hint="eastAsia"/>
                <w:bCs/>
                <w:color w:val="auto"/>
                <w:sz w:val="24"/>
                <w:lang w:eastAsia="zh-CN"/>
              </w:rPr>
              <w:t>化学品库</w:t>
            </w:r>
            <w:r>
              <w:rPr>
                <w:rFonts w:hint="eastAsia"/>
                <w:bCs/>
                <w:color w:val="auto"/>
                <w:sz w:val="24"/>
              </w:rPr>
              <w:t>应按照要求设置围堰和导流沟，并按照规定设置安全警示标识，同时厂区雨水排口采取截流措施，保证事故状态下事故废水可有效拦截，不通过雨水管道排入外环境。</w:t>
            </w:r>
          </w:p>
          <w:p w14:paraId="2C5AC4A4">
            <w:pPr>
              <w:keepNext w:val="0"/>
              <w:keepLines w:val="0"/>
              <w:pageBreakBefore w:val="0"/>
              <w:kinsoku/>
              <w:overflowPunct/>
              <w:bidi w:val="0"/>
              <w:adjustRightInd/>
              <w:snapToGrid/>
              <w:spacing w:line="360" w:lineRule="auto"/>
              <w:ind w:firstLine="480" w:firstLineChars="200"/>
              <w:jc w:val="left"/>
              <w:rPr>
                <w:rFonts w:hint="eastAsia"/>
                <w:bCs/>
                <w:color w:val="auto"/>
                <w:sz w:val="24"/>
              </w:rPr>
            </w:pPr>
            <w:r>
              <w:rPr>
                <w:rFonts w:hint="eastAsia"/>
                <w:bCs/>
                <w:color w:val="auto"/>
                <w:sz w:val="24"/>
                <w:lang w:val="en-US" w:eastAsia="zh-CN"/>
              </w:rPr>
              <w:t>（6）</w:t>
            </w:r>
            <w:r>
              <w:rPr>
                <w:rFonts w:hint="eastAsia"/>
                <w:bCs/>
                <w:color w:val="auto"/>
                <w:sz w:val="24"/>
              </w:rPr>
              <w:t>制定突发环境事件应急预案</w:t>
            </w:r>
          </w:p>
          <w:p w14:paraId="090177AA">
            <w:pPr>
              <w:keepNext w:val="0"/>
              <w:keepLines w:val="0"/>
              <w:pageBreakBefore w:val="0"/>
              <w:kinsoku/>
              <w:overflowPunct/>
              <w:bidi w:val="0"/>
              <w:adjustRightInd/>
              <w:snapToGrid/>
              <w:spacing w:line="360" w:lineRule="auto"/>
              <w:ind w:firstLine="480" w:firstLineChars="200"/>
              <w:jc w:val="left"/>
              <w:rPr>
                <w:bCs/>
                <w:color w:val="auto"/>
                <w:sz w:val="24"/>
              </w:rPr>
            </w:pPr>
            <w:r>
              <w:rPr>
                <w:rFonts w:hint="eastAsia"/>
                <w:bCs/>
                <w:color w:val="auto"/>
                <w:sz w:val="24"/>
              </w:rPr>
              <w:t>因本项目涉及化学品使用、贮存，存在化学品泄漏，火灾、爆炸伴生环境污染事件环境污染风险。为了加强厂区突发环境事件应急响应和处置，企业应按照要求《突发环境事件应急预案管理暂行办法》规定制定突发环境事件应急处置预案，并报送生态环境主管部门进行备案。</w:t>
            </w:r>
          </w:p>
          <w:p w14:paraId="48778891">
            <w:pPr>
              <w:keepNext w:val="0"/>
              <w:keepLines w:val="0"/>
              <w:pageBreakBefore w:val="0"/>
              <w:kinsoku/>
              <w:overflowPunct/>
              <w:bidi w:val="0"/>
              <w:adjustRightInd/>
              <w:snapToGrid/>
              <w:spacing w:line="360" w:lineRule="auto"/>
              <w:ind w:firstLine="480" w:firstLineChars="200"/>
              <w:jc w:val="left"/>
              <w:rPr>
                <w:color w:val="auto"/>
                <w:szCs w:val="32"/>
              </w:rPr>
            </w:pPr>
            <w:r>
              <w:rPr>
                <w:rFonts w:hint="eastAsia"/>
                <w:bCs/>
                <w:color w:val="auto"/>
                <w:sz w:val="24"/>
              </w:rPr>
              <w:t>通过采取以上措施后，本项目的环境风险将被控制在可接受的范围之内，</w:t>
            </w:r>
            <w:r>
              <w:rPr>
                <w:bCs/>
                <w:color w:val="auto"/>
                <w:sz w:val="24"/>
              </w:rPr>
              <w:t>风险事故对外环境影响较小</w:t>
            </w:r>
            <w:r>
              <w:rPr>
                <w:rFonts w:hint="eastAsia"/>
                <w:bCs/>
                <w:color w:val="auto"/>
                <w:sz w:val="24"/>
              </w:rPr>
              <w:t>。在</w:t>
            </w:r>
            <w:r>
              <w:rPr>
                <w:bCs/>
                <w:color w:val="auto"/>
                <w:sz w:val="24"/>
              </w:rPr>
              <w:t>项目落实环境风险防范措施和应急预案</w:t>
            </w:r>
            <w:r>
              <w:rPr>
                <w:rFonts w:hint="eastAsia"/>
                <w:bCs/>
                <w:color w:val="auto"/>
                <w:sz w:val="24"/>
              </w:rPr>
              <w:t>的</w:t>
            </w:r>
            <w:r>
              <w:rPr>
                <w:bCs/>
                <w:color w:val="auto"/>
                <w:sz w:val="24"/>
              </w:rPr>
              <w:t>基础上，其环境风险是可接受的。</w:t>
            </w:r>
          </w:p>
          <w:p w14:paraId="67D76460">
            <w:pPr>
              <w:keepNext w:val="0"/>
              <w:keepLines w:val="0"/>
              <w:pageBreakBefore w:val="0"/>
              <w:kinsoku/>
              <w:overflowPunct/>
              <w:autoSpaceDE w:val="0"/>
              <w:autoSpaceDN w:val="0"/>
              <w:bidi w:val="0"/>
              <w:adjustRightInd/>
              <w:snapToGrid/>
              <w:spacing w:line="360" w:lineRule="auto"/>
              <w:ind w:firstLine="482" w:firstLineChars="200"/>
              <w:rPr>
                <w:b/>
                <w:bCs/>
                <w:color w:val="auto"/>
                <w:sz w:val="24"/>
                <w:szCs w:val="32"/>
                <w:lang w:bidi="ar"/>
              </w:rPr>
            </w:pPr>
            <w:r>
              <w:rPr>
                <w:rFonts w:hint="eastAsia"/>
                <w:b/>
                <w:bCs/>
                <w:color w:val="auto"/>
                <w:sz w:val="24"/>
                <w:szCs w:val="32"/>
                <w:lang w:val="en-US" w:eastAsia="zh-CN" w:bidi="ar"/>
              </w:rPr>
              <w:t>5</w:t>
            </w:r>
            <w:r>
              <w:rPr>
                <w:b/>
                <w:bCs/>
                <w:color w:val="auto"/>
                <w:sz w:val="24"/>
                <w:szCs w:val="32"/>
                <w:lang w:bidi="ar"/>
              </w:rPr>
              <w:t>、小结</w:t>
            </w:r>
          </w:p>
          <w:p w14:paraId="1C58DB3C">
            <w:pPr>
              <w:pStyle w:val="91"/>
              <w:keepNext w:val="0"/>
              <w:keepLines w:val="0"/>
              <w:pageBreakBefore w:val="0"/>
              <w:kinsoku/>
              <w:overflowPunct/>
              <w:bidi w:val="0"/>
              <w:adjustRightInd/>
              <w:snapToGrid/>
              <w:spacing w:line="360" w:lineRule="auto"/>
              <w:ind w:firstLine="480" w:firstLineChars="200"/>
              <w:jc w:val="both"/>
              <w:rPr>
                <w:rFonts w:ascii="Times New Roman" w:hAnsi="Times New Roman"/>
                <w:color w:val="auto"/>
                <w:kern w:val="2"/>
                <w:szCs w:val="32"/>
                <w:lang w:bidi="ar"/>
              </w:rPr>
            </w:pPr>
            <w:r>
              <w:rPr>
                <w:rFonts w:ascii="Times New Roman" w:hAnsi="Times New Roman"/>
                <w:color w:val="auto"/>
                <w:kern w:val="2"/>
                <w:szCs w:val="32"/>
                <w:lang w:bidi="ar"/>
              </w:rPr>
              <w:t>综上所述，项目厂内使用</w:t>
            </w:r>
            <w:r>
              <w:rPr>
                <w:rFonts w:ascii="Times New Roman" w:hAnsi="Times New Roman"/>
                <w:color w:val="auto"/>
                <w:kern w:val="2"/>
                <w:szCs w:val="24"/>
              </w:rPr>
              <w:t>的化学品不构成危险化学品重大危险源。</w:t>
            </w:r>
            <w:r>
              <w:rPr>
                <w:rFonts w:hint="eastAsia" w:ascii="Times New Roman" w:hAnsi="Times New Roman"/>
                <w:color w:val="auto"/>
                <w:kern w:val="2"/>
                <w:szCs w:val="24"/>
              </w:rPr>
              <w:t>危废间</w:t>
            </w:r>
            <w:r>
              <w:rPr>
                <w:rFonts w:ascii="Times New Roman" w:hAnsi="Times New Roman"/>
                <w:color w:val="auto"/>
                <w:kern w:val="2"/>
                <w:szCs w:val="24"/>
              </w:rPr>
              <w:t>地面均采取防渗设计，有专人看管，一旦发现泄漏及时采取措施清理现场，加强</w:t>
            </w:r>
            <w:r>
              <w:rPr>
                <w:rFonts w:ascii="Times New Roman" w:hAnsi="Times New Roman"/>
                <w:color w:val="auto"/>
                <w:kern w:val="2"/>
                <w:szCs w:val="32"/>
                <w:lang w:bidi="ar"/>
              </w:rPr>
              <w:t>员工培训教育，使用时严格按规范操作，轻拿轻放，车间内严禁吸烟。由于化学品储存量小，采取风险防范措施后，发生泄漏事故不会对区域环境质量造成影响。在落实各项风险防范措施和设置切实可行的应急预案和区域联动机制后，能降低事故发生概率和控制影响程度，总体而言风险水平可以接受。</w:t>
            </w:r>
          </w:p>
          <w:p w14:paraId="5A06094C">
            <w:pPr>
              <w:pStyle w:val="91"/>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i w:val="0"/>
                <w:iCs w:val="0"/>
                <w:color w:val="auto"/>
                <w:kern w:val="2"/>
                <w:sz w:val="24"/>
                <w:szCs w:val="24"/>
                <w:lang w:val="en-US" w:eastAsia="zh-CN" w:bidi="ar"/>
              </w:rPr>
            </w:pPr>
            <w:r>
              <w:rPr>
                <w:rFonts w:hint="eastAsia" w:ascii="Times New Roman" w:hAnsi="Times New Roman" w:eastAsia="宋体" w:cs="Times New Roman"/>
                <w:b/>
                <w:bCs/>
                <w:i w:val="0"/>
                <w:iCs w:val="0"/>
                <w:color w:val="auto"/>
                <w:kern w:val="2"/>
                <w:sz w:val="24"/>
                <w:szCs w:val="24"/>
                <w:lang w:val="en-US" w:eastAsia="zh-CN" w:bidi="ar"/>
              </w:rPr>
              <w:t>七、环保投资</w:t>
            </w:r>
          </w:p>
          <w:p w14:paraId="5C077E1A">
            <w:pPr>
              <w:keepNext w:val="0"/>
              <w:keepLines w:val="0"/>
              <w:pageBreakBefore w:val="0"/>
              <w:kinsoku/>
              <w:overflowPunct/>
              <w:bidi w:val="0"/>
              <w:adjustRightInd/>
              <w:snapToGrid/>
              <w:spacing w:line="360" w:lineRule="auto"/>
              <w:ind w:firstLine="480" w:firstLineChars="200"/>
              <w:jc w:val="left"/>
              <w:rPr>
                <w:rFonts w:hint="default" w:ascii="Times New Roman" w:hAnsi="Times New Roman" w:eastAsia="宋体" w:cs="Times New Roman"/>
                <w:b/>
                <w:bCs/>
                <w:i w:val="0"/>
                <w:iCs w:val="0"/>
                <w:color w:val="auto"/>
                <w:kern w:val="2"/>
                <w:sz w:val="24"/>
                <w:szCs w:val="24"/>
                <w:lang w:val="en-US" w:eastAsia="zh-CN" w:bidi="ar"/>
              </w:rPr>
            </w:pPr>
            <w:r>
              <w:rPr>
                <w:rFonts w:hint="default" w:ascii="Times New Roman" w:hAnsi="Times New Roman" w:eastAsia="宋体" w:cs="Times New Roman"/>
                <w:b w:val="0"/>
                <w:bCs w:val="0"/>
                <w:i w:val="0"/>
                <w:iCs w:val="0"/>
                <w:color w:val="auto"/>
                <w:kern w:val="2"/>
                <w:sz w:val="24"/>
                <w:szCs w:val="24"/>
                <w:lang w:val="en-US" w:eastAsia="zh-CN" w:bidi="ar"/>
              </w:rPr>
              <w:t>本项目总投资约</w:t>
            </w:r>
            <w:r>
              <w:rPr>
                <w:rFonts w:hint="eastAsia" w:cs="Times New Roman"/>
                <w:b w:val="0"/>
                <w:bCs w:val="0"/>
                <w:i w:val="0"/>
                <w:iCs w:val="0"/>
                <w:color w:val="auto"/>
                <w:kern w:val="2"/>
                <w:sz w:val="24"/>
                <w:szCs w:val="24"/>
                <w:lang w:val="en-US" w:eastAsia="zh-CN" w:bidi="ar"/>
              </w:rPr>
              <w:t>6</w:t>
            </w:r>
            <w:r>
              <w:rPr>
                <w:rFonts w:hint="default" w:ascii="Times New Roman" w:hAnsi="Times New Roman" w:eastAsia="宋体" w:cs="Times New Roman"/>
                <w:b w:val="0"/>
                <w:bCs w:val="0"/>
                <w:i w:val="0"/>
                <w:iCs w:val="0"/>
                <w:color w:val="auto"/>
                <w:kern w:val="2"/>
                <w:sz w:val="24"/>
                <w:szCs w:val="24"/>
                <w:lang w:val="en-US" w:eastAsia="zh-CN" w:bidi="ar"/>
              </w:rPr>
              <w:t>000万元，其中环保投资约</w:t>
            </w:r>
            <w:r>
              <w:rPr>
                <w:rFonts w:hint="eastAsia" w:cs="Times New Roman"/>
                <w:b w:val="0"/>
                <w:bCs w:val="0"/>
                <w:i w:val="0"/>
                <w:iCs w:val="0"/>
                <w:color w:val="auto"/>
                <w:kern w:val="2"/>
                <w:sz w:val="24"/>
                <w:szCs w:val="24"/>
                <w:lang w:val="en-US" w:eastAsia="zh-CN" w:bidi="ar"/>
              </w:rPr>
              <w:t>42</w:t>
            </w:r>
            <w:r>
              <w:rPr>
                <w:rFonts w:hint="default" w:ascii="Times New Roman" w:hAnsi="Times New Roman" w:eastAsia="宋体" w:cs="Times New Roman"/>
                <w:b w:val="0"/>
                <w:bCs w:val="0"/>
                <w:i w:val="0"/>
                <w:iCs w:val="0"/>
                <w:color w:val="auto"/>
                <w:kern w:val="2"/>
                <w:sz w:val="24"/>
                <w:szCs w:val="24"/>
                <w:lang w:val="en-US" w:eastAsia="zh-CN" w:bidi="ar"/>
              </w:rPr>
              <w:t>万元，占投资总额</w:t>
            </w:r>
            <w:r>
              <w:rPr>
                <w:rFonts w:hint="eastAsia" w:cs="Times New Roman"/>
                <w:b w:val="0"/>
                <w:bCs w:val="0"/>
                <w:i w:val="0"/>
                <w:iCs w:val="0"/>
                <w:color w:val="auto"/>
                <w:kern w:val="2"/>
                <w:sz w:val="24"/>
                <w:szCs w:val="24"/>
                <w:lang w:val="en-US" w:eastAsia="zh-CN" w:bidi="ar"/>
              </w:rPr>
              <w:t>0.7</w:t>
            </w:r>
            <w:r>
              <w:rPr>
                <w:rFonts w:hint="default" w:ascii="Times New Roman" w:hAnsi="Times New Roman" w:cs="Times New Roman"/>
                <w:b w:val="0"/>
                <w:bCs w:val="0"/>
                <w:i w:val="0"/>
                <w:iCs w:val="0"/>
                <w:color w:val="auto"/>
                <w:kern w:val="2"/>
                <w:sz w:val="24"/>
                <w:szCs w:val="24"/>
                <w:lang w:val="en-US" w:eastAsia="zh-CN" w:bidi="ar"/>
              </w:rPr>
              <w:t>0</w:t>
            </w:r>
            <w:r>
              <w:rPr>
                <w:rFonts w:hint="eastAsia" w:ascii="Times New Roman" w:hAnsi="Times New Roman" w:cs="Times New Roman"/>
                <w:b w:val="0"/>
                <w:bCs w:val="0"/>
                <w:i w:val="0"/>
                <w:iCs w:val="0"/>
                <w:color w:val="auto"/>
                <w:kern w:val="2"/>
                <w:sz w:val="24"/>
                <w:szCs w:val="24"/>
                <w:lang w:val="en-US" w:eastAsia="zh-CN" w:bidi="ar"/>
              </w:rPr>
              <w:t>%</w:t>
            </w:r>
            <w:r>
              <w:rPr>
                <w:rFonts w:hint="default" w:ascii="Times New Roman" w:hAnsi="Times New Roman" w:eastAsia="宋体" w:cs="Times New Roman"/>
                <w:b w:val="0"/>
                <w:bCs w:val="0"/>
                <w:i w:val="0"/>
                <w:iCs w:val="0"/>
                <w:color w:val="auto"/>
                <w:kern w:val="2"/>
                <w:sz w:val="24"/>
                <w:szCs w:val="24"/>
                <w:lang w:val="en-US" w:eastAsia="zh-CN" w:bidi="ar"/>
              </w:rPr>
              <w:t>，环境保护投资估算详见下表：</w:t>
            </w:r>
          </w:p>
          <w:p w14:paraId="759E385E">
            <w:pPr>
              <w:keepNext w:val="0"/>
              <w:keepLines w:val="0"/>
              <w:pageBreakBefore w:val="0"/>
              <w:kinsoku/>
              <w:overflowPunct/>
              <w:bidi w:val="0"/>
              <w:adjustRightInd/>
              <w:snapToGrid/>
              <w:spacing w:line="360" w:lineRule="auto"/>
              <w:jc w:val="center"/>
              <w:rPr>
                <w:rFonts w:hint="default" w:ascii="Times New Roman" w:hAnsi="Times New Roman" w:eastAsia="宋体" w:cs="Times New Roman"/>
                <w:b/>
                <w:bCs/>
                <w:i w:val="0"/>
                <w:iCs w:val="0"/>
                <w:color w:val="auto"/>
                <w:kern w:val="2"/>
                <w:sz w:val="24"/>
                <w:szCs w:val="24"/>
                <w:lang w:val="en-US" w:eastAsia="zh-CN" w:bidi="ar"/>
              </w:rPr>
            </w:pPr>
            <w:r>
              <w:rPr>
                <w:rFonts w:hint="default" w:ascii="Times New Roman" w:hAnsi="Times New Roman" w:eastAsia="宋体" w:cs="Times New Roman"/>
                <w:b/>
                <w:bCs/>
                <w:i w:val="0"/>
                <w:iCs w:val="0"/>
                <w:color w:val="auto"/>
                <w:kern w:val="2"/>
                <w:sz w:val="24"/>
                <w:szCs w:val="24"/>
                <w:lang w:val="en-US" w:eastAsia="zh-CN" w:bidi="ar"/>
              </w:rPr>
              <w:t>表4-</w:t>
            </w:r>
            <w:r>
              <w:rPr>
                <w:rFonts w:hint="eastAsia" w:cs="Times New Roman"/>
                <w:b/>
                <w:bCs/>
                <w:i w:val="0"/>
                <w:iCs w:val="0"/>
                <w:color w:val="auto"/>
                <w:kern w:val="2"/>
                <w:sz w:val="24"/>
                <w:szCs w:val="24"/>
                <w:lang w:val="en-US" w:eastAsia="zh-CN" w:bidi="ar"/>
              </w:rPr>
              <w:t>22</w:t>
            </w:r>
            <w:r>
              <w:rPr>
                <w:rFonts w:hint="default" w:ascii="Times New Roman" w:hAnsi="Times New Roman" w:eastAsia="宋体" w:cs="Times New Roman"/>
                <w:b/>
                <w:bCs/>
                <w:i w:val="0"/>
                <w:iCs w:val="0"/>
                <w:color w:val="auto"/>
                <w:kern w:val="2"/>
                <w:sz w:val="24"/>
                <w:szCs w:val="24"/>
                <w:lang w:val="en-US" w:eastAsia="zh-CN" w:bidi="ar"/>
              </w:rPr>
              <w:t xml:space="preserve">  项目环保投资表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1"/>
              <w:gridCol w:w="801"/>
              <w:gridCol w:w="1749"/>
              <w:gridCol w:w="3589"/>
              <w:gridCol w:w="1046"/>
              <w:gridCol w:w="1178"/>
            </w:tblGrid>
            <w:tr w14:paraId="3690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jc w:val="center"/>
              </w:trPr>
              <w:tc>
                <w:tcPr>
                  <w:tcW w:w="245" w:type="pct"/>
                  <w:noWrap w:val="0"/>
                  <w:tcMar>
                    <w:top w:w="0" w:type="dxa"/>
                    <w:left w:w="108" w:type="dxa"/>
                    <w:bottom w:w="0" w:type="dxa"/>
                    <w:right w:w="108" w:type="dxa"/>
                  </w:tcMar>
                  <w:vAlign w:val="center"/>
                </w:tcPr>
                <w:p w14:paraId="01168AF4">
                  <w:pPr>
                    <w:keepNext w:val="0"/>
                    <w:keepLines w:val="0"/>
                    <w:pageBreakBefore w:val="0"/>
                    <w:kinsoku/>
                    <w:overflowPunct/>
                    <w:bidi w:val="0"/>
                    <w:adjustRightInd/>
                    <w:snapToGrid/>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55" w:type="pct"/>
                  <w:noWrap w:val="0"/>
                  <w:tcMar>
                    <w:top w:w="0" w:type="dxa"/>
                    <w:left w:w="108" w:type="dxa"/>
                    <w:bottom w:w="0" w:type="dxa"/>
                    <w:right w:w="108" w:type="dxa"/>
                  </w:tcMar>
                  <w:vAlign w:val="center"/>
                </w:tcPr>
                <w:p w14:paraId="5BCE380F">
                  <w:pPr>
                    <w:keepNext w:val="0"/>
                    <w:keepLines w:val="0"/>
                    <w:pageBreakBefore w:val="0"/>
                    <w:kinsoku/>
                    <w:overflowPunct/>
                    <w:bidi w:val="0"/>
                    <w:adjustRightInd/>
                    <w:snapToGrid/>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994" w:type="pct"/>
                  <w:noWrap w:val="0"/>
                  <w:tcMar>
                    <w:top w:w="0" w:type="dxa"/>
                    <w:left w:w="108" w:type="dxa"/>
                    <w:bottom w:w="0" w:type="dxa"/>
                    <w:right w:w="108" w:type="dxa"/>
                  </w:tcMar>
                  <w:vAlign w:val="center"/>
                </w:tcPr>
                <w:p w14:paraId="7EE439E7">
                  <w:pPr>
                    <w:keepNext w:val="0"/>
                    <w:keepLines w:val="0"/>
                    <w:pageBreakBefore w:val="0"/>
                    <w:kinsoku/>
                    <w:overflowPunct/>
                    <w:bidi w:val="0"/>
                    <w:adjustRightInd/>
                    <w:snapToGrid/>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治理对象</w:t>
                  </w:r>
                </w:p>
              </w:tc>
              <w:tc>
                <w:tcPr>
                  <w:tcW w:w="2040" w:type="pct"/>
                  <w:noWrap w:val="0"/>
                  <w:tcMar>
                    <w:top w:w="0" w:type="dxa"/>
                    <w:left w:w="108" w:type="dxa"/>
                    <w:bottom w:w="0" w:type="dxa"/>
                    <w:right w:w="108" w:type="dxa"/>
                  </w:tcMar>
                  <w:vAlign w:val="center"/>
                </w:tcPr>
                <w:p w14:paraId="0D1FB7BA">
                  <w:pPr>
                    <w:keepNext w:val="0"/>
                    <w:keepLines w:val="0"/>
                    <w:pageBreakBefore w:val="0"/>
                    <w:kinsoku/>
                    <w:overflowPunct/>
                    <w:bidi w:val="0"/>
                    <w:adjustRightInd/>
                    <w:snapToGrid/>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治理方案</w:t>
                  </w:r>
                </w:p>
              </w:tc>
              <w:tc>
                <w:tcPr>
                  <w:tcW w:w="594" w:type="pct"/>
                  <w:noWrap w:val="0"/>
                  <w:tcMar>
                    <w:top w:w="0" w:type="dxa"/>
                    <w:left w:w="108" w:type="dxa"/>
                    <w:bottom w:w="0" w:type="dxa"/>
                    <w:right w:w="108" w:type="dxa"/>
                  </w:tcMar>
                  <w:vAlign w:val="center"/>
                </w:tcPr>
                <w:p w14:paraId="10CF2736">
                  <w:pPr>
                    <w:keepNext w:val="0"/>
                    <w:keepLines w:val="0"/>
                    <w:pageBreakBefore w:val="0"/>
                    <w:kinsoku/>
                    <w:overflowPunct/>
                    <w:bidi w:val="0"/>
                    <w:adjustRightInd/>
                    <w:snapToGrid/>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投资（万元）</w:t>
                  </w:r>
                </w:p>
              </w:tc>
              <w:tc>
                <w:tcPr>
                  <w:tcW w:w="669" w:type="pct"/>
                  <w:noWrap w:val="0"/>
                  <w:vAlign w:val="center"/>
                </w:tcPr>
                <w:p w14:paraId="2821EEDA">
                  <w:pPr>
                    <w:keepNext w:val="0"/>
                    <w:keepLines w:val="0"/>
                    <w:pageBreakBefore w:val="0"/>
                    <w:kinsoku/>
                    <w:overflowPunct/>
                    <w:bidi w:val="0"/>
                    <w:adjustRightInd/>
                    <w:snapToGrid/>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治理效果</w:t>
                  </w:r>
                </w:p>
              </w:tc>
            </w:tr>
            <w:tr w14:paraId="4C51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245" w:type="pct"/>
                  <w:vMerge w:val="restart"/>
                  <w:noWrap w:val="0"/>
                  <w:tcMar>
                    <w:top w:w="0" w:type="dxa"/>
                    <w:left w:w="108" w:type="dxa"/>
                    <w:bottom w:w="0" w:type="dxa"/>
                    <w:right w:w="108" w:type="dxa"/>
                  </w:tcMar>
                  <w:vAlign w:val="center"/>
                </w:tcPr>
                <w:p w14:paraId="1D0AD4E7">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5" w:type="pct"/>
                  <w:vMerge w:val="restart"/>
                  <w:noWrap w:val="0"/>
                  <w:tcMar>
                    <w:top w:w="0" w:type="dxa"/>
                    <w:left w:w="108" w:type="dxa"/>
                    <w:bottom w:w="0" w:type="dxa"/>
                    <w:right w:w="108" w:type="dxa"/>
                  </w:tcMar>
                  <w:vAlign w:val="center"/>
                </w:tcPr>
                <w:p w14:paraId="1E4D3AF6">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994" w:type="pct"/>
                  <w:noWrap w:val="0"/>
                  <w:tcMar>
                    <w:top w:w="0" w:type="dxa"/>
                    <w:left w:w="108" w:type="dxa"/>
                    <w:bottom w:w="0" w:type="dxa"/>
                    <w:right w:w="108" w:type="dxa"/>
                  </w:tcMar>
                  <w:vAlign w:val="center"/>
                </w:tcPr>
                <w:p w14:paraId="5DBD2D12">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有组织废气</w:t>
                  </w:r>
                </w:p>
              </w:tc>
              <w:tc>
                <w:tcPr>
                  <w:tcW w:w="2040" w:type="pct"/>
                  <w:noWrap w:val="0"/>
                  <w:tcMar>
                    <w:top w:w="0" w:type="dxa"/>
                    <w:left w:w="108" w:type="dxa"/>
                    <w:bottom w:w="0" w:type="dxa"/>
                    <w:right w:w="108" w:type="dxa"/>
                  </w:tcMar>
                  <w:vAlign w:val="center"/>
                </w:tcPr>
                <w:p w14:paraId="6F5EF0B6">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 w:val="0"/>
                      <w:bCs w:val="0"/>
                      <w:color w:val="auto"/>
                      <w:kern w:val="2"/>
                      <w:sz w:val="21"/>
                      <w:szCs w:val="21"/>
                      <w:lang w:val="zh-CN" w:eastAsia="zh-CN" w:bidi="ar-SA"/>
                    </w:rPr>
                    <w:t>生物质锅炉燃烧废气：低氮燃烧器</w:t>
                  </w:r>
                  <w:r>
                    <w:rPr>
                      <w:rFonts w:hint="eastAsia" w:ascii="Times New Roman" w:hAnsi="Times New Roman" w:cs="Times New Roman"/>
                      <w:b w:val="0"/>
                      <w:bCs w:val="0"/>
                      <w:color w:val="auto"/>
                      <w:kern w:val="2"/>
                      <w:sz w:val="21"/>
                      <w:szCs w:val="21"/>
                      <w:lang w:val="en-US" w:eastAsia="zh-CN" w:bidi="ar-SA"/>
                    </w:rPr>
                    <w:t>+SCR脱硝+</w:t>
                  </w:r>
                  <w:r>
                    <w:rPr>
                      <w:rFonts w:hint="eastAsia" w:ascii="Times New Roman" w:hAnsi="Times New Roman" w:cs="Times New Roman"/>
                      <w:b w:val="0"/>
                      <w:bCs w:val="0"/>
                      <w:color w:val="auto"/>
                      <w:kern w:val="2"/>
                      <w:sz w:val="21"/>
                      <w:szCs w:val="21"/>
                      <w:lang w:val="zh-CN" w:eastAsia="zh-CN" w:bidi="ar-SA"/>
                    </w:rPr>
                    <w:t>多管旋风除尘器</w:t>
                  </w:r>
                  <w:r>
                    <w:rPr>
                      <w:rFonts w:hint="eastAsia" w:ascii="Times New Roman" w:hAnsi="Times New Roman" w:cs="Times New Roman"/>
                      <w:b w:val="0"/>
                      <w:bCs w:val="0"/>
                      <w:color w:val="auto"/>
                      <w:kern w:val="2"/>
                      <w:sz w:val="21"/>
                      <w:szCs w:val="21"/>
                      <w:lang w:val="en-US" w:eastAsia="zh-CN" w:bidi="ar-SA"/>
                    </w:rPr>
                    <w:t>+高效布袋除尘器+碱液喷淋塔+15m高排气筒</w:t>
                  </w:r>
                  <w:r>
                    <w:rPr>
                      <w:rFonts w:hint="eastAsia" w:ascii="Times New Roman" w:hAnsi="Times New Roman" w:cs="Times New Roman"/>
                      <w:color w:val="auto"/>
                      <w:kern w:val="2"/>
                      <w:sz w:val="21"/>
                      <w:szCs w:val="21"/>
                      <w:highlight w:val="none"/>
                      <w:lang w:val="en-US" w:eastAsia="zh-CN" w:bidi="ar-SA"/>
                    </w:rPr>
                    <w:t>（DA001）</w:t>
                  </w:r>
                  <w:r>
                    <w:rPr>
                      <w:rFonts w:hint="eastAsia" w:ascii="Times New Roman" w:hAnsi="Times New Roman" w:cs="Times New Roman"/>
                      <w:b w:val="0"/>
                      <w:bCs w:val="0"/>
                      <w:color w:val="auto"/>
                      <w:kern w:val="2"/>
                      <w:sz w:val="21"/>
                      <w:szCs w:val="21"/>
                      <w:lang w:val="en-US" w:eastAsia="zh-CN" w:bidi="ar-SA"/>
                    </w:rPr>
                    <w:t>排放</w:t>
                  </w:r>
                </w:p>
              </w:tc>
              <w:tc>
                <w:tcPr>
                  <w:tcW w:w="594" w:type="pct"/>
                  <w:vMerge w:val="restart"/>
                  <w:noWrap w:val="0"/>
                  <w:tcMar>
                    <w:top w:w="0" w:type="dxa"/>
                    <w:left w:w="108" w:type="dxa"/>
                    <w:bottom w:w="0" w:type="dxa"/>
                    <w:right w:w="108" w:type="dxa"/>
                  </w:tcMar>
                  <w:vAlign w:val="center"/>
                </w:tcPr>
                <w:p w14:paraId="085349B0">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669" w:type="pct"/>
                  <w:vMerge w:val="restart"/>
                  <w:noWrap w:val="0"/>
                  <w:vAlign w:val="center"/>
                </w:tcPr>
                <w:p w14:paraId="4C63E3C0">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达标排放</w:t>
                  </w:r>
                </w:p>
              </w:tc>
            </w:tr>
            <w:tr w14:paraId="2E79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245" w:type="pct"/>
                  <w:vMerge w:val="continue"/>
                  <w:noWrap w:val="0"/>
                  <w:tcMar>
                    <w:top w:w="0" w:type="dxa"/>
                    <w:left w:w="108" w:type="dxa"/>
                    <w:bottom w:w="0" w:type="dxa"/>
                    <w:right w:w="108" w:type="dxa"/>
                  </w:tcMar>
                  <w:vAlign w:val="center"/>
                </w:tcPr>
                <w:p w14:paraId="06618FC5">
                  <w:pPr>
                    <w:keepNext w:val="0"/>
                    <w:keepLines w:val="0"/>
                    <w:pageBreakBefore w:val="0"/>
                    <w:kinsoku/>
                    <w:overflowPunct/>
                    <w:bidi w:val="0"/>
                    <w:adjustRightInd/>
                    <w:snapToGrid/>
                    <w:jc w:val="center"/>
                    <w:rPr>
                      <w:color w:val="auto"/>
                      <w:sz w:val="21"/>
                      <w:szCs w:val="21"/>
                    </w:rPr>
                  </w:pPr>
                </w:p>
              </w:tc>
              <w:tc>
                <w:tcPr>
                  <w:tcW w:w="455" w:type="pct"/>
                  <w:vMerge w:val="continue"/>
                  <w:noWrap w:val="0"/>
                  <w:tcMar>
                    <w:top w:w="0" w:type="dxa"/>
                    <w:left w:w="108" w:type="dxa"/>
                    <w:bottom w:w="0" w:type="dxa"/>
                    <w:right w:w="108" w:type="dxa"/>
                  </w:tcMar>
                  <w:vAlign w:val="center"/>
                </w:tcPr>
                <w:p w14:paraId="17C423AB">
                  <w:pPr>
                    <w:keepNext w:val="0"/>
                    <w:keepLines w:val="0"/>
                    <w:pageBreakBefore w:val="0"/>
                    <w:kinsoku/>
                    <w:overflowPunct/>
                    <w:bidi w:val="0"/>
                    <w:adjustRightInd/>
                    <w:snapToGrid/>
                    <w:jc w:val="center"/>
                    <w:rPr>
                      <w:color w:val="auto"/>
                      <w:sz w:val="21"/>
                      <w:szCs w:val="21"/>
                    </w:rPr>
                  </w:pPr>
                </w:p>
              </w:tc>
              <w:tc>
                <w:tcPr>
                  <w:tcW w:w="994" w:type="pct"/>
                  <w:noWrap w:val="0"/>
                  <w:tcMar>
                    <w:top w:w="0" w:type="dxa"/>
                    <w:left w:w="108" w:type="dxa"/>
                    <w:bottom w:w="0" w:type="dxa"/>
                    <w:right w:w="108" w:type="dxa"/>
                  </w:tcMar>
                  <w:vAlign w:val="center"/>
                </w:tcPr>
                <w:p w14:paraId="692AA84F">
                  <w:pPr>
                    <w:keepNext w:val="0"/>
                    <w:keepLines w:val="0"/>
                    <w:pageBreakBefore w:val="0"/>
                    <w:kinsoku/>
                    <w:overflowPunct/>
                    <w:bidi w:val="0"/>
                    <w:adjustRightInd/>
                    <w:snapToGrid/>
                    <w:jc w:val="center"/>
                    <w:rPr>
                      <w:rFonts w:hint="eastAsia" w:cs="Times New Roman"/>
                      <w:color w:val="auto"/>
                      <w:sz w:val="21"/>
                      <w:szCs w:val="21"/>
                      <w:lang w:val="en-US" w:eastAsia="zh-CN"/>
                    </w:rPr>
                  </w:pPr>
                  <w:r>
                    <w:rPr>
                      <w:rFonts w:hint="eastAsia" w:cs="Times New Roman"/>
                      <w:color w:val="auto"/>
                      <w:sz w:val="21"/>
                      <w:szCs w:val="21"/>
                      <w:lang w:val="en-US" w:eastAsia="zh-CN"/>
                    </w:rPr>
                    <w:t>无组织废气</w:t>
                  </w:r>
                </w:p>
              </w:tc>
              <w:tc>
                <w:tcPr>
                  <w:tcW w:w="2040" w:type="pct"/>
                  <w:noWrap w:val="0"/>
                  <w:tcMar>
                    <w:top w:w="0" w:type="dxa"/>
                    <w:left w:w="108" w:type="dxa"/>
                    <w:bottom w:w="0" w:type="dxa"/>
                    <w:right w:w="108" w:type="dxa"/>
                  </w:tcMar>
                  <w:vAlign w:val="center"/>
                </w:tcPr>
                <w:p w14:paraId="7F6B90FC">
                  <w:pPr>
                    <w:keepNext w:val="0"/>
                    <w:keepLines w:val="0"/>
                    <w:pageBreakBefore w:val="0"/>
                    <w:kinsoku/>
                    <w:overflowPunct/>
                    <w:bidi w:val="0"/>
                    <w:adjustRightInd/>
                    <w:snapToGrid/>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加强车间密闭、自然沉降</w:t>
                  </w:r>
                </w:p>
              </w:tc>
              <w:tc>
                <w:tcPr>
                  <w:tcW w:w="594" w:type="pct"/>
                  <w:vMerge w:val="continue"/>
                  <w:noWrap w:val="0"/>
                  <w:tcMar>
                    <w:top w:w="0" w:type="dxa"/>
                    <w:left w:w="108" w:type="dxa"/>
                    <w:bottom w:w="0" w:type="dxa"/>
                    <w:right w:w="108" w:type="dxa"/>
                  </w:tcMar>
                  <w:vAlign w:val="center"/>
                </w:tcPr>
                <w:p w14:paraId="0DE09D87">
                  <w:pPr>
                    <w:keepNext w:val="0"/>
                    <w:keepLines w:val="0"/>
                    <w:pageBreakBefore w:val="0"/>
                    <w:kinsoku/>
                    <w:overflowPunct/>
                    <w:bidi w:val="0"/>
                    <w:adjustRightInd/>
                    <w:snapToGrid/>
                    <w:jc w:val="center"/>
                    <w:rPr>
                      <w:rFonts w:hint="eastAsia" w:cs="Times New Roman"/>
                      <w:color w:val="auto"/>
                      <w:sz w:val="21"/>
                      <w:szCs w:val="21"/>
                      <w:lang w:val="en-US" w:eastAsia="zh-CN"/>
                    </w:rPr>
                  </w:pPr>
                </w:p>
              </w:tc>
              <w:tc>
                <w:tcPr>
                  <w:tcW w:w="669" w:type="pct"/>
                  <w:vMerge w:val="continue"/>
                  <w:noWrap w:val="0"/>
                  <w:vAlign w:val="center"/>
                </w:tcPr>
                <w:p w14:paraId="6026B638">
                  <w:pPr>
                    <w:keepNext w:val="0"/>
                    <w:keepLines w:val="0"/>
                    <w:pageBreakBefore w:val="0"/>
                    <w:kinsoku/>
                    <w:overflowPunct/>
                    <w:bidi w:val="0"/>
                    <w:adjustRightInd/>
                    <w:snapToGrid/>
                    <w:jc w:val="center"/>
                    <w:rPr>
                      <w:rFonts w:hint="eastAsia" w:cs="Times New Roman"/>
                      <w:color w:val="auto"/>
                      <w:sz w:val="21"/>
                      <w:szCs w:val="21"/>
                      <w:lang w:val="en-US" w:eastAsia="zh-CN"/>
                    </w:rPr>
                  </w:pPr>
                </w:p>
              </w:tc>
            </w:tr>
            <w:tr w14:paraId="664C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245" w:type="pct"/>
                  <w:noWrap w:val="0"/>
                  <w:tcMar>
                    <w:top w:w="0" w:type="dxa"/>
                    <w:left w:w="108" w:type="dxa"/>
                    <w:bottom w:w="0" w:type="dxa"/>
                    <w:right w:w="108" w:type="dxa"/>
                  </w:tcMar>
                  <w:vAlign w:val="center"/>
                </w:tcPr>
                <w:p w14:paraId="5626F9CC">
                  <w:pPr>
                    <w:keepNext w:val="0"/>
                    <w:keepLines w:val="0"/>
                    <w:pageBreakBefore w:val="0"/>
                    <w:kinsoku/>
                    <w:overflowPunct/>
                    <w:bidi w:val="0"/>
                    <w:adjustRightInd/>
                    <w:snapToGrid/>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455" w:type="pct"/>
                  <w:noWrap w:val="0"/>
                  <w:tcMar>
                    <w:top w:w="0" w:type="dxa"/>
                    <w:left w:w="108" w:type="dxa"/>
                    <w:bottom w:w="0" w:type="dxa"/>
                    <w:right w:w="108" w:type="dxa"/>
                  </w:tcMar>
                  <w:vAlign w:val="center"/>
                </w:tcPr>
                <w:p w14:paraId="7DC8F193">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噪声治理</w:t>
                  </w:r>
                </w:p>
              </w:tc>
              <w:tc>
                <w:tcPr>
                  <w:tcW w:w="994" w:type="pct"/>
                  <w:noWrap w:val="0"/>
                  <w:tcMar>
                    <w:top w:w="0" w:type="dxa"/>
                    <w:left w:w="108" w:type="dxa"/>
                    <w:bottom w:w="0" w:type="dxa"/>
                    <w:right w:w="108" w:type="dxa"/>
                  </w:tcMar>
                  <w:vAlign w:val="center"/>
                </w:tcPr>
                <w:p w14:paraId="2957CE22">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设备运行产生的噪声</w:t>
                  </w:r>
                </w:p>
              </w:tc>
              <w:tc>
                <w:tcPr>
                  <w:tcW w:w="2040" w:type="pct"/>
                  <w:noWrap w:val="0"/>
                  <w:tcMar>
                    <w:top w:w="0" w:type="dxa"/>
                    <w:left w:w="108" w:type="dxa"/>
                    <w:bottom w:w="0" w:type="dxa"/>
                    <w:right w:w="108" w:type="dxa"/>
                  </w:tcMar>
                  <w:vAlign w:val="center"/>
                </w:tcPr>
                <w:p w14:paraId="6466B340">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color w:val="auto"/>
                      <w:sz w:val="21"/>
                      <w:szCs w:val="21"/>
                    </w:rPr>
                    <w:t>采取减</w:t>
                  </w:r>
                  <w:r>
                    <w:rPr>
                      <w:rFonts w:hint="eastAsia"/>
                      <w:color w:val="auto"/>
                      <w:sz w:val="21"/>
                      <w:szCs w:val="21"/>
                    </w:rPr>
                    <w:t>振</w:t>
                  </w:r>
                  <w:r>
                    <w:rPr>
                      <w:color w:val="auto"/>
                      <w:sz w:val="21"/>
                      <w:szCs w:val="21"/>
                    </w:rPr>
                    <w:t>、隔声等措施</w:t>
                  </w:r>
                </w:p>
              </w:tc>
              <w:tc>
                <w:tcPr>
                  <w:tcW w:w="594" w:type="pct"/>
                  <w:noWrap w:val="0"/>
                  <w:tcMar>
                    <w:top w:w="0" w:type="dxa"/>
                    <w:left w:w="108" w:type="dxa"/>
                    <w:bottom w:w="0" w:type="dxa"/>
                    <w:right w:w="108" w:type="dxa"/>
                  </w:tcMar>
                  <w:vAlign w:val="center"/>
                </w:tcPr>
                <w:p w14:paraId="0C0F64B1">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6</w:t>
                  </w:r>
                </w:p>
              </w:tc>
              <w:tc>
                <w:tcPr>
                  <w:tcW w:w="669" w:type="pct"/>
                  <w:noWrap w:val="0"/>
                  <w:vAlign w:val="center"/>
                </w:tcPr>
                <w:p w14:paraId="3540ECA2">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达标排放</w:t>
                  </w:r>
                </w:p>
              </w:tc>
            </w:tr>
            <w:tr w14:paraId="3544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245" w:type="pct"/>
                  <w:vMerge w:val="restart"/>
                  <w:noWrap w:val="0"/>
                  <w:tcMar>
                    <w:top w:w="0" w:type="dxa"/>
                    <w:left w:w="108" w:type="dxa"/>
                    <w:bottom w:w="0" w:type="dxa"/>
                    <w:right w:w="108" w:type="dxa"/>
                  </w:tcMar>
                  <w:vAlign w:val="center"/>
                </w:tcPr>
                <w:p w14:paraId="62F8C534">
                  <w:pPr>
                    <w:keepNext w:val="0"/>
                    <w:keepLines w:val="0"/>
                    <w:pageBreakBefore w:val="0"/>
                    <w:kinsoku/>
                    <w:overflowPunct/>
                    <w:bidi w:val="0"/>
                    <w:adjustRightInd/>
                    <w:snapToGrid/>
                    <w:jc w:val="center"/>
                    <w:rPr>
                      <w:rFonts w:hint="eastAsia" w:eastAsia="宋体"/>
                      <w:color w:val="auto"/>
                      <w:sz w:val="21"/>
                      <w:szCs w:val="21"/>
                      <w:lang w:val="en-US" w:eastAsia="zh-CN"/>
                    </w:rPr>
                  </w:pPr>
                  <w:r>
                    <w:rPr>
                      <w:rFonts w:hint="eastAsia"/>
                      <w:color w:val="auto"/>
                      <w:sz w:val="21"/>
                      <w:szCs w:val="21"/>
                      <w:lang w:val="en-US" w:eastAsia="zh-CN"/>
                    </w:rPr>
                    <w:t>3</w:t>
                  </w:r>
                </w:p>
              </w:tc>
              <w:tc>
                <w:tcPr>
                  <w:tcW w:w="455" w:type="pct"/>
                  <w:vMerge w:val="restart"/>
                  <w:noWrap w:val="0"/>
                  <w:tcMar>
                    <w:top w:w="0" w:type="dxa"/>
                    <w:left w:w="108" w:type="dxa"/>
                    <w:bottom w:w="0" w:type="dxa"/>
                    <w:right w:w="108" w:type="dxa"/>
                  </w:tcMar>
                  <w:vAlign w:val="center"/>
                </w:tcPr>
                <w:p w14:paraId="159DE8F8">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废水治理</w:t>
                  </w:r>
                </w:p>
              </w:tc>
              <w:tc>
                <w:tcPr>
                  <w:tcW w:w="994" w:type="pct"/>
                  <w:noWrap w:val="0"/>
                  <w:tcMar>
                    <w:top w:w="0" w:type="dxa"/>
                    <w:left w:w="108" w:type="dxa"/>
                    <w:bottom w:w="0" w:type="dxa"/>
                    <w:right w:w="108" w:type="dxa"/>
                  </w:tcMar>
                  <w:vAlign w:val="center"/>
                </w:tcPr>
                <w:p w14:paraId="74F70055">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w:t>
                  </w:r>
                </w:p>
              </w:tc>
              <w:tc>
                <w:tcPr>
                  <w:tcW w:w="2040" w:type="pct"/>
                  <w:noWrap w:val="0"/>
                  <w:tcMar>
                    <w:top w:w="0" w:type="dxa"/>
                    <w:left w:w="108" w:type="dxa"/>
                    <w:bottom w:w="0" w:type="dxa"/>
                    <w:right w:w="108" w:type="dxa"/>
                  </w:tcMar>
                  <w:vAlign w:val="center"/>
                </w:tcPr>
                <w:p w14:paraId="4BEE40A5">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生活污水经化粪池处理后，定期清掏用于周边农田施肥</w:t>
                  </w:r>
                </w:p>
              </w:tc>
              <w:tc>
                <w:tcPr>
                  <w:tcW w:w="594" w:type="pct"/>
                  <w:noWrap w:val="0"/>
                  <w:tcMar>
                    <w:top w:w="0" w:type="dxa"/>
                    <w:left w:w="108" w:type="dxa"/>
                    <w:bottom w:w="0" w:type="dxa"/>
                    <w:right w:w="108" w:type="dxa"/>
                  </w:tcMar>
                  <w:vAlign w:val="center"/>
                </w:tcPr>
                <w:p w14:paraId="100DD6B3">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69" w:type="pct"/>
                  <w:noWrap w:val="0"/>
                  <w:vAlign w:val="center"/>
                </w:tcPr>
                <w:p w14:paraId="68FE344C">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r>
            <w:tr w14:paraId="042A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245" w:type="pct"/>
                  <w:vMerge w:val="continue"/>
                  <w:noWrap w:val="0"/>
                  <w:tcMar>
                    <w:top w:w="0" w:type="dxa"/>
                    <w:left w:w="108" w:type="dxa"/>
                    <w:bottom w:w="0" w:type="dxa"/>
                    <w:right w:w="108" w:type="dxa"/>
                  </w:tcMar>
                  <w:vAlign w:val="center"/>
                </w:tcPr>
                <w:p w14:paraId="6CFE22BA">
                  <w:pPr>
                    <w:keepNext w:val="0"/>
                    <w:keepLines w:val="0"/>
                    <w:pageBreakBefore w:val="0"/>
                    <w:kinsoku/>
                    <w:overflowPunct/>
                    <w:bidi w:val="0"/>
                    <w:adjustRightInd/>
                    <w:snapToGrid/>
                    <w:jc w:val="center"/>
                    <w:rPr>
                      <w:color w:val="auto"/>
                    </w:rPr>
                  </w:pPr>
                </w:p>
              </w:tc>
              <w:tc>
                <w:tcPr>
                  <w:tcW w:w="455" w:type="pct"/>
                  <w:vMerge w:val="continue"/>
                  <w:noWrap w:val="0"/>
                  <w:tcMar>
                    <w:top w:w="0" w:type="dxa"/>
                    <w:left w:w="108" w:type="dxa"/>
                    <w:bottom w:w="0" w:type="dxa"/>
                    <w:right w:w="108" w:type="dxa"/>
                  </w:tcMar>
                  <w:vAlign w:val="center"/>
                </w:tcPr>
                <w:p w14:paraId="0F7DD0AD">
                  <w:pPr>
                    <w:keepNext w:val="0"/>
                    <w:keepLines w:val="0"/>
                    <w:pageBreakBefore w:val="0"/>
                    <w:kinsoku/>
                    <w:overflowPunct/>
                    <w:bidi w:val="0"/>
                    <w:adjustRightInd/>
                    <w:snapToGrid/>
                    <w:jc w:val="center"/>
                    <w:rPr>
                      <w:color w:val="auto"/>
                    </w:rPr>
                  </w:pPr>
                </w:p>
              </w:tc>
              <w:tc>
                <w:tcPr>
                  <w:tcW w:w="994" w:type="pct"/>
                  <w:noWrap w:val="0"/>
                  <w:tcMar>
                    <w:top w:w="0" w:type="dxa"/>
                    <w:left w:w="108" w:type="dxa"/>
                    <w:bottom w:w="0" w:type="dxa"/>
                    <w:right w:w="108" w:type="dxa"/>
                  </w:tcMar>
                  <w:vAlign w:val="center"/>
                </w:tcPr>
                <w:p w14:paraId="743A5F5B">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喷淋废水</w:t>
                  </w:r>
                </w:p>
              </w:tc>
              <w:tc>
                <w:tcPr>
                  <w:tcW w:w="2040" w:type="pct"/>
                  <w:noWrap w:val="0"/>
                  <w:tcMar>
                    <w:top w:w="0" w:type="dxa"/>
                    <w:left w:w="108" w:type="dxa"/>
                    <w:bottom w:w="0" w:type="dxa"/>
                    <w:right w:w="108" w:type="dxa"/>
                  </w:tcMar>
                  <w:vAlign w:val="center"/>
                </w:tcPr>
                <w:p w14:paraId="589D8735">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设置1m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沉淀池，沉淀后循环使用</w:t>
                  </w:r>
                </w:p>
              </w:tc>
              <w:tc>
                <w:tcPr>
                  <w:tcW w:w="594" w:type="pct"/>
                  <w:noWrap w:val="0"/>
                  <w:tcMar>
                    <w:top w:w="0" w:type="dxa"/>
                    <w:left w:w="108" w:type="dxa"/>
                    <w:bottom w:w="0" w:type="dxa"/>
                    <w:right w:w="108" w:type="dxa"/>
                  </w:tcMar>
                  <w:vAlign w:val="center"/>
                </w:tcPr>
                <w:p w14:paraId="1448B1ED">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669" w:type="pct"/>
                  <w:noWrap w:val="0"/>
                  <w:vAlign w:val="center"/>
                </w:tcPr>
                <w:p w14:paraId="50603F8E">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不外排</w:t>
                  </w:r>
                </w:p>
              </w:tc>
            </w:tr>
            <w:tr w14:paraId="60BF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245" w:type="pct"/>
                  <w:vMerge w:val="restart"/>
                  <w:noWrap w:val="0"/>
                  <w:tcMar>
                    <w:top w:w="0" w:type="dxa"/>
                    <w:left w:w="108" w:type="dxa"/>
                    <w:bottom w:w="0" w:type="dxa"/>
                    <w:right w:w="108" w:type="dxa"/>
                  </w:tcMar>
                  <w:vAlign w:val="center"/>
                </w:tcPr>
                <w:p w14:paraId="136EDF4E">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55" w:type="pct"/>
                  <w:vMerge w:val="restart"/>
                  <w:noWrap w:val="0"/>
                  <w:tcMar>
                    <w:top w:w="0" w:type="dxa"/>
                    <w:left w:w="108" w:type="dxa"/>
                    <w:bottom w:w="0" w:type="dxa"/>
                    <w:right w:w="108" w:type="dxa"/>
                  </w:tcMar>
                  <w:vAlign w:val="center"/>
                </w:tcPr>
                <w:p w14:paraId="40D4045B">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994" w:type="pct"/>
                  <w:noWrap w:val="0"/>
                  <w:tcMar>
                    <w:top w:w="0" w:type="dxa"/>
                    <w:left w:w="108" w:type="dxa"/>
                    <w:bottom w:w="0" w:type="dxa"/>
                    <w:right w:w="108" w:type="dxa"/>
                  </w:tcMar>
                  <w:vAlign w:val="center"/>
                </w:tcPr>
                <w:p w14:paraId="4F03F4D9">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一般固废</w:t>
                  </w:r>
                </w:p>
              </w:tc>
              <w:tc>
                <w:tcPr>
                  <w:tcW w:w="2040" w:type="pct"/>
                  <w:noWrap w:val="0"/>
                  <w:tcMar>
                    <w:top w:w="0" w:type="dxa"/>
                    <w:left w:w="108" w:type="dxa"/>
                    <w:bottom w:w="0" w:type="dxa"/>
                    <w:right w:w="108" w:type="dxa"/>
                  </w:tcMar>
                  <w:vAlign w:val="center"/>
                </w:tcPr>
                <w:p w14:paraId="25E9DA17">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eastAsia"/>
                      <w:color w:val="auto"/>
                      <w:kern w:val="0"/>
                      <w:sz w:val="21"/>
                      <w:szCs w:val="21"/>
                    </w:rPr>
                    <w:t>在</w:t>
                  </w:r>
                  <w:r>
                    <w:rPr>
                      <w:rFonts w:hint="eastAsia"/>
                      <w:color w:val="auto"/>
                      <w:kern w:val="0"/>
                      <w:sz w:val="21"/>
                      <w:szCs w:val="21"/>
                      <w:lang w:val="en-US" w:eastAsia="zh-CN"/>
                    </w:rPr>
                    <w:t>厂区东南</w:t>
                  </w:r>
                  <w:r>
                    <w:rPr>
                      <w:rFonts w:hint="eastAsia"/>
                      <w:color w:val="auto"/>
                      <w:kern w:val="0"/>
                      <w:sz w:val="21"/>
                      <w:szCs w:val="21"/>
                    </w:rPr>
                    <w:t>侧新建</w:t>
                  </w:r>
                  <w:r>
                    <w:rPr>
                      <w:rFonts w:hint="eastAsia"/>
                      <w:color w:val="auto"/>
                      <w:kern w:val="0"/>
                      <w:sz w:val="21"/>
                      <w:szCs w:val="21"/>
                      <w:lang w:val="en-US" w:eastAsia="zh-CN"/>
                    </w:rPr>
                    <w:t>1</w:t>
                  </w:r>
                  <w:r>
                    <w:rPr>
                      <w:rFonts w:hint="eastAsia"/>
                      <w:color w:val="auto"/>
                      <w:kern w:val="0"/>
                      <w:sz w:val="21"/>
                      <w:szCs w:val="21"/>
                    </w:rPr>
                    <w:t>0</w:t>
                  </w:r>
                  <w:r>
                    <w:rPr>
                      <w:rFonts w:hint="eastAsia"/>
                      <w:color w:val="auto"/>
                      <w:kern w:val="0"/>
                      <w:sz w:val="21"/>
                      <w:szCs w:val="21"/>
                      <w:lang w:val="en-US" w:eastAsia="zh-CN"/>
                    </w:rPr>
                    <w:t>0</w:t>
                  </w:r>
                  <w:r>
                    <w:rPr>
                      <w:rFonts w:hint="eastAsia"/>
                      <w:bCs/>
                      <w:color w:val="auto"/>
                      <w:kern w:val="0"/>
                      <w:sz w:val="21"/>
                      <w:szCs w:val="21"/>
                    </w:rPr>
                    <w:t>m</w:t>
                  </w:r>
                  <w:r>
                    <w:rPr>
                      <w:rFonts w:hint="eastAsia"/>
                      <w:bCs/>
                      <w:color w:val="auto"/>
                      <w:kern w:val="0"/>
                      <w:sz w:val="21"/>
                      <w:szCs w:val="21"/>
                      <w:vertAlign w:val="superscript"/>
                    </w:rPr>
                    <w:t>2</w:t>
                  </w:r>
                  <w:r>
                    <w:rPr>
                      <w:rFonts w:hint="eastAsia"/>
                      <w:bCs/>
                      <w:color w:val="auto"/>
                      <w:kern w:val="0"/>
                      <w:sz w:val="21"/>
                      <w:szCs w:val="21"/>
                    </w:rPr>
                    <w:t>的一般固废暂存间</w:t>
                  </w:r>
                </w:p>
              </w:tc>
              <w:tc>
                <w:tcPr>
                  <w:tcW w:w="594" w:type="pct"/>
                  <w:vMerge w:val="restart"/>
                  <w:noWrap w:val="0"/>
                  <w:tcMar>
                    <w:top w:w="0" w:type="dxa"/>
                    <w:left w:w="108" w:type="dxa"/>
                    <w:bottom w:w="0" w:type="dxa"/>
                    <w:right w:w="108" w:type="dxa"/>
                  </w:tcMar>
                  <w:vAlign w:val="center"/>
                </w:tcPr>
                <w:p w14:paraId="67F641F5">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4</w:t>
                  </w:r>
                </w:p>
              </w:tc>
              <w:tc>
                <w:tcPr>
                  <w:tcW w:w="669" w:type="pct"/>
                  <w:vMerge w:val="restart"/>
                  <w:noWrap w:val="0"/>
                  <w:vAlign w:val="center"/>
                </w:tcPr>
                <w:p w14:paraId="245D365F">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确保固废得到妥善处置，不产生二次污染</w:t>
                  </w:r>
                </w:p>
              </w:tc>
            </w:tr>
            <w:tr w14:paraId="12C3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 w:type="pct"/>
                  <w:vMerge w:val="continue"/>
                  <w:noWrap w:val="0"/>
                  <w:tcMar>
                    <w:top w:w="0" w:type="dxa"/>
                    <w:left w:w="108" w:type="dxa"/>
                    <w:bottom w:w="0" w:type="dxa"/>
                    <w:right w:w="108" w:type="dxa"/>
                  </w:tcMar>
                  <w:vAlign w:val="center"/>
                </w:tcPr>
                <w:p w14:paraId="06A1847E">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p>
              </w:tc>
              <w:tc>
                <w:tcPr>
                  <w:tcW w:w="455" w:type="pct"/>
                  <w:vMerge w:val="continue"/>
                  <w:noWrap w:val="0"/>
                  <w:tcMar>
                    <w:top w:w="0" w:type="dxa"/>
                    <w:left w:w="108" w:type="dxa"/>
                    <w:bottom w:w="0" w:type="dxa"/>
                    <w:right w:w="108" w:type="dxa"/>
                  </w:tcMar>
                  <w:vAlign w:val="center"/>
                </w:tcPr>
                <w:p w14:paraId="2F6C57D9">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p>
              </w:tc>
              <w:tc>
                <w:tcPr>
                  <w:tcW w:w="994" w:type="pct"/>
                  <w:noWrap w:val="0"/>
                  <w:tcMar>
                    <w:top w:w="0" w:type="dxa"/>
                    <w:left w:w="108" w:type="dxa"/>
                    <w:bottom w:w="0" w:type="dxa"/>
                    <w:right w:w="108" w:type="dxa"/>
                  </w:tcMar>
                  <w:vAlign w:val="center"/>
                </w:tcPr>
                <w:p w14:paraId="443CFF72">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危险废物</w:t>
                  </w:r>
                </w:p>
              </w:tc>
              <w:tc>
                <w:tcPr>
                  <w:tcW w:w="2040" w:type="pct"/>
                  <w:noWrap w:val="0"/>
                  <w:tcMar>
                    <w:top w:w="0" w:type="dxa"/>
                    <w:left w:w="108" w:type="dxa"/>
                    <w:bottom w:w="0" w:type="dxa"/>
                    <w:right w:w="108" w:type="dxa"/>
                  </w:tcMar>
                  <w:vAlign w:val="center"/>
                </w:tcPr>
                <w:p w14:paraId="5B486678">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val="en-US" w:eastAsia="zh-CN"/>
                    </w:rPr>
                  </w:pPr>
                  <w:r>
                    <w:rPr>
                      <w:rFonts w:hint="eastAsia"/>
                      <w:color w:val="auto"/>
                      <w:kern w:val="0"/>
                      <w:sz w:val="21"/>
                      <w:szCs w:val="21"/>
                    </w:rPr>
                    <w:t>在</w:t>
                  </w:r>
                  <w:r>
                    <w:rPr>
                      <w:rFonts w:hint="eastAsia"/>
                      <w:color w:val="auto"/>
                      <w:kern w:val="0"/>
                      <w:sz w:val="21"/>
                      <w:szCs w:val="21"/>
                      <w:lang w:val="en-US" w:eastAsia="zh-CN"/>
                    </w:rPr>
                    <w:t>厂区西北角</w:t>
                  </w:r>
                  <w:r>
                    <w:rPr>
                      <w:rFonts w:hint="eastAsia"/>
                      <w:color w:val="auto"/>
                      <w:kern w:val="0"/>
                      <w:sz w:val="21"/>
                      <w:szCs w:val="21"/>
                    </w:rPr>
                    <w:t>新建</w:t>
                  </w:r>
                  <w:r>
                    <w:rPr>
                      <w:rFonts w:hint="eastAsia"/>
                      <w:color w:val="auto"/>
                      <w:kern w:val="0"/>
                      <w:sz w:val="21"/>
                      <w:szCs w:val="21"/>
                      <w:lang w:val="en-US" w:eastAsia="zh-CN"/>
                    </w:rPr>
                    <w:t>5</w:t>
                  </w:r>
                  <w:r>
                    <w:rPr>
                      <w:rFonts w:hint="eastAsia"/>
                      <w:bCs/>
                      <w:color w:val="auto"/>
                      <w:kern w:val="0"/>
                      <w:sz w:val="21"/>
                      <w:szCs w:val="21"/>
                    </w:rPr>
                    <w:t>m</w:t>
                  </w:r>
                  <w:r>
                    <w:rPr>
                      <w:rFonts w:hint="eastAsia"/>
                      <w:bCs/>
                      <w:color w:val="auto"/>
                      <w:kern w:val="0"/>
                      <w:sz w:val="21"/>
                      <w:szCs w:val="21"/>
                      <w:vertAlign w:val="superscript"/>
                    </w:rPr>
                    <w:t>2</w:t>
                  </w:r>
                  <w:r>
                    <w:rPr>
                      <w:rFonts w:hint="eastAsia"/>
                      <w:bCs/>
                      <w:color w:val="auto"/>
                      <w:kern w:val="0"/>
                      <w:sz w:val="21"/>
                      <w:szCs w:val="21"/>
                    </w:rPr>
                    <w:t>的</w:t>
                  </w:r>
                  <w:r>
                    <w:rPr>
                      <w:rFonts w:hint="eastAsia"/>
                      <w:bCs/>
                      <w:color w:val="auto"/>
                      <w:kern w:val="0"/>
                      <w:sz w:val="21"/>
                      <w:szCs w:val="21"/>
                      <w:lang w:val="en-US" w:eastAsia="zh-CN"/>
                    </w:rPr>
                    <w:t>危废间</w:t>
                  </w:r>
                </w:p>
              </w:tc>
              <w:tc>
                <w:tcPr>
                  <w:tcW w:w="594" w:type="pct"/>
                  <w:vMerge w:val="continue"/>
                  <w:noWrap w:val="0"/>
                  <w:tcMar>
                    <w:top w:w="0" w:type="dxa"/>
                    <w:left w:w="108" w:type="dxa"/>
                    <w:bottom w:w="0" w:type="dxa"/>
                    <w:right w:w="108" w:type="dxa"/>
                  </w:tcMar>
                  <w:vAlign w:val="center"/>
                </w:tcPr>
                <w:p w14:paraId="409B58F2">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p>
              </w:tc>
              <w:tc>
                <w:tcPr>
                  <w:tcW w:w="669" w:type="pct"/>
                  <w:vMerge w:val="continue"/>
                  <w:noWrap w:val="0"/>
                  <w:vAlign w:val="center"/>
                </w:tcPr>
                <w:p w14:paraId="5743DC4F">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p>
              </w:tc>
            </w:tr>
            <w:tr w14:paraId="09A0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245" w:type="pct"/>
                  <w:vMerge w:val="continue"/>
                  <w:noWrap w:val="0"/>
                  <w:tcMar>
                    <w:top w:w="0" w:type="dxa"/>
                    <w:left w:w="108" w:type="dxa"/>
                    <w:bottom w:w="0" w:type="dxa"/>
                    <w:right w:w="108" w:type="dxa"/>
                  </w:tcMar>
                  <w:vAlign w:val="center"/>
                </w:tcPr>
                <w:p w14:paraId="2D615691">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p>
              </w:tc>
              <w:tc>
                <w:tcPr>
                  <w:tcW w:w="455" w:type="pct"/>
                  <w:vMerge w:val="continue"/>
                  <w:noWrap w:val="0"/>
                  <w:tcMar>
                    <w:top w:w="0" w:type="dxa"/>
                    <w:left w:w="108" w:type="dxa"/>
                    <w:bottom w:w="0" w:type="dxa"/>
                    <w:right w:w="108" w:type="dxa"/>
                  </w:tcMar>
                  <w:vAlign w:val="center"/>
                </w:tcPr>
                <w:p w14:paraId="611D1662">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p>
              </w:tc>
              <w:tc>
                <w:tcPr>
                  <w:tcW w:w="994" w:type="pct"/>
                  <w:noWrap w:val="0"/>
                  <w:tcMar>
                    <w:top w:w="0" w:type="dxa"/>
                    <w:left w:w="108" w:type="dxa"/>
                    <w:bottom w:w="0" w:type="dxa"/>
                    <w:right w:w="108" w:type="dxa"/>
                  </w:tcMar>
                  <w:vAlign w:val="center"/>
                </w:tcPr>
                <w:p w14:paraId="0518C7C0">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040" w:type="pct"/>
                  <w:noWrap w:val="0"/>
                  <w:tcMar>
                    <w:top w:w="0" w:type="dxa"/>
                    <w:left w:w="108" w:type="dxa"/>
                    <w:bottom w:w="0" w:type="dxa"/>
                    <w:right w:w="108" w:type="dxa"/>
                  </w:tcMar>
                  <w:vAlign w:val="center"/>
                </w:tcPr>
                <w:p w14:paraId="1EBD3027">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eastAsia"/>
                      <w:bCs/>
                      <w:color w:val="auto"/>
                      <w:kern w:val="0"/>
                      <w:sz w:val="21"/>
                      <w:szCs w:val="21"/>
                    </w:rPr>
                    <w:t>交环卫部门定期清运</w:t>
                  </w:r>
                </w:p>
              </w:tc>
              <w:tc>
                <w:tcPr>
                  <w:tcW w:w="594" w:type="pct"/>
                  <w:vMerge w:val="continue"/>
                  <w:noWrap w:val="0"/>
                  <w:tcMar>
                    <w:top w:w="0" w:type="dxa"/>
                    <w:left w:w="108" w:type="dxa"/>
                    <w:bottom w:w="0" w:type="dxa"/>
                    <w:right w:w="108" w:type="dxa"/>
                  </w:tcMar>
                  <w:vAlign w:val="center"/>
                </w:tcPr>
                <w:p w14:paraId="0BDD4E4B">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p>
              </w:tc>
              <w:tc>
                <w:tcPr>
                  <w:tcW w:w="669" w:type="pct"/>
                  <w:vMerge w:val="continue"/>
                  <w:noWrap w:val="0"/>
                  <w:vAlign w:val="center"/>
                </w:tcPr>
                <w:p w14:paraId="2CC256D9">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p>
              </w:tc>
            </w:tr>
            <w:tr w14:paraId="55FC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3735" w:type="pct"/>
                  <w:gridSpan w:val="4"/>
                  <w:noWrap w:val="0"/>
                  <w:tcMar>
                    <w:top w:w="0" w:type="dxa"/>
                    <w:left w:w="108" w:type="dxa"/>
                    <w:bottom w:w="0" w:type="dxa"/>
                    <w:right w:w="108" w:type="dxa"/>
                  </w:tcMar>
                  <w:vAlign w:val="center"/>
                </w:tcPr>
                <w:p w14:paraId="105B64EF">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594" w:type="pct"/>
                  <w:noWrap w:val="0"/>
                  <w:tcMar>
                    <w:top w:w="0" w:type="dxa"/>
                    <w:left w:w="108" w:type="dxa"/>
                    <w:bottom w:w="0" w:type="dxa"/>
                    <w:right w:w="108" w:type="dxa"/>
                  </w:tcMar>
                  <w:vAlign w:val="center"/>
                </w:tcPr>
                <w:p w14:paraId="3E428320">
                  <w:pPr>
                    <w:keepNext w:val="0"/>
                    <w:keepLines w:val="0"/>
                    <w:pageBreakBefore w:val="0"/>
                    <w:kinsoku/>
                    <w:overflowPunct/>
                    <w:bidi w:val="0"/>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c>
                <w:tcPr>
                  <w:tcW w:w="669" w:type="pct"/>
                  <w:noWrap w:val="0"/>
                  <w:vAlign w:val="center"/>
                </w:tcPr>
                <w:p w14:paraId="62C95DD7">
                  <w:pPr>
                    <w:keepNext w:val="0"/>
                    <w:keepLines w:val="0"/>
                    <w:pageBreakBefore w:val="0"/>
                    <w:kinsoku/>
                    <w:overflowPunct/>
                    <w:bidi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14:paraId="72789F7D">
            <w:pPr>
              <w:keepNext w:val="0"/>
              <w:keepLines w:val="0"/>
              <w:pageBreakBefore w:val="0"/>
              <w:kinsoku/>
              <w:overflowPunct/>
              <w:bidi w:val="0"/>
              <w:adjustRightInd/>
              <w:snapToGrid/>
              <w:rPr>
                <w:color w:val="auto"/>
              </w:rPr>
            </w:pPr>
          </w:p>
          <w:p w14:paraId="75F0E104">
            <w:pPr>
              <w:keepNext w:val="0"/>
              <w:keepLines w:val="0"/>
              <w:pageBreakBefore w:val="0"/>
              <w:kinsoku/>
              <w:overflowPunct/>
              <w:bidi w:val="0"/>
              <w:adjustRightInd/>
              <w:snapToGrid/>
              <w:rPr>
                <w:color w:val="auto"/>
              </w:rPr>
            </w:pPr>
          </w:p>
          <w:p w14:paraId="58710476">
            <w:pPr>
              <w:keepNext w:val="0"/>
              <w:keepLines w:val="0"/>
              <w:pageBreakBefore w:val="0"/>
              <w:kinsoku/>
              <w:overflowPunct/>
              <w:bidi w:val="0"/>
              <w:adjustRightInd/>
              <w:snapToGrid/>
              <w:rPr>
                <w:color w:val="auto"/>
              </w:rPr>
            </w:pPr>
          </w:p>
          <w:p w14:paraId="0A8A16DA">
            <w:pPr>
              <w:keepNext w:val="0"/>
              <w:keepLines w:val="0"/>
              <w:pageBreakBefore w:val="0"/>
              <w:kinsoku/>
              <w:overflowPunct/>
              <w:bidi w:val="0"/>
              <w:adjustRightInd/>
              <w:snapToGrid/>
              <w:rPr>
                <w:color w:val="auto"/>
              </w:rPr>
            </w:pPr>
          </w:p>
          <w:p w14:paraId="29E755F1">
            <w:pPr>
              <w:keepNext w:val="0"/>
              <w:keepLines w:val="0"/>
              <w:pageBreakBefore w:val="0"/>
              <w:kinsoku/>
              <w:overflowPunct/>
              <w:bidi w:val="0"/>
              <w:adjustRightInd/>
              <w:snapToGrid/>
              <w:rPr>
                <w:color w:val="auto"/>
              </w:rPr>
            </w:pPr>
          </w:p>
        </w:tc>
      </w:tr>
    </w:tbl>
    <w:p w14:paraId="4F60BBDD">
      <w:pPr>
        <w:pStyle w:val="28"/>
        <w:numPr>
          <w:ilvl w:val="0"/>
          <w:numId w:val="0"/>
        </w:numPr>
        <w:spacing w:before="0" w:beforeAutospacing="0" w:after="0" w:afterAutospacing="0" w:line="360" w:lineRule="auto"/>
        <w:jc w:val="both"/>
        <w:outlineLvl w:val="0"/>
        <w:rPr>
          <w:rFonts w:ascii="Times New Roman" w:hAnsi="Times New Roman"/>
          <w:b/>
          <w:bCs/>
          <w:snapToGrid w:val="0"/>
          <w:color w:val="auto"/>
          <w:sz w:val="32"/>
          <w:szCs w:val="32"/>
        </w:rPr>
      </w:pPr>
    </w:p>
    <w:p w14:paraId="260D41DC">
      <w:pPr>
        <w:adjustRightInd w:val="0"/>
        <w:snapToGrid w:val="0"/>
        <w:spacing w:line="360" w:lineRule="auto"/>
        <w:rPr>
          <w:b/>
          <w:color w:val="auto"/>
          <w:kern w:val="0"/>
          <w:sz w:val="28"/>
          <w:szCs w:val="28"/>
        </w:rPr>
        <w:sectPr>
          <w:pgSz w:w="11905" w:h="16838"/>
          <w:pgMar w:top="1417" w:right="1417" w:bottom="1417" w:left="1417" w:header="851" w:footer="1077" w:gutter="0"/>
          <w:cols w:space="0" w:num="1"/>
          <w:rtlGutter w:val="0"/>
          <w:docGrid w:type="lines" w:linePitch="333" w:charSpace="0"/>
        </w:sectPr>
      </w:pPr>
    </w:p>
    <w:p w14:paraId="36E4A39B">
      <w:pPr>
        <w:pStyle w:val="28"/>
        <w:spacing w:before="0" w:beforeAutospacing="0" w:after="0" w:afterAutospacing="0" w:line="360" w:lineRule="auto"/>
        <w:jc w:val="center"/>
        <w:outlineLvl w:val="0"/>
        <w:rPr>
          <w:rFonts w:ascii="Times New Roman" w:hAnsi="Times New Roman"/>
          <w:b/>
          <w:bCs/>
          <w:snapToGrid w:val="0"/>
          <w:color w:val="auto"/>
          <w:sz w:val="32"/>
          <w:szCs w:val="32"/>
        </w:rPr>
      </w:pPr>
      <w:r>
        <w:rPr>
          <w:rFonts w:ascii="Times New Roman" w:hAnsi="Times New Roman"/>
          <w:b/>
          <w:bCs/>
          <w:snapToGrid w:val="0"/>
          <w:color w:val="auto"/>
          <w:sz w:val="32"/>
          <w:szCs w:val="32"/>
        </w:rPr>
        <w:t>五、</w:t>
      </w:r>
      <w:bookmarkStart w:id="5" w:name="_Hlk54167917"/>
      <w:r>
        <w:rPr>
          <w:rFonts w:ascii="Times New Roman" w:hAnsi="Times New Roman"/>
          <w:b/>
          <w:bCs/>
          <w:snapToGrid w:val="0"/>
          <w:color w:val="auto"/>
          <w:sz w:val="32"/>
          <w:szCs w:val="32"/>
        </w:rPr>
        <w:t>环境保护措施监督检查清单</w:t>
      </w:r>
      <w:bookmarkEnd w:id="5"/>
    </w:p>
    <w:tbl>
      <w:tblPr>
        <w:tblStyle w:val="31"/>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515"/>
        <w:gridCol w:w="1104"/>
        <w:gridCol w:w="3054"/>
        <w:gridCol w:w="2598"/>
      </w:tblGrid>
      <w:tr w14:paraId="03191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single" w:color="auto" w:sz="4" w:space="0"/>
            </w:tcBorders>
          </w:tcPr>
          <w:p w14:paraId="00292702">
            <w:pPr>
              <w:pageBreakBefore w:val="0"/>
              <w:kinsoku/>
              <w:wordWrap/>
              <w:overflowPunct/>
              <w:topLinePunct w:val="0"/>
              <w:autoSpaceDE/>
              <w:autoSpaceDN/>
              <w:bidi w:val="0"/>
              <w:adjustRightInd/>
              <w:snapToGrid/>
              <w:ind w:firstLine="241" w:firstLineChars="100"/>
              <w:textAlignment w:val="auto"/>
              <w:rPr>
                <w:b/>
                <w:bCs/>
                <w:color w:val="auto"/>
                <w:szCs w:val="21"/>
              </w:rPr>
            </w:pPr>
            <w:r>
              <w:rPr>
                <w:b/>
                <w:bCs/>
                <w:color w:val="auto"/>
                <w:szCs w:val="21"/>
              </w:rPr>
              <w:t>内容</w:t>
            </w:r>
          </w:p>
          <w:p w14:paraId="414066CA">
            <w:pPr>
              <w:pageBreakBefore w:val="0"/>
              <w:kinsoku/>
              <w:wordWrap/>
              <w:overflowPunct/>
              <w:topLinePunct w:val="0"/>
              <w:autoSpaceDE/>
              <w:autoSpaceDN/>
              <w:bidi w:val="0"/>
              <w:adjustRightInd/>
              <w:snapToGrid/>
              <w:textAlignment w:val="auto"/>
              <w:rPr>
                <w:b/>
                <w:bCs/>
                <w:color w:val="auto"/>
                <w:szCs w:val="21"/>
              </w:rPr>
            </w:pPr>
          </w:p>
          <w:p w14:paraId="5D45FCE9">
            <w:pPr>
              <w:pageBreakBefore w:val="0"/>
              <w:kinsoku/>
              <w:wordWrap/>
              <w:overflowPunct/>
              <w:topLinePunct w:val="0"/>
              <w:autoSpaceDE/>
              <w:autoSpaceDN/>
              <w:bidi w:val="0"/>
              <w:adjustRightInd/>
              <w:snapToGrid/>
              <w:textAlignment w:val="auto"/>
              <w:rPr>
                <w:b/>
                <w:bCs/>
                <w:color w:val="auto"/>
                <w:szCs w:val="21"/>
              </w:rPr>
            </w:pPr>
            <w:r>
              <w:rPr>
                <w:b/>
                <w:bCs/>
                <w:color w:val="auto"/>
                <w:szCs w:val="21"/>
              </w:rPr>
              <w:t>要素</w:t>
            </w:r>
          </w:p>
        </w:tc>
        <w:tc>
          <w:tcPr>
            <w:tcW w:w="816" w:type="pct"/>
            <w:vAlign w:val="center"/>
          </w:tcPr>
          <w:p w14:paraId="3C7D1830">
            <w:pPr>
              <w:pageBreakBefore w:val="0"/>
              <w:kinsoku/>
              <w:wordWrap/>
              <w:overflowPunct/>
              <w:topLinePunct w:val="0"/>
              <w:autoSpaceDE/>
              <w:autoSpaceDN/>
              <w:bidi w:val="0"/>
              <w:adjustRightInd/>
              <w:snapToGrid/>
              <w:jc w:val="center"/>
              <w:textAlignment w:val="auto"/>
              <w:rPr>
                <w:b/>
                <w:bCs/>
                <w:color w:val="auto"/>
                <w:szCs w:val="21"/>
              </w:rPr>
            </w:pPr>
            <w:r>
              <w:rPr>
                <w:b/>
                <w:bCs/>
                <w:color w:val="auto"/>
                <w:szCs w:val="21"/>
              </w:rPr>
              <w:t>排放口(编号、名称)/污染源</w:t>
            </w:r>
          </w:p>
        </w:tc>
        <w:tc>
          <w:tcPr>
            <w:tcW w:w="594" w:type="pct"/>
            <w:vAlign w:val="center"/>
          </w:tcPr>
          <w:p w14:paraId="39AAAEC3">
            <w:pPr>
              <w:pageBreakBefore w:val="0"/>
              <w:kinsoku/>
              <w:wordWrap/>
              <w:overflowPunct/>
              <w:topLinePunct w:val="0"/>
              <w:autoSpaceDE/>
              <w:autoSpaceDN/>
              <w:bidi w:val="0"/>
              <w:adjustRightInd/>
              <w:snapToGrid/>
              <w:jc w:val="center"/>
              <w:textAlignment w:val="auto"/>
              <w:rPr>
                <w:b/>
                <w:bCs/>
                <w:color w:val="auto"/>
                <w:szCs w:val="21"/>
              </w:rPr>
            </w:pPr>
            <w:r>
              <w:rPr>
                <w:b/>
                <w:bCs/>
                <w:color w:val="auto"/>
                <w:szCs w:val="21"/>
              </w:rPr>
              <w:t>污染物项目</w:t>
            </w:r>
          </w:p>
        </w:tc>
        <w:tc>
          <w:tcPr>
            <w:tcW w:w="1645" w:type="pct"/>
            <w:vAlign w:val="center"/>
          </w:tcPr>
          <w:p w14:paraId="5FFF09CF">
            <w:pPr>
              <w:pageBreakBefore w:val="0"/>
              <w:kinsoku/>
              <w:wordWrap/>
              <w:overflowPunct/>
              <w:topLinePunct w:val="0"/>
              <w:autoSpaceDE/>
              <w:autoSpaceDN/>
              <w:bidi w:val="0"/>
              <w:adjustRightInd/>
              <w:snapToGrid/>
              <w:jc w:val="center"/>
              <w:textAlignment w:val="auto"/>
              <w:rPr>
                <w:b/>
                <w:bCs/>
                <w:color w:val="auto"/>
                <w:szCs w:val="21"/>
              </w:rPr>
            </w:pPr>
            <w:r>
              <w:rPr>
                <w:b/>
                <w:bCs/>
                <w:color w:val="auto"/>
                <w:szCs w:val="21"/>
              </w:rPr>
              <w:t>环境保护措施</w:t>
            </w:r>
          </w:p>
        </w:tc>
        <w:tc>
          <w:tcPr>
            <w:tcW w:w="1399" w:type="pct"/>
            <w:vAlign w:val="center"/>
          </w:tcPr>
          <w:p w14:paraId="0ABC53CF">
            <w:pPr>
              <w:pageBreakBefore w:val="0"/>
              <w:kinsoku/>
              <w:wordWrap/>
              <w:overflowPunct/>
              <w:topLinePunct w:val="0"/>
              <w:autoSpaceDE/>
              <w:autoSpaceDN/>
              <w:bidi w:val="0"/>
              <w:adjustRightInd/>
              <w:snapToGrid/>
              <w:jc w:val="center"/>
              <w:textAlignment w:val="auto"/>
              <w:rPr>
                <w:b/>
                <w:bCs/>
                <w:color w:val="auto"/>
                <w:szCs w:val="21"/>
              </w:rPr>
            </w:pPr>
            <w:r>
              <w:rPr>
                <w:b/>
                <w:bCs/>
                <w:color w:val="auto"/>
                <w:szCs w:val="21"/>
              </w:rPr>
              <w:t>执行标准</w:t>
            </w:r>
          </w:p>
        </w:tc>
      </w:tr>
      <w:tr w14:paraId="0031E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543" w:type="pct"/>
            <w:vMerge w:val="restart"/>
            <w:vAlign w:val="center"/>
          </w:tcPr>
          <w:p w14:paraId="27BE805D">
            <w:pPr>
              <w:pageBreakBefore w:val="0"/>
              <w:kinsoku/>
              <w:wordWrap/>
              <w:overflowPunct/>
              <w:topLinePunct w:val="0"/>
              <w:autoSpaceDE/>
              <w:autoSpaceDN/>
              <w:bidi w:val="0"/>
              <w:adjustRightInd/>
              <w:snapToGrid/>
              <w:jc w:val="center"/>
              <w:textAlignment w:val="auto"/>
              <w:rPr>
                <w:color w:val="auto"/>
                <w:szCs w:val="21"/>
              </w:rPr>
            </w:pPr>
            <w:r>
              <w:rPr>
                <w:color w:val="auto"/>
                <w:szCs w:val="21"/>
              </w:rPr>
              <w:t>大气环境</w:t>
            </w:r>
          </w:p>
        </w:tc>
        <w:tc>
          <w:tcPr>
            <w:tcW w:w="816" w:type="pct"/>
            <w:vAlign w:val="center"/>
          </w:tcPr>
          <w:p w14:paraId="4C8A1680">
            <w:pPr>
              <w:pageBreakBefore w:val="0"/>
              <w:kinsoku/>
              <w:wordWrap/>
              <w:overflowPunct/>
              <w:topLinePunct w:val="0"/>
              <w:autoSpaceDE/>
              <w:autoSpaceDN/>
              <w:bidi w:val="0"/>
              <w:adjustRightInd/>
              <w:snapToGrid/>
              <w:jc w:val="center"/>
              <w:textAlignment w:val="auto"/>
              <w:rPr>
                <w:rFonts w:hint="eastAsia" w:eastAsia="宋体"/>
                <w:color w:val="auto"/>
                <w:kern w:val="0"/>
                <w:sz w:val="21"/>
                <w:szCs w:val="21"/>
                <w:lang w:val="en-US" w:eastAsia="zh-CN"/>
              </w:rPr>
            </w:pPr>
            <w:r>
              <w:rPr>
                <w:color w:val="auto"/>
                <w:sz w:val="21"/>
                <w:szCs w:val="21"/>
              </w:rPr>
              <w:t>DA00</w:t>
            </w:r>
            <w:r>
              <w:rPr>
                <w:rFonts w:hint="eastAsia"/>
                <w:color w:val="auto"/>
                <w:sz w:val="21"/>
                <w:szCs w:val="21"/>
                <w:lang w:val="en-US" w:eastAsia="zh-CN"/>
              </w:rPr>
              <w:t>1</w:t>
            </w:r>
          </w:p>
        </w:tc>
        <w:tc>
          <w:tcPr>
            <w:tcW w:w="594" w:type="pct"/>
            <w:tcBorders>
              <w:bottom w:val="single" w:color="auto" w:sz="4" w:space="0"/>
            </w:tcBorders>
            <w:vAlign w:val="center"/>
          </w:tcPr>
          <w:p w14:paraId="449776D5">
            <w:pPr>
              <w:pageBreakBefore w:val="0"/>
              <w:kinsoku/>
              <w:wordWrap/>
              <w:overflowPunct/>
              <w:topLinePunct w:val="0"/>
              <w:autoSpaceDE/>
              <w:autoSpaceDN/>
              <w:bidi w:val="0"/>
              <w:adjustRightInd/>
              <w:snapToGrid/>
              <w:jc w:val="center"/>
              <w:textAlignment w:val="auto"/>
              <w:rPr>
                <w:rFonts w:hint="default"/>
                <w:color w:val="auto"/>
                <w:sz w:val="21"/>
                <w:szCs w:val="21"/>
                <w:lang w:val="en-US"/>
              </w:rPr>
            </w:pPr>
            <w:r>
              <w:rPr>
                <w:color w:val="auto"/>
                <w:kern w:val="0"/>
                <w:sz w:val="21"/>
                <w:szCs w:val="21"/>
              </w:rPr>
              <w:t>颗粒物</w:t>
            </w:r>
            <w:r>
              <w:rPr>
                <w:rFonts w:hint="eastAsia"/>
                <w:color w:val="auto"/>
                <w:kern w:val="0"/>
                <w:sz w:val="21"/>
                <w:szCs w:val="21"/>
                <w:lang w:eastAsia="zh-CN"/>
              </w:rPr>
              <w:t>、</w:t>
            </w:r>
            <w:r>
              <w:rPr>
                <w:rFonts w:hint="eastAsia"/>
                <w:color w:val="auto"/>
                <w:kern w:val="0"/>
                <w:sz w:val="21"/>
                <w:szCs w:val="21"/>
                <w:lang w:val="en-US" w:eastAsia="zh-CN"/>
              </w:rPr>
              <w:t>SO</w:t>
            </w:r>
            <w:r>
              <w:rPr>
                <w:rFonts w:hint="eastAsia"/>
                <w:color w:val="auto"/>
                <w:kern w:val="0"/>
                <w:sz w:val="21"/>
                <w:szCs w:val="21"/>
                <w:vertAlign w:val="subscript"/>
                <w:lang w:val="en-US" w:eastAsia="zh-CN"/>
              </w:rPr>
              <w:t>2</w:t>
            </w:r>
            <w:r>
              <w:rPr>
                <w:rFonts w:hint="eastAsia"/>
                <w:color w:val="auto"/>
                <w:kern w:val="0"/>
                <w:sz w:val="21"/>
                <w:szCs w:val="21"/>
                <w:lang w:val="en-US" w:eastAsia="zh-CN"/>
              </w:rPr>
              <w:t>、NOx</w:t>
            </w:r>
          </w:p>
        </w:tc>
        <w:tc>
          <w:tcPr>
            <w:tcW w:w="1645" w:type="pct"/>
            <w:vAlign w:val="center"/>
          </w:tcPr>
          <w:p w14:paraId="66F60C36">
            <w:pPr>
              <w:pageBreakBefore w:val="0"/>
              <w:kinsoku/>
              <w:wordWrap/>
              <w:overflowPunct/>
              <w:topLinePunct w:val="0"/>
              <w:autoSpaceDE/>
              <w:autoSpaceDN/>
              <w:bidi w:val="0"/>
              <w:adjustRightInd/>
              <w:snapToGrid/>
              <w:jc w:val="center"/>
              <w:textAlignment w:val="auto"/>
              <w:rPr>
                <w:rFonts w:hint="default"/>
                <w:color w:val="auto"/>
                <w:sz w:val="21"/>
                <w:szCs w:val="21"/>
                <w:lang w:val="en-US"/>
              </w:rPr>
            </w:pPr>
            <w:r>
              <w:rPr>
                <w:rFonts w:hint="eastAsia" w:ascii="Times New Roman" w:hAnsi="Times New Roman" w:cs="Times New Roman"/>
                <w:b w:val="0"/>
                <w:bCs w:val="0"/>
                <w:color w:val="auto"/>
                <w:kern w:val="2"/>
                <w:sz w:val="21"/>
                <w:szCs w:val="21"/>
                <w:lang w:val="zh-CN" w:eastAsia="zh-CN" w:bidi="ar-SA"/>
              </w:rPr>
              <w:t>生物质锅炉燃烧废气：低氮燃烧器</w:t>
            </w:r>
            <w:r>
              <w:rPr>
                <w:rFonts w:hint="eastAsia" w:ascii="Times New Roman" w:hAnsi="Times New Roman" w:cs="Times New Roman"/>
                <w:b w:val="0"/>
                <w:bCs w:val="0"/>
                <w:color w:val="auto"/>
                <w:kern w:val="2"/>
                <w:sz w:val="21"/>
                <w:szCs w:val="21"/>
                <w:lang w:val="en-US" w:eastAsia="zh-CN" w:bidi="ar-SA"/>
              </w:rPr>
              <w:t>+SCR脱硝+</w:t>
            </w:r>
            <w:r>
              <w:rPr>
                <w:rFonts w:hint="eastAsia" w:ascii="Times New Roman" w:hAnsi="Times New Roman" w:cs="Times New Roman"/>
                <w:b w:val="0"/>
                <w:bCs w:val="0"/>
                <w:color w:val="auto"/>
                <w:kern w:val="2"/>
                <w:sz w:val="21"/>
                <w:szCs w:val="21"/>
                <w:lang w:val="zh-CN" w:eastAsia="zh-CN" w:bidi="ar-SA"/>
              </w:rPr>
              <w:t>多管旋风除尘器</w:t>
            </w:r>
            <w:r>
              <w:rPr>
                <w:rFonts w:hint="eastAsia" w:ascii="Times New Roman" w:hAnsi="Times New Roman" w:cs="Times New Roman"/>
                <w:b w:val="0"/>
                <w:bCs w:val="0"/>
                <w:color w:val="auto"/>
                <w:kern w:val="2"/>
                <w:sz w:val="21"/>
                <w:szCs w:val="21"/>
                <w:lang w:val="en-US" w:eastAsia="zh-CN" w:bidi="ar-SA"/>
              </w:rPr>
              <w:t>+高效布袋除尘器+碱液喷淋塔+15m高排气筒</w:t>
            </w:r>
            <w:r>
              <w:rPr>
                <w:rFonts w:hint="eastAsia" w:ascii="Times New Roman" w:hAnsi="Times New Roman" w:cs="Times New Roman"/>
                <w:color w:val="auto"/>
                <w:kern w:val="2"/>
                <w:sz w:val="21"/>
                <w:szCs w:val="21"/>
                <w:highlight w:val="none"/>
                <w:lang w:val="en-US" w:eastAsia="zh-CN" w:bidi="ar-SA"/>
              </w:rPr>
              <w:t>（DA001）</w:t>
            </w:r>
            <w:r>
              <w:rPr>
                <w:rFonts w:hint="eastAsia" w:ascii="Times New Roman" w:hAnsi="Times New Roman" w:cs="Times New Roman"/>
                <w:b w:val="0"/>
                <w:bCs w:val="0"/>
                <w:color w:val="auto"/>
                <w:kern w:val="2"/>
                <w:sz w:val="21"/>
                <w:szCs w:val="21"/>
                <w:lang w:val="en-US" w:eastAsia="zh-CN" w:bidi="ar-SA"/>
              </w:rPr>
              <w:t>排放</w:t>
            </w:r>
          </w:p>
        </w:tc>
        <w:tc>
          <w:tcPr>
            <w:tcW w:w="1399" w:type="pct"/>
            <w:vAlign w:val="center"/>
          </w:tcPr>
          <w:p w14:paraId="74EE99CE">
            <w:pPr>
              <w:pageBreakBefore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lang w:eastAsia="zh-CN"/>
              </w:rPr>
              <w:t>《锅炉大气污染排放标准》（GB13271-2014）、《安徽省空气质量持续改善行动方案》（皖政〔2024〕36号）</w:t>
            </w:r>
            <w:r>
              <w:rPr>
                <w:rFonts w:hint="eastAsia"/>
                <w:color w:val="auto"/>
                <w:sz w:val="21"/>
                <w:szCs w:val="21"/>
              </w:rPr>
              <w:t>中要求</w:t>
            </w:r>
          </w:p>
        </w:tc>
      </w:tr>
      <w:tr w14:paraId="4611E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43" w:type="pct"/>
            <w:vMerge w:val="continue"/>
            <w:vAlign w:val="center"/>
          </w:tcPr>
          <w:p w14:paraId="4398C942">
            <w:pPr>
              <w:pageBreakBefore w:val="0"/>
              <w:kinsoku/>
              <w:wordWrap/>
              <w:overflowPunct/>
              <w:topLinePunct w:val="0"/>
              <w:autoSpaceDE/>
              <w:autoSpaceDN/>
              <w:bidi w:val="0"/>
              <w:adjustRightInd/>
              <w:snapToGrid/>
              <w:jc w:val="center"/>
              <w:textAlignment w:val="auto"/>
              <w:rPr>
                <w:color w:val="auto"/>
                <w:szCs w:val="21"/>
              </w:rPr>
            </w:pPr>
          </w:p>
        </w:tc>
        <w:tc>
          <w:tcPr>
            <w:tcW w:w="816" w:type="pct"/>
            <w:vAlign w:val="center"/>
          </w:tcPr>
          <w:p w14:paraId="2B6CB5ED">
            <w:pPr>
              <w:pageBreakBefore w:val="0"/>
              <w:kinsoku/>
              <w:wordWrap/>
              <w:overflowPunct/>
              <w:topLinePunct w:val="0"/>
              <w:autoSpaceDE/>
              <w:autoSpaceDN/>
              <w:bidi w:val="0"/>
              <w:adjustRightInd/>
              <w:snapToGrid/>
              <w:jc w:val="center"/>
              <w:textAlignment w:val="auto"/>
              <w:rPr>
                <w:rFonts w:hint="eastAsia" w:eastAsia="宋体"/>
                <w:color w:val="auto"/>
                <w:sz w:val="21"/>
                <w:szCs w:val="21"/>
                <w:lang w:eastAsia="zh-CN"/>
              </w:rPr>
            </w:pPr>
            <w:r>
              <w:rPr>
                <w:color w:val="auto"/>
                <w:sz w:val="21"/>
                <w:szCs w:val="21"/>
              </w:rPr>
              <w:t>无组织排放</w:t>
            </w:r>
          </w:p>
        </w:tc>
        <w:tc>
          <w:tcPr>
            <w:tcW w:w="594" w:type="pct"/>
            <w:tcBorders>
              <w:bottom w:val="single" w:color="auto" w:sz="4" w:space="0"/>
            </w:tcBorders>
            <w:vAlign w:val="center"/>
          </w:tcPr>
          <w:p w14:paraId="55DC4915">
            <w:pPr>
              <w:pageBreakBefore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color w:val="auto"/>
                <w:kern w:val="0"/>
                <w:sz w:val="21"/>
                <w:szCs w:val="21"/>
              </w:rPr>
              <w:t>颗</w:t>
            </w:r>
            <w:r>
              <w:rPr>
                <w:color w:val="auto"/>
                <w:sz w:val="21"/>
                <w:szCs w:val="21"/>
              </w:rPr>
              <w:t>粒物</w:t>
            </w:r>
          </w:p>
        </w:tc>
        <w:tc>
          <w:tcPr>
            <w:tcW w:w="1645" w:type="pct"/>
            <w:tcBorders>
              <w:bottom w:val="single" w:color="auto" w:sz="4" w:space="0"/>
            </w:tcBorders>
            <w:vAlign w:val="center"/>
          </w:tcPr>
          <w:p w14:paraId="65405549">
            <w:pPr>
              <w:pageBreakBefore w:val="0"/>
              <w:kinsoku/>
              <w:wordWrap/>
              <w:overflowPunct/>
              <w:topLinePunct w:val="0"/>
              <w:autoSpaceDE/>
              <w:autoSpaceDN/>
              <w:bidi w:val="0"/>
              <w:adjustRightInd/>
              <w:snapToGrid/>
              <w:jc w:val="center"/>
              <w:textAlignment w:val="auto"/>
              <w:rPr>
                <w:color w:val="auto"/>
                <w:sz w:val="21"/>
                <w:szCs w:val="21"/>
              </w:rPr>
            </w:pPr>
            <w:r>
              <w:rPr>
                <w:rFonts w:hint="eastAsia" w:cs="Times New Roman"/>
                <w:color w:val="auto"/>
                <w:sz w:val="21"/>
                <w:szCs w:val="21"/>
                <w:lang w:val="en-US" w:eastAsia="zh-CN"/>
              </w:rPr>
              <w:t>加强车间密闭、自然沉降</w:t>
            </w:r>
          </w:p>
        </w:tc>
        <w:tc>
          <w:tcPr>
            <w:tcW w:w="1399" w:type="pct"/>
            <w:tcBorders>
              <w:bottom w:val="single" w:color="auto" w:sz="4" w:space="0"/>
            </w:tcBorders>
            <w:vAlign w:val="center"/>
          </w:tcPr>
          <w:p w14:paraId="183B013D">
            <w:pPr>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《大气污染物综合排放标准》（GB16297-1996)表2中的排放浓度限值</w:t>
            </w:r>
          </w:p>
        </w:tc>
      </w:tr>
      <w:tr w14:paraId="6137D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43" w:type="pct"/>
            <w:vMerge w:val="restart"/>
            <w:vAlign w:val="center"/>
          </w:tcPr>
          <w:p w14:paraId="1235DB85">
            <w:pPr>
              <w:pageBreakBefore w:val="0"/>
              <w:kinsoku/>
              <w:wordWrap/>
              <w:overflowPunct/>
              <w:topLinePunct w:val="0"/>
              <w:autoSpaceDE/>
              <w:autoSpaceDN/>
              <w:bidi w:val="0"/>
              <w:adjustRightInd/>
              <w:snapToGrid/>
              <w:jc w:val="center"/>
              <w:textAlignment w:val="auto"/>
              <w:rPr>
                <w:color w:val="auto"/>
                <w:szCs w:val="21"/>
              </w:rPr>
            </w:pPr>
            <w:r>
              <w:rPr>
                <w:color w:val="auto"/>
                <w:szCs w:val="21"/>
              </w:rPr>
              <w:t>地表水环境</w:t>
            </w:r>
          </w:p>
        </w:tc>
        <w:tc>
          <w:tcPr>
            <w:tcW w:w="816" w:type="pct"/>
            <w:tcBorders>
              <w:bottom w:val="single" w:color="auto" w:sz="4" w:space="0"/>
            </w:tcBorders>
            <w:vAlign w:val="center"/>
          </w:tcPr>
          <w:p w14:paraId="67F5F8EC">
            <w:pPr>
              <w:pStyle w:val="66"/>
              <w:pageBreakBefore w:val="0"/>
              <w:kinsoku/>
              <w:wordWrap/>
              <w:overflowPunct/>
              <w:topLinePunct w:val="0"/>
              <w:autoSpaceDE/>
              <w:autoSpaceDN/>
              <w:bidi w:val="0"/>
              <w:adjustRightInd/>
              <w:snapToGrid/>
              <w:jc w:val="center"/>
              <w:textAlignment w:val="auto"/>
              <w:rPr>
                <w:color w:val="auto"/>
                <w:kern w:val="0"/>
                <w:sz w:val="21"/>
                <w:szCs w:val="21"/>
              </w:rPr>
            </w:pPr>
            <w:r>
              <w:rPr>
                <w:color w:val="auto"/>
                <w:sz w:val="21"/>
                <w:szCs w:val="21"/>
              </w:rPr>
              <w:t>生活污水</w:t>
            </w:r>
          </w:p>
        </w:tc>
        <w:tc>
          <w:tcPr>
            <w:tcW w:w="594" w:type="pct"/>
            <w:vAlign w:val="center"/>
          </w:tcPr>
          <w:p w14:paraId="797C019B">
            <w:pPr>
              <w:pStyle w:val="66"/>
              <w:pageBreakBefore w:val="0"/>
              <w:kinsoku/>
              <w:wordWrap/>
              <w:overflowPunct/>
              <w:topLinePunct w:val="0"/>
              <w:autoSpaceDE/>
              <w:autoSpaceDN/>
              <w:bidi w:val="0"/>
              <w:adjustRightInd/>
              <w:snapToGrid/>
              <w:jc w:val="center"/>
              <w:textAlignment w:val="auto"/>
              <w:rPr>
                <w:color w:val="auto"/>
                <w:kern w:val="0"/>
                <w:sz w:val="21"/>
                <w:szCs w:val="21"/>
              </w:rPr>
            </w:pPr>
            <w:r>
              <w:rPr>
                <w:rFonts w:hint="eastAsia"/>
                <w:color w:val="auto"/>
                <w:sz w:val="21"/>
                <w:szCs w:val="21"/>
                <w:lang w:val="en-US" w:eastAsia="zh-CN"/>
              </w:rPr>
              <w:t>pH值</w:t>
            </w:r>
            <w:r>
              <w:rPr>
                <w:rFonts w:hint="eastAsia"/>
                <w:color w:val="auto"/>
                <w:sz w:val="21"/>
                <w:szCs w:val="21"/>
                <w:lang w:eastAsia="zh-CN"/>
              </w:rPr>
              <w:t>、</w:t>
            </w:r>
            <w:r>
              <w:rPr>
                <w:color w:val="auto"/>
                <w:sz w:val="21"/>
                <w:szCs w:val="21"/>
              </w:rPr>
              <w:t>COD、BOD</w:t>
            </w:r>
            <w:r>
              <w:rPr>
                <w:color w:val="auto"/>
                <w:sz w:val="21"/>
                <w:szCs w:val="21"/>
                <w:vertAlign w:val="subscript"/>
              </w:rPr>
              <w:t>5</w:t>
            </w:r>
            <w:r>
              <w:rPr>
                <w:color w:val="auto"/>
                <w:sz w:val="21"/>
                <w:szCs w:val="21"/>
              </w:rPr>
              <w:t>、SS、氨氮</w:t>
            </w:r>
          </w:p>
        </w:tc>
        <w:tc>
          <w:tcPr>
            <w:tcW w:w="1645" w:type="pct"/>
            <w:vAlign w:val="center"/>
          </w:tcPr>
          <w:p w14:paraId="48915327">
            <w:pPr>
              <w:pageBreakBefore w:val="0"/>
              <w:kinsoku/>
              <w:wordWrap/>
              <w:overflowPunct/>
              <w:topLinePunct w:val="0"/>
              <w:autoSpaceDE/>
              <w:autoSpaceDN/>
              <w:bidi w:val="0"/>
              <w:adjustRightInd/>
              <w:snapToGrid/>
              <w:jc w:val="center"/>
              <w:textAlignment w:val="auto"/>
              <w:rPr>
                <w:color w:val="auto"/>
                <w:sz w:val="21"/>
                <w:szCs w:val="21"/>
              </w:rPr>
            </w:pPr>
            <w:r>
              <w:rPr>
                <w:rFonts w:hint="eastAsia" w:ascii="Times New Roman" w:hAnsi="Times New Roman" w:eastAsia="宋体" w:cs="Times New Roman"/>
                <w:color w:val="auto"/>
                <w:sz w:val="21"/>
                <w:szCs w:val="21"/>
                <w:lang w:val="en-US" w:eastAsia="zh-CN"/>
              </w:rPr>
              <w:t>生活污水经化粪池处理后，定期清掏用于周边农田施肥</w:t>
            </w:r>
          </w:p>
        </w:tc>
        <w:tc>
          <w:tcPr>
            <w:tcW w:w="1399" w:type="pct"/>
            <w:vAlign w:val="center"/>
          </w:tcPr>
          <w:p w14:paraId="219A6EBF">
            <w:pPr>
              <w:pStyle w:val="89"/>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不外排</w:t>
            </w:r>
          </w:p>
        </w:tc>
      </w:tr>
      <w:tr w14:paraId="1F5C9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43" w:type="pct"/>
            <w:vMerge w:val="continue"/>
            <w:vAlign w:val="center"/>
          </w:tcPr>
          <w:p w14:paraId="087353C2">
            <w:pPr>
              <w:pStyle w:val="89"/>
              <w:pageBreakBefore w:val="0"/>
              <w:kinsoku/>
              <w:wordWrap/>
              <w:overflowPunct/>
              <w:topLinePunct w:val="0"/>
              <w:autoSpaceDE/>
              <w:autoSpaceDN/>
              <w:bidi w:val="0"/>
              <w:adjustRightInd/>
              <w:snapToGrid/>
              <w:jc w:val="center"/>
              <w:textAlignment w:val="auto"/>
              <w:rPr>
                <w:color w:val="auto"/>
              </w:rPr>
            </w:pPr>
          </w:p>
        </w:tc>
        <w:tc>
          <w:tcPr>
            <w:tcW w:w="1515" w:type="dxa"/>
            <w:tcBorders>
              <w:bottom w:val="single" w:color="auto" w:sz="4" w:space="0"/>
            </w:tcBorders>
            <w:vAlign w:val="center"/>
          </w:tcPr>
          <w:p w14:paraId="07C3572F">
            <w:pPr>
              <w:keepNext w:val="0"/>
              <w:keepLines w:val="0"/>
              <w:pageBreakBefore w:val="0"/>
              <w:kinsoku/>
              <w:overflowPunct/>
              <w:bidi w:val="0"/>
              <w:adjustRightInd/>
              <w:snapToGrid/>
              <w:jc w:val="center"/>
              <w:rPr>
                <w:color w:val="auto"/>
                <w:sz w:val="21"/>
                <w:szCs w:val="21"/>
              </w:rPr>
            </w:pPr>
            <w:r>
              <w:rPr>
                <w:rFonts w:hint="eastAsia" w:cs="Times New Roman"/>
                <w:color w:val="auto"/>
                <w:sz w:val="21"/>
                <w:szCs w:val="21"/>
                <w:lang w:val="en-US" w:eastAsia="zh-CN"/>
              </w:rPr>
              <w:t>喷淋废水</w:t>
            </w:r>
          </w:p>
        </w:tc>
        <w:tc>
          <w:tcPr>
            <w:tcW w:w="1104" w:type="dxa"/>
            <w:vAlign w:val="center"/>
          </w:tcPr>
          <w:p w14:paraId="69034AA7">
            <w:pPr>
              <w:keepNext w:val="0"/>
              <w:keepLines w:val="0"/>
              <w:pageBreakBefore w:val="0"/>
              <w:kinsoku/>
              <w:overflowPunct/>
              <w:bidi w:val="0"/>
              <w:adjustRightInd/>
              <w:snapToGrid/>
              <w:jc w:val="center"/>
              <w:rPr>
                <w:color w:val="auto"/>
                <w:sz w:val="21"/>
                <w:szCs w:val="21"/>
              </w:rPr>
            </w:pPr>
            <w:r>
              <w:rPr>
                <w:rFonts w:hint="eastAsia"/>
                <w:color w:val="auto"/>
                <w:sz w:val="21"/>
                <w:szCs w:val="21"/>
                <w:lang w:val="en-US" w:eastAsia="zh-CN"/>
              </w:rPr>
              <w:t>pH值</w:t>
            </w:r>
            <w:r>
              <w:rPr>
                <w:rFonts w:hint="eastAsia"/>
                <w:color w:val="auto"/>
                <w:sz w:val="21"/>
                <w:szCs w:val="21"/>
                <w:lang w:eastAsia="zh-CN"/>
              </w:rPr>
              <w:t>、</w:t>
            </w:r>
            <w:r>
              <w:rPr>
                <w:color w:val="auto"/>
                <w:sz w:val="21"/>
                <w:szCs w:val="21"/>
              </w:rPr>
              <w:t>COD、SS</w:t>
            </w:r>
          </w:p>
        </w:tc>
        <w:tc>
          <w:tcPr>
            <w:tcW w:w="1645" w:type="pct"/>
            <w:vAlign w:val="center"/>
          </w:tcPr>
          <w:p w14:paraId="3E9BEDEA">
            <w:pPr>
              <w:pStyle w:val="89"/>
              <w:pageBreakBefore w:val="0"/>
              <w:kinsoku/>
              <w:wordWrap/>
              <w:overflowPunct/>
              <w:topLinePunct w:val="0"/>
              <w:autoSpaceDE/>
              <w:autoSpaceDN/>
              <w:bidi w:val="0"/>
              <w:adjustRightInd/>
              <w:snapToGrid/>
              <w:jc w:val="center"/>
              <w:textAlignment w:val="auto"/>
              <w:rPr>
                <w:color w:val="auto"/>
                <w:sz w:val="21"/>
                <w:szCs w:val="21"/>
              </w:rPr>
            </w:pPr>
            <w:r>
              <w:rPr>
                <w:rFonts w:hint="eastAsia" w:cs="Times New Roman"/>
                <w:color w:val="auto"/>
                <w:sz w:val="21"/>
                <w:szCs w:val="21"/>
                <w:lang w:val="en-US" w:eastAsia="zh-CN"/>
              </w:rPr>
              <w:t>沉淀后循环使用</w:t>
            </w:r>
          </w:p>
        </w:tc>
        <w:tc>
          <w:tcPr>
            <w:tcW w:w="1399" w:type="pct"/>
            <w:vAlign w:val="center"/>
          </w:tcPr>
          <w:p w14:paraId="06846617">
            <w:pPr>
              <w:pStyle w:val="89"/>
              <w:pageBreakBefore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ascii="Times New Roman" w:hAnsi="Times New Roman" w:cs="Times New Roman"/>
                <w:color w:val="auto"/>
                <w:kern w:val="2"/>
                <w:sz w:val="21"/>
                <w:szCs w:val="21"/>
                <w:lang w:val="en-US" w:eastAsia="zh-CN"/>
              </w:rPr>
              <w:t>不外排</w:t>
            </w:r>
          </w:p>
        </w:tc>
      </w:tr>
      <w:tr w14:paraId="5FC32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bottom w:val="single" w:color="auto" w:sz="4" w:space="0"/>
            </w:tcBorders>
            <w:vAlign w:val="center"/>
          </w:tcPr>
          <w:p w14:paraId="314E2143">
            <w:pPr>
              <w:pageBreakBefore w:val="0"/>
              <w:kinsoku/>
              <w:wordWrap/>
              <w:overflowPunct/>
              <w:topLinePunct w:val="0"/>
              <w:autoSpaceDE/>
              <w:autoSpaceDN/>
              <w:bidi w:val="0"/>
              <w:adjustRightInd/>
              <w:snapToGrid/>
              <w:jc w:val="center"/>
              <w:textAlignment w:val="auto"/>
              <w:rPr>
                <w:color w:val="auto"/>
                <w:szCs w:val="21"/>
              </w:rPr>
            </w:pPr>
            <w:r>
              <w:rPr>
                <w:color w:val="auto"/>
                <w:szCs w:val="21"/>
              </w:rPr>
              <w:t>声环境</w:t>
            </w:r>
          </w:p>
        </w:tc>
        <w:tc>
          <w:tcPr>
            <w:tcW w:w="816" w:type="pct"/>
            <w:tcBorders>
              <w:bottom w:val="single" w:color="auto" w:sz="4" w:space="0"/>
            </w:tcBorders>
            <w:vAlign w:val="center"/>
          </w:tcPr>
          <w:p w14:paraId="1E107D98">
            <w:pPr>
              <w:pageBreakBefore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lang w:val="en-US" w:eastAsia="zh-CN"/>
              </w:rPr>
              <w:t>生产设备、</w:t>
            </w:r>
            <w:r>
              <w:rPr>
                <w:rFonts w:hint="eastAsia"/>
                <w:color w:val="auto"/>
                <w:sz w:val="21"/>
                <w:szCs w:val="21"/>
              </w:rPr>
              <w:t>风机</w:t>
            </w:r>
            <w:r>
              <w:rPr>
                <w:color w:val="auto"/>
                <w:sz w:val="21"/>
                <w:szCs w:val="21"/>
              </w:rPr>
              <w:t>等</w:t>
            </w:r>
          </w:p>
        </w:tc>
        <w:tc>
          <w:tcPr>
            <w:tcW w:w="594" w:type="pct"/>
            <w:tcBorders>
              <w:bottom w:val="single" w:color="auto" w:sz="4" w:space="0"/>
            </w:tcBorders>
            <w:vAlign w:val="center"/>
          </w:tcPr>
          <w:p w14:paraId="1DE08613">
            <w:pPr>
              <w:pageBreakBefore w:val="0"/>
              <w:kinsoku/>
              <w:wordWrap/>
              <w:overflowPunct/>
              <w:topLinePunct w:val="0"/>
              <w:autoSpaceDE/>
              <w:autoSpaceDN/>
              <w:bidi w:val="0"/>
              <w:adjustRightInd/>
              <w:snapToGrid/>
              <w:jc w:val="center"/>
              <w:textAlignment w:val="auto"/>
              <w:rPr>
                <w:color w:val="auto"/>
                <w:sz w:val="21"/>
                <w:szCs w:val="21"/>
              </w:rPr>
            </w:pPr>
            <w:r>
              <w:rPr>
                <w:color w:val="auto"/>
                <w:sz w:val="21"/>
                <w:szCs w:val="21"/>
              </w:rPr>
              <w:t>噪声</w:t>
            </w:r>
          </w:p>
        </w:tc>
        <w:tc>
          <w:tcPr>
            <w:tcW w:w="1645" w:type="pct"/>
            <w:tcBorders>
              <w:bottom w:val="single" w:color="auto" w:sz="4" w:space="0"/>
            </w:tcBorders>
            <w:vAlign w:val="center"/>
          </w:tcPr>
          <w:p w14:paraId="7E74F41C">
            <w:pPr>
              <w:pageBreakBefore w:val="0"/>
              <w:kinsoku/>
              <w:wordWrap/>
              <w:overflowPunct/>
              <w:topLinePunct w:val="0"/>
              <w:autoSpaceDE/>
              <w:autoSpaceDN/>
              <w:bidi w:val="0"/>
              <w:adjustRightInd/>
              <w:snapToGrid/>
              <w:jc w:val="center"/>
              <w:textAlignment w:val="auto"/>
              <w:rPr>
                <w:color w:val="auto"/>
                <w:kern w:val="0"/>
                <w:sz w:val="21"/>
                <w:szCs w:val="21"/>
              </w:rPr>
            </w:pPr>
            <w:r>
              <w:rPr>
                <w:color w:val="auto"/>
                <w:sz w:val="21"/>
                <w:szCs w:val="21"/>
              </w:rPr>
              <w:t>采取减</w:t>
            </w:r>
            <w:r>
              <w:rPr>
                <w:rFonts w:hint="eastAsia"/>
                <w:color w:val="auto"/>
                <w:sz w:val="21"/>
                <w:szCs w:val="21"/>
              </w:rPr>
              <w:t>振</w:t>
            </w:r>
            <w:r>
              <w:rPr>
                <w:color w:val="auto"/>
                <w:sz w:val="21"/>
                <w:szCs w:val="21"/>
              </w:rPr>
              <w:t>、隔声等措施</w:t>
            </w:r>
          </w:p>
        </w:tc>
        <w:tc>
          <w:tcPr>
            <w:tcW w:w="1399" w:type="pct"/>
            <w:tcBorders>
              <w:bottom w:val="single" w:color="auto" w:sz="4" w:space="0"/>
            </w:tcBorders>
            <w:vAlign w:val="center"/>
          </w:tcPr>
          <w:p w14:paraId="5D26FD21">
            <w:pPr>
              <w:pageBreakBefore w:val="0"/>
              <w:kinsoku/>
              <w:wordWrap/>
              <w:overflowPunct/>
              <w:topLinePunct w:val="0"/>
              <w:autoSpaceDE/>
              <w:autoSpaceDN/>
              <w:bidi w:val="0"/>
              <w:adjustRightInd/>
              <w:snapToGrid/>
              <w:jc w:val="center"/>
              <w:textAlignment w:val="auto"/>
              <w:rPr>
                <w:rFonts w:hint="eastAsia" w:eastAsia="宋体"/>
                <w:color w:val="auto"/>
                <w:kern w:val="0"/>
                <w:sz w:val="21"/>
                <w:szCs w:val="21"/>
                <w:lang w:eastAsia="zh-CN"/>
              </w:rPr>
            </w:pPr>
            <w:r>
              <w:rPr>
                <w:color w:val="auto"/>
                <w:sz w:val="21"/>
                <w:szCs w:val="21"/>
              </w:rPr>
              <w:t>《工业企业厂界环境噪声排放标准》（GB12348-</w:t>
            </w:r>
            <w:r>
              <w:rPr>
                <w:rFonts w:hint="eastAsia"/>
                <w:color w:val="auto"/>
                <w:sz w:val="21"/>
                <w:szCs w:val="21"/>
                <w:lang w:val="en-US" w:eastAsia="zh-CN"/>
              </w:rPr>
              <w:t xml:space="preserve"> </w:t>
            </w:r>
            <w:r>
              <w:rPr>
                <w:color w:val="auto"/>
                <w:sz w:val="21"/>
                <w:szCs w:val="21"/>
              </w:rPr>
              <w:t>2008）中</w:t>
            </w:r>
            <w:r>
              <w:rPr>
                <w:rFonts w:hint="eastAsia"/>
                <w:color w:val="auto"/>
                <w:sz w:val="21"/>
                <w:szCs w:val="21"/>
                <w:lang w:val="en-US" w:eastAsia="zh-CN"/>
              </w:rPr>
              <w:t>2</w:t>
            </w:r>
            <w:r>
              <w:rPr>
                <w:color w:val="auto"/>
                <w:sz w:val="21"/>
                <w:szCs w:val="21"/>
              </w:rPr>
              <w:t>标准</w:t>
            </w:r>
            <w:r>
              <w:rPr>
                <w:rFonts w:hint="eastAsia"/>
                <w:color w:val="auto"/>
                <w:sz w:val="21"/>
                <w:szCs w:val="21"/>
                <w:lang w:eastAsia="zh-CN"/>
              </w:rPr>
              <w:t>、《声环境质量标准》（GB3096-</w:t>
            </w:r>
            <w:r>
              <w:rPr>
                <w:rFonts w:hint="eastAsia"/>
                <w:color w:val="auto"/>
                <w:sz w:val="21"/>
                <w:szCs w:val="21"/>
                <w:lang w:val="en-US" w:eastAsia="zh-CN"/>
              </w:rPr>
              <w:t xml:space="preserve"> </w:t>
            </w:r>
            <w:r>
              <w:rPr>
                <w:rFonts w:hint="eastAsia"/>
                <w:color w:val="auto"/>
                <w:sz w:val="21"/>
                <w:szCs w:val="21"/>
                <w:lang w:eastAsia="zh-CN"/>
              </w:rPr>
              <w:t>2008）中</w:t>
            </w:r>
            <w:r>
              <w:rPr>
                <w:rFonts w:hint="eastAsia"/>
                <w:color w:val="auto"/>
                <w:sz w:val="21"/>
                <w:szCs w:val="21"/>
                <w:lang w:val="en-US" w:eastAsia="zh-CN"/>
              </w:rPr>
              <w:t>2</w:t>
            </w:r>
            <w:r>
              <w:rPr>
                <w:rFonts w:hint="eastAsia"/>
                <w:color w:val="auto"/>
                <w:sz w:val="21"/>
                <w:szCs w:val="21"/>
                <w:lang w:eastAsia="zh-CN"/>
              </w:rPr>
              <w:t>类标准</w:t>
            </w:r>
          </w:p>
        </w:tc>
      </w:tr>
      <w:tr w14:paraId="221CD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bottom w:val="single" w:color="auto" w:sz="4" w:space="0"/>
            </w:tcBorders>
            <w:vAlign w:val="center"/>
          </w:tcPr>
          <w:p w14:paraId="62F4BC33">
            <w:pPr>
              <w:pageBreakBefore w:val="0"/>
              <w:kinsoku/>
              <w:wordWrap/>
              <w:overflowPunct/>
              <w:topLinePunct w:val="0"/>
              <w:autoSpaceDE/>
              <w:autoSpaceDN/>
              <w:bidi w:val="0"/>
              <w:adjustRightInd/>
              <w:snapToGrid/>
              <w:jc w:val="center"/>
              <w:textAlignment w:val="auto"/>
              <w:rPr>
                <w:color w:val="auto"/>
                <w:szCs w:val="21"/>
              </w:rPr>
            </w:pPr>
            <w:r>
              <w:rPr>
                <w:color w:val="auto"/>
                <w:szCs w:val="21"/>
              </w:rPr>
              <w:t>电磁辐射</w:t>
            </w:r>
          </w:p>
        </w:tc>
        <w:tc>
          <w:tcPr>
            <w:tcW w:w="816" w:type="pct"/>
            <w:tcBorders>
              <w:bottom w:val="single" w:color="auto" w:sz="4" w:space="0"/>
            </w:tcBorders>
            <w:vAlign w:val="center"/>
          </w:tcPr>
          <w:p w14:paraId="21FF0752">
            <w:pPr>
              <w:pageBreakBefore w:val="0"/>
              <w:kinsoku/>
              <w:wordWrap/>
              <w:overflowPunct/>
              <w:topLinePunct w:val="0"/>
              <w:autoSpaceDE/>
              <w:autoSpaceDN/>
              <w:bidi w:val="0"/>
              <w:adjustRightInd/>
              <w:snapToGrid/>
              <w:jc w:val="center"/>
              <w:textAlignment w:val="auto"/>
              <w:rPr>
                <w:color w:val="auto"/>
                <w:kern w:val="0"/>
                <w:sz w:val="21"/>
                <w:szCs w:val="21"/>
              </w:rPr>
            </w:pPr>
            <w:r>
              <w:rPr>
                <w:color w:val="auto"/>
                <w:sz w:val="21"/>
                <w:szCs w:val="21"/>
              </w:rPr>
              <w:t>/</w:t>
            </w:r>
          </w:p>
        </w:tc>
        <w:tc>
          <w:tcPr>
            <w:tcW w:w="594" w:type="pct"/>
            <w:tcBorders>
              <w:bottom w:val="single" w:color="auto" w:sz="4" w:space="0"/>
            </w:tcBorders>
            <w:vAlign w:val="center"/>
          </w:tcPr>
          <w:p w14:paraId="7C5A0F25">
            <w:pPr>
              <w:pageBreakBefore w:val="0"/>
              <w:kinsoku/>
              <w:wordWrap/>
              <w:overflowPunct/>
              <w:topLinePunct w:val="0"/>
              <w:autoSpaceDE/>
              <w:autoSpaceDN/>
              <w:bidi w:val="0"/>
              <w:adjustRightInd/>
              <w:snapToGrid/>
              <w:jc w:val="center"/>
              <w:textAlignment w:val="auto"/>
              <w:rPr>
                <w:color w:val="auto"/>
                <w:kern w:val="0"/>
                <w:sz w:val="21"/>
                <w:szCs w:val="21"/>
              </w:rPr>
            </w:pPr>
            <w:r>
              <w:rPr>
                <w:color w:val="auto"/>
                <w:sz w:val="21"/>
                <w:szCs w:val="21"/>
              </w:rPr>
              <w:t>/</w:t>
            </w:r>
          </w:p>
        </w:tc>
        <w:tc>
          <w:tcPr>
            <w:tcW w:w="1645" w:type="pct"/>
            <w:tcBorders>
              <w:bottom w:val="single" w:color="auto" w:sz="4" w:space="0"/>
            </w:tcBorders>
            <w:vAlign w:val="center"/>
          </w:tcPr>
          <w:p w14:paraId="7D2EFBA1">
            <w:pPr>
              <w:pageBreakBefore w:val="0"/>
              <w:kinsoku/>
              <w:wordWrap/>
              <w:overflowPunct/>
              <w:topLinePunct w:val="0"/>
              <w:autoSpaceDE/>
              <w:autoSpaceDN/>
              <w:bidi w:val="0"/>
              <w:adjustRightInd/>
              <w:snapToGrid/>
              <w:jc w:val="center"/>
              <w:textAlignment w:val="auto"/>
              <w:rPr>
                <w:color w:val="auto"/>
                <w:kern w:val="0"/>
                <w:sz w:val="21"/>
                <w:szCs w:val="21"/>
              </w:rPr>
            </w:pPr>
            <w:r>
              <w:rPr>
                <w:color w:val="auto"/>
                <w:sz w:val="21"/>
                <w:szCs w:val="21"/>
              </w:rPr>
              <w:t>/</w:t>
            </w:r>
          </w:p>
        </w:tc>
        <w:tc>
          <w:tcPr>
            <w:tcW w:w="1399" w:type="pct"/>
            <w:tcBorders>
              <w:bottom w:val="single" w:color="auto" w:sz="4" w:space="0"/>
            </w:tcBorders>
            <w:vAlign w:val="center"/>
          </w:tcPr>
          <w:p w14:paraId="3662E393">
            <w:pPr>
              <w:pageBreakBefore w:val="0"/>
              <w:kinsoku/>
              <w:wordWrap/>
              <w:overflowPunct/>
              <w:topLinePunct w:val="0"/>
              <w:autoSpaceDE/>
              <w:autoSpaceDN/>
              <w:bidi w:val="0"/>
              <w:adjustRightInd/>
              <w:snapToGrid/>
              <w:jc w:val="center"/>
              <w:textAlignment w:val="auto"/>
              <w:rPr>
                <w:color w:val="auto"/>
                <w:kern w:val="0"/>
                <w:sz w:val="21"/>
                <w:szCs w:val="21"/>
              </w:rPr>
            </w:pPr>
            <w:r>
              <w:rPr>
                <w:color w:val="auto"/>
                <w:sz w:val="21"/>
                <w:szCs w:val="21"/>
              </w:rPr>
              <w:t>/</w:t>
            </w:r>
          </w:p>
        </w:tc>
      </w:tr>
      <w:tr w14:paraId="55E6F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Align w:val="center"/>
          </w:tcPr>
          <w:p w14:paraId="316A6D29">
            <w:pPr>
              <w:pageBreakBefore w:val="0"/>
              <w:kinsoku/>
              <w:wordWrap/>
              <w:overflowPunct/>
              <w:topLinePunct w:val="0"/>
              <w:autoSpaceDE/>
              <w:autoSpaceDN/>
              <w:bidi w:val="0"/>
              <w:adjustRightInd/>
              <w:snapToGrid/>
              <w:jc w:val="center"/>
              <w:textAlignment w:val="auto"/>
              <w:rPr>
                <w:color w:val="auto"/>
                <w:szCs w:val="21"/>
              </w:rPr>
            </w:pPr>
            <w:r>
              <w:rPr>
                <w:color w:val="auto"/>
                <w:szCs w:val="21"/>
              </w:rPr>
              <w:t>固体废物</w:t>
            </w:r>
          </w:p>
        </w:tc>
        <w:tc>
          <w:tcPr>
            <w:tcW w:w="4456" w:type="pct"/>
            <w:gridSpan w:val="4"/>
            <w:vAlign w:val="center"/>
          </w:tcPr>
          <w:p w14:paraId="34A1AF85">
            <w:pPr>
              <w:keepNext w:val="0"/>
              <w:keepLines w:val="0"/>
              <w:pageBreakBefore w:val="0"/>
              <w:widowControl/>
              <w:kinsoku/>
              <w:overflowPunct/>
              <w:bidi w:val="0"/>
              <w:adjustRightInd/>
              <w:snapToGrid/>
              <w:spacing w:line="360" w:lineRule="auto"/>
              <w:ind w:firstLine="480" w:firstLineChars="200"/>
              <w:rPr>
                <w:color w:val="auto"/>
                <w:kern w:val="0"/>
                <w:szCs w:val="21"/>
              </w:rPr>
            </w:pPr>
            <w:r>
              <w:rPr>
                <w:color w:val="auto"/>
                <w:kern w:val="0"/>
                <w:sz w:val="24"/>
              </w:rPr>
              <w:t>生活垃圾进行妥善分类收集，交由环卫部门统一处理；</w:t>
            </w:r>
            <w:r>
              <w:rPr>
                <w:rFonts w:hint="eastAsia"/>
                <w:b w:val="0"/>
                <w:bCs w:val="0"/>
                <w:color w:val="auto"/>
                <w:sz w:val="24"/>
                <w:lang w:val="en-US" w:eastAsia="zh-CN"/>
              </w:rPr>
              <w:t>边角料</w:t>
            </w:r>
            <w:r>
              <w:rPr>
                <w:rFonts w:hint="eastAsia"/>
                <w:color w:val="auto"/>
                <w:kern w:val="0"/>
                <w:sz w:val="24"/>
                <w:lang w:eastAsia="zh-CN"/>
              </w:rPr>
              <w:t>、</w:t>
            </w:r>
            <w:r>
              <w:rPr>
                <w:rFonts w:hint="eastAsia"/>
                <w:color w:val="auto"/>
                <w:kern w:val="0"/>
                <w:sz w:val="24"/>
              </w:rPr>
              <w:t>布袋除尘器收尘</w:t>
            </w:r>
            <w:r>
              <w:rPr>
                <w:rFonts w:hint="eastAsia"/>
                <w:color w:val="auto"/>
                <w:kern w:val="0"/>
                <w:sz w:val="24"/>
                <w:lang w:eastAsia="zh-CN"/>
              </w:rPr>
              <w:t>、</w:t>
            </w:r>
            <w:r>
              <w:rPr>
                <w:rFonts w:hint="eastAsia"/>
                <w:color w:val="auto"/>
                <w:sz w:val="24"/>
                <w:lang w:val="en-US" w:eastAsia="zh-CN"/>
              </w:rPr>
              <w:t>炉渣收集后外售综合利用，</w:t>
            </w:r>
            <w:r>
              <w:rPr>
                <w:rFonts w:hint="eastAsia"/>
                <w:color w:val="auto"/>
                <w:kern w:val="0"/>
                <w:sz w:val="24"/>
                <w:lang w:val="en-US" w:eastAsia="zh-CN"/>
              </w:rPr>
              <w:t>废树脂、废布袋、沉淀池沉渣</w:t>
            </w:r>
            <w:r>
              <w:rPr>
                <w:rFonts w:hint="eastAsia"/>
                <w:color w:val="auto"/>
                <w:sz w:val="24"/>
                <w:lang w:val="en-US" w:eastAsia="zh-CN"/>
              </w:rPr>
              <w:t>收集后外售给资源回收公司；</w:t>
            </w:r>
            <w:r>
              <w:rPr>
                <w:color w:val="auto"/>
                <w:sz w:val="24"/>
              </w:rPr>
              <w:t>废</w:t>
            </w:r>
            <w:r>
              <w:rPr>
                <w:rFonts w:hint="eastAsia"/>
                <w:color w:val="auto"/>
                <w:sz w:val="24"/>
              </w:rPr>
              <w:t>润滑油桶</w:t>
            </w:r>
            <w:r>
              <w:rPr>
                <w:rFonts w:hint="eastAsia"/>
                <w:color w:val="auto"/>
                <w:sz w:val="24"/>
                <w:lang w:eastAsia="zh-CN"/>
              </w:rPr>
              <w:t>、</w:t>
            </w:r>
            <w:r>
              <w:rPr>
                <w:rFonts w:hint="eastAsia"/>
                <w:color w:val="auto"/>
                <w:sz w:val="24"/>
              </w:rPr>
              <w:t>废润滑油</w:t>
            </w:r>
            <w:r>
              <w:rPr>
                <w:rFonts w:hint="eastAsia"/>
                <w:color w:val="auto"/>
                <w:sz w:val="24"/>
                <w:lang w:eastAsia="zh-CN"/>
              </w:rPr>
              <w:t>和</w:t>
            </w:r>
            <w:r>
              <w:rPr>
                <w:rFonts w:hint="eastAsia"/>
                <w:color w:val="auto"/>
                <w:sz w:val="24"/>
                <w:lang w:val="en-US" w:eastAsia="zh-CN"/>
              </w:rPr>
              <w:t>废催化剂</w:t>
            </w:r>
            <w:r>
              <w:rPr>
                <w:color w:val="auto"/>
                <w:kern w:val="0"/>
                <w:sz w:val="24"/>
              </w:rPr>
              <w:t>属于危险废物，将其交由具处理资质的单位回收处理。</w:t>
            </w:r>
          </w:p>
        </w:tc>
      </w:tr>
      <w:tr w14:paraId="624A6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Align w:val="center"/>
          </w:tcPr>
          <w:p w14:paraId="71FC9728">
            <w:pPr>
              <w:pageBreakBefore w:val="0"/>
              <w:kinsoku/>
              <w:wordWrap/>
              <w:overflowPunct/>
              <w:topLinePunct w:val="0"/>
              <w:autoSpaceDE/>
              <w:autoSpaceDN/>
              <w:bidi w:val="0"/>
              <w:adjustRightInd/>
              <w:snapToGrid/>
              <w:jc w:val="center"/>
              <w:textAlignment w:val="auto"/>
              <w:rPr>
                <w:color w:val="auto"/>
                <w:szCs w:val="21"/>
              </w:rPr>
            </w:pPr>
            <w:r>
              <w:rPr>
                <w:color w:val="auto"/>
                <w:szCs w:val="21"/>
              </w:rPr>
              <w:t>土壤及地下水污染防治措施</w:t>
            </w:r>
          </w:p>
        </w:tc>
        <w:tc>
          <w:tcPr>
            <w:tcW w:w="4456" w:type="pct"/>
            <w:gridSpan w:val="4"/>
            <w:vAlign w:val="center"/>
          </w:tcPr>
          <w:p w14:paraId="6C2350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kern w:val="0"/>
                <w:szCs w:val="21"/>
              </w:rPr>
            </w:pPr>
            <w:r>
              <w:rPr>
                <w:rFonts w:hint="eastAsia"/>
                <w:color w:val="auto"/>
                <w:sz w:val="24"/>
                <w:szCs w:val="24"/>
              </w:rPr>
              <w:t>危废间</w:t>
            </w:r>
            <w:r>
              <w:rPr>
                <w:rFonts w:hint="eastAsia"/>
                <w:color w:val="auto"/>
                <w:sz w:val="24"/>
                <w:szCs w:val="24"/>
                <w:lang w:eastAsia="zh-CN"/>
              </w:rPr>
              <w:t>、化学品库、沉淀池</w:t>
            </w:r>
            <w:r>
              <w:rPr>
                <w:color w:val="auto"/>
                <w:sz w:val="24"/>
                <w:szCs w:val="24"/>
              </w:rPr>
              <w:t>基础防渗，防渗层为至少lm厚粘土层(渗透系数≤10</w:t>
            </w:r>
            <w:r>
              <w:rPr>
                <w:color w:val="auto"/>
                <w:sz w:val="24"/>
                <w:szCs w:val="24"/>
                <w:vertAlign w:val="superscript"/>
              </w:rPr>
              <w:t>-7</w:t>
            </w:r>
            <w:r>
              <w:rPr>
                <w:color w:val="auto"/>
                <w:sz w:val="24"/>
                <w:szCs w:val="24"/>
              </w:rPr>
              <w:t>cm/s)，或2mm厚高密度聚乙烯，或至少2mm厚的其它人工材料，渗透系数≤10</w:t>
            </w:r>
            <w:r>
              <w:rPr>
                <w:color w:val="auto"/>
                <w:sz w:val="24"/>
                <w:szCs w:val="24"/>
                <w:vertAlign w:val="superscript"/>
              </w:rPr>
              <w:t>-10</w:t>
            </w:r>
            <w:r>
              <w:rPr>
                <w:color w:val="auto"/>
                <w:sz w:val="24"/>
                <w:szCs w:val="24"/>
              </w:rPr>
              <w:t>cm/s；</w:t>
            </w:r>
            <w:r>
              <w:rPr>
                <w:rFonts w:hint="eastAsia"/>
                <w:color w:val="auto"/>
                <w:sz w:val="24"/>
                <w:szCs w:val="24"/>
              </w:rPr>
              <w:t>生产车间、一般固废</w:t>
            </w:r>
            <w:r>
              <w:rPr>
                <w:rFonts w:hint="eastAsia"/>
                <w:color w:val="auto"/>
                <w:sz w:val="24"/>
                <w:szCs w:val="24"/>
                <w:lang w:eastAsia="zh-CN"/>
              </w:rPr>
              <w:t>间</w:t>
            </w:r>
            <w:r>
              <w:rPr>
                <w:color w:val="auto"/>
                <w:sz w:val="24"/>
                <w:szCs w:val="24"/>
              </w:rPr>
              <w:t>均进行水泥地面硬</w:t>
            </w:r>
            <w:r>
              <w:rPr>
                <w:rFonts w:ascii="Times New Roman" w:hAnsi="Times New Roman" w:eastAsia="宋体" w:cs="Times New Roman"/>
                <w:color w:val="auto"/>
                <w:sz w:val="24"/>
                <w:szCs w:val="24"/>
              </w:rPr>
              <w:t>底化</w:t>
            </w:r>
          </w:p>
        </w:tc>
      </w:tr>
      <w:tr w14:paraId="31B62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Align w:val="center"/>
          </w:tcPr>
          <w:p w14:paraId="0DAA6977">
            <w:pPr>
              <w:pageBreakBefore w:val="0"/>
              <w:kinsoku/>
              <w:wordWrap/>
              <w:overflowPunct/>
              <w:topLinePunct w:val="0"/>
              <w:autoSpaceDE/>
              <w:autoSpaceDN/>
              <w:bidi w:val="0"/>
              <w:adjustRightInd/>
              <w:snapToGrid/>
              <w:jc w:val="center"/>
              <w:textAlignment w:val="auto"/>
              <w:rPr>
                <w:color w:val="auto"/>
                <w:szCs w:val="21"/>
              </w:rPr>
            </w:pPr>
            <w:r>
              <w:rPr>
                <w:color w:val="auto"/>
                <w:szCs w:val="21"/>
              </w:rPr>
              <w:t>生态保护措施</w:t>
            </w:r>
          </w:p>
        </w:tc>
        <w:tc>
          <w:tcPr>
            <w:tcW w:w="4456" w:type="pct"/>
            <w:gridSpan w:val="4"/>
            <w:vAlign w:val="center"/>
          </w:tcPr>
          <w:p w14:paraId="1623EEB0">
            <w:pPr>
              <w:pageBreakBefore w:val="0"/>
              <w:kinsoku/>
              <w:wordWrap/>
              <w:overflowPunct/>
              <w:topLinePunct w:val="0"/>
              <w:autoSpaceDE/>
              <w:autoSpaceDN/>
              <w:bidi w:val="0"/>
              <w:adjustRightInd/>
              <w:snapToGrid/>
              <w:jc w:val="center"/>
              <w:textAlignment w:val="auto"/>
              <w:rPr>
                <w:color w:val="auto"/>
                <w:kern w:val="0"/>
                <w:szCs w:val="21"/>
              </w:rPr>
            </w:pPr>
            <w:r>
              <w:rPr>
                <w:color w:val="auto"/>
                <w:szCs w:val="21"/>
              </w:rPr>
              <w:t>无</w:t>
            </w:r>
          </w:p>
        </w:tc>
      </w:tr>
      <w:tr w14:paraId="58E2E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Align w:val="center"/>
          </w:tcPr>
          <w:p w14:paraId="6736F956">
            <w:pPr>
              <w:pageBreakBefore w:val="0"/>
              <w:kinsoku/>
              <w:wordWrap/>
              <w:overflowPunct/>
              <w:topLinePunct w:val="0"/>
              <w:autoSpaceDE/>
              <w:autoSpaceDN/>
              <w:bidi w:val="0"/>
              <w:adjustRightInd/>
              <w:snapToGrid/>
              <w:jc w:val="center"/>
              <w:textAlignment w:val="auto"/>
              <w:rPr>
                <w:color w:val="auto"/>
                <w:spacing w:val="-8"/>
                <w:szCs w:val="21"/>
              </w:rPr>
            </w:pPr>
            <w:r>
              <w:rPr>
                <w:color w:val="auto"/>
                <w:spacing w:val="-8"/>
                <w:szCs w:val="21"/>
              </w:rPr>
              <w:t>环境风险防范措施</w:t>
            </w:r>
          </w:p>
        </w:tc>
        <w:tc>
          <w:tcPr>
            <w:tcW w:w="4456" w:type="pct"/>
            <w:gridSpan w:val="4"/>
            <w:vAlign w:val="center"/>
          </w:tcPr>
          <w:p w14:paraId="0CC8372C">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（1）危险废物贮存间的设置须满足《危险废物贮存污染控制标准》（GB18597-2023）要求；</w:t>
            </w:r>
            <w:r>
              <w:rPr>
                <w:rFonts w:hint="eastAsia" w:ascii="Times New Roman" w:hAnsi="Times New Roman" w:eastAsia="宋体" w:cs="Times New Roman"/>
                <w:color w:val="auto"/>
                <w:sz w:val="21"/>
                <w:szCs w:val="21"/>
              </w:rPr>
              <w:t>润滑油</w:t>
            </w:r>
            <w:r>
              <w:rPr>
                <w:rFonts w:ascii="Times New Roman" w:hAnsi="Times New Roman" w:eastAsia="宋体" w:cs="Times New Roman"/>
                <w:color w:val="auto"/>
                <w:sz w:val="21"/>
                <w:szCs w:val="21"/>
              </w:rPr>
              <w:t>须密封储存，尤其是贮存间内部地面硬底化处理，周围设置围堰，做到防风、防雨、防晒、防渗透；及时办理转移手续，尽可能减少现场贮存量和缩短贮存周期。</w:t>
            </w:r>
          </w:p>
          <w:p w14:paraId="20986BB5">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2</w:t>
            </w:r>
            <w:r>
              <w:rPr>
                <w:rFonts w:ascii="Times New Roman" w:hAnsi="Times New Roman" w:eastAsia="宋体" w:cs="Times New Roman"/>
                <w:color w:val="auto"/>
                <w:sz w:val="21"/>
                <w:szCs w:val="21"/>
              </w:rPr>
              <w:t>）加强用火管理，厂区内严禁烟火，配备一定数量的干粉等灭火器，并定期检查确保其可正常使用，加强电气设备及线路检查，防止线路和设备老化造成的引发事故</w:t>
            </w:r>
          </w:p>
          <w:p w14:paraId="23244789">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kern w:val="0"/>
                <w:szCs w:val="21"/>
              </w:rPr>
            </w:pP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3</w:t>
            </w:r>
            <w:r>
              <w:rPr>
                <w:rFonts w:ascii="Times New Roman" w:hAnsi="Times New Roman" w:eastAsia="宋体" w:cs="Times New Roman"/>
                <w:color w:val="auto"/>
                <w:sz w:val="21"/>
                <w:szCs w:val="21"/>
              </w:rPr>
              <w:t>）定严格的生产操作规程，加强作业工人的安全教育，杜绝工作失误造成的事故。</w:t>
            </w:r>
          </w:p>
        </w:tc>
      </w:tr>
      <w:tr w14:paraId="08546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6" w:hRule="atLeast"/>
          <w:jc w:val="center"/>
        </w:trPr>
        <w:tc>
          <w:tcPr>
            <w:tcW w:w="543" w:type="pct"/>
            <w:vAlign w:val="center"/>
          </w:tcPr>
          <w:p w14:paraId="76B32264">
            <w:pPr>
              <w:pageBreakBefore w:val="0"/>
              <w:kinsoku/>
              <w:wordWrap/>
              <w:overflowPunct/>
              <w:topLinePunct w:val="0"/>
              <w:autoSpaceDE/>
              <w:autoSpaceDN/>
              <w:bidi w:val="0"/>
              <w:adjustRightInd/>
              <w:snapToGrid/>
              <w:jc w:val="center"/>
              <w:textAlignment w:val="auto"/>
              <w:rPr>
                <w:color w:val="auto"/>
                <w:spacing w:val="-8"/>
                <w:szCs w:val="21"/>
              </w:rPr>
            </w:pPr>
            <w:r>
              <w:rPr>
                <w:color w:val="auto"/>
                <w:spacing w:val="-8"/>
                <w:szCs w:val="21"/>
              </w:rPr>
              <w:t>其他环境管理要求</w:t>
            </w:r>
          </w:p>
        </w:tc>
        <w:tc>
          <w:tcPr>
            <w:tcW w:w="4456" w:type="pct"/>
            <w:gridSpan w:val="4"/>
            <w:vAlign w:val="center"/>
          </w:tcPr>
          <w:p w14:paraId="635315E4">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bookmarkStart w:id="6" w:name="_Toc6810"/>
            <w:bookmarkStart w:id="7" w:name="_Toc3866"/>
            <w:r>
              <w:rPr>
                <w:rFonts w:hint="eastAsia" w:ascii="Times New Roman" w:hAnsi="Times New Roman" w:eastAsia="宋体" w:cs="Times New Roman"/>
                <w:color w:val="auto"/>
                <w:sz w:val="21"/>
                <w:szCs w:val="21"/>
              </w:rPr>
              <w:t>1、</w:t>
            </w:r>
            <w:r>
              <w:rPr>
                <w:rFonts w:ascii="Times New Roman" w:hAnsi="Times New Roman" w:eastAsia="宋体" w:cs="Times New Roman"/>
                <w:color w:val="auto"/>
                <w:sz w:val="21"/>
                <w:szCs w:val="21"/>
              </w:rPr>
              <w:t>排污许可</w:t>
            </w:r>
          </w:p>
          <w:p w14:paraId="6B29A53C">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根据《国民经济行业分类》(GB/T 4754-2017)，本项目属于</w:t>
            </w:r>
            <w:r>
              <w:rPr>
                <w:rFonts w:hint="eastAsia" w:cs="Times New Roman"/>
                <w:color w:val="auto"/>
                <w:sz w:val="21"/>
                <w:szCs w:val="21"/>
                <w:lang w:eastAsia="zh-CN"/>
              </w:rPr>
              <w:t>C2041 竹制品制造</w:t>
            </w:r>
            <w:r>
              <w:rPr>
                <w:rFonts w:ascii="Times New Roman" w:hAnsi="Times New Roman" w:eastAsia="宋体" w:cs="Times New Roman"/>
                <w:color w:val="auto"/>
                <w:sz w:val="21"/>
                <w:szCs w:val="21"/>
              </w:rPr>
              <w:t>。根据《固定污染源排污许可分类管理名录》（2019年版）中相关内容。本次新建项目属于排污许可中</w:t>
            </w:r>
            <w:r>
              <w:rPr>
                <w:rFonts w:hint="eastAsia" w:cs="Times New Roman"/>
                <w:color w:val="auto"/>
                <w:sz w:val="21"/>
                <w:szCs w:val="21"/>
                <w:lang w:val="en-US" w:eastAsia="zh-CN"/>
              </w:rPr>
              <w:t>登记管理</w:t>
            </w:r>
            <w:r>
              <w:rPr>
                <w:rFonts w:ascii="Times New Roman" w:hAnsi="Times New Roman" w:eastAsia="宋体" w:cs="Times New Roman"/>
                <w:color w:val="auto"/>
                <w:sz w:val="21"/>
                <w:szCs w:val="21"/>
              </w:rPr>
              <w:t>。企业应在实际排污前</w:t>
            </w:r>
            <w:r>
              <w:rPr>
                <w:rFonts w:hint="eastAsia" w:cs="Times New Roman"/>
                <w:color w:val="auto"/>
                <w:sz w:val="21"/>
                <w:szCs w:val="21"/>
                <w:lang w:eastAsia="zh-CN"/>
              </w:rPr>
              <w:t>进行排污登记</w:t>
            </w:r>
            <w:r>
              <w:rPr>
                <w:rFonts w:ascii="Times New Roman" w:hAnsi="Times New Roman" w:eastAsia="宋体" w:cs="Times New Roman"/>
                <w:color w:val="auto"/>
                <w:sz w:val="21"/>
                <w:szCs w:val="21"/>
              </w:rPr>
              <w:t>。</w:t>
            </w:r>
          </w:p>
          <w:p w14:paraId="43627289">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建设单位应规范化设置排污口；按照《安徽省生态环境厅关于统筹做好固定污染源排污许可日常监管工作的通知》（皖环发〔2021〕7号）等要求，加强日常执行管理。</w:t>
            </w:r>
          </w:p>
          <w:p w14:paraId="0EEC1C15">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（1）排污口管理：</w:t>
            </w:r>
          </w:p>
          <w:p w14:paraId="1A1EE2D7">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建设单位应在各排污口处设立较明显的排污口标志牌，其上应注明主要排放污染物的名称以警示周围群众；</w:t>
            </w:r>
          </w:p>
          <w:p w14:paraId="5E32DC8F">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建设单位应如实填写《中华人民共和国规范化排污口标志登记证》的有关内容，由环保主管部门签发登记证；</w:t>
            </w:r>
          </w:p>
          <w:p w14:paraId="7F4B8BB5">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规范化排污口的有关设置属环保设施，建设单位必须负责日常的维护保养，任何单位和个人不得擅自拆除，如果需要变更的必须报环境监察部门同意并办理变更手续；</w:t>
            </w:r>
          </w:p>
          <w:p w14:paraId="6A2975F7">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建设单位应将有关排污口的情况，如：排污口的性质、编号，排污口的位置；主要排放的污染物种类、数量、浓度、排放规律、排放去向；污染治理设施的运行情况等进行建档管理，并报送环保主管部门备案。</w:t>
            </w:r>
          </w:p>
          <w:p w14:paraId="305E85D5">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（2）台账的管理：</w:t>
            </w:r>
          </w:p>
          <w:p w14:paraId="6C102244">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根据生产特点和污染物排放特点，按照排污口和有组织排放源进行记录。台账记录保存期限不少于五年。</w:t>
            </w:r>
          </w:p>
          <w:p w14:paraId="155E6EEC">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（3）严格执行各项环境管理制度，保证各排污口的正常运行；</w:t>
            </w:r>
          </w:p>
          <w:p w14:paraId="4E81B699">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（4）对各项环保设施操作、维护定量考核，建立环保设施运行档案；</w:t>
            </w:r>
          </w:p>
          <w:p w14:paraId="2D4D02DB">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（5）按规定程序实施竣工环境保护验收，验收合格方可投入生产。</w:t>
            </w:r>
          </w:p>
          <w:p w14:paraId="1C03548D">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r>
              <w:rPr>
                <w:rFonts w:ascii="Times New Roman" w:hAnsi="Times New Roman" w:eastAsia="宋体" w:cs="Times New Roman"/>
                <w:color w:val="auto"/>
                <w:sz w:val="21"/>
                <w:szCs w:val="21"/>
              </w:rPr>
              <w:t>排污口规范化设置</w:t>
            </w:r>
            <w:bookmarkEnd w:id="6"/>
            <w:bookmarkEnd w:id="7"/>
          </w:p>
          <w:p w14:paraId="2AE08819">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ascii="Times New Roman" w:hAnsi="Times New Roman" w:eastAsia="宋体" w:cs="Times New Roman"/>
                <w:color w:val="auto"/>
                <w:sz w:val="21"/>
                <w:szCs w:val="21"/>
              </w:rPr>
              <w:t>根据国家标准《环境保护图形标志—排放口</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源</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》和国家环保总局《排污口规范化整治要求</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试行</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》的技</w:t>
            </w:r>
            <w:r>
              <w:rPr>
                <w:rFonts w:hint="eastAsia"/>
                <w:color w:val="auto"/>
                <w:sz w:val="21"/>
                <w:szCs w:val="21"/>
              </w:rPr>
              <w:t>术要求，企业所有排放口必须按照“便于采样、便于计量监测、便于日常现场监督检查”的原则和规范化要求，设置排污口标志牌，绘制企业排污口公布图，同时对污水排放口安装流量计，对治理设施安装运行监控装置。</w:t>
            </w:r>
          </w:p>
          <w:p w14:paraId="21A6A405">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color w:val="auto"/>
                <w:sz w:val="21"/>
                <w:szCs w:val="21"/>
              </w:rPr>
              <w:t>（</w:t>
            </w:r>
            <w:r>
              <w:rPr>
                <w:color w:val="auto"/>
                <w:sz w:val="21"/>
                <w:szCs w:val="21"/>
              </w:rPr>
              <w:t>1</w:t>
            </w:r>
            <w:r>
              <w:rPr>
                <w:rFonts w:hint="eastAsia"/>
                <w:color w:val="auto"/>
                <w:sz w:val="21"/>
                <w:szCs w:val="21"/>
              </w:rPr>
              <w:t>）污水排放口</w:t>
            </w:r>
          </w:p>
          <w:p w14:paraId="1EED8C82">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color w:val="auto"/>
                <w:sz w:val="21"/>
                <w:szCs w:val="21"/>
                <w:lang w:eastAsia="zh-CN"/>
              </w:rPr>
              <w:t>本项目不设置污水排口</w:t>
            </w:r>
            <w:r>
              <w:rPr>
                <w:rFonts w:hint="eastAsia"/>
                <w:color w:val="auto"/>
                <w:sz w:val="21"/>
                <w:szCs w:val="21"/>
              </w:rPr>
              <w:t>。</w:t>
            </w:r>
          </w:p>
          <w:p w14:paraId="01F90C8C">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color w:val="auto"/>
                <w:sz w:val="21"/>
                <w:szCs w:val="21"/>
              </w:rPr>
              <w:t>（</w:t>
            </w:r>
            <w:r>
              <w:rPr>
                <w:color w:val="auto"/>
                <w:sz w:val="21"/>
                <w:szCs w:val="21"/>
              </w:rPr>
              <w:t>2</w:t>
            </w:r>
            <w:r>
              <w:rPr>
                <w:rFonts w:hint="eastAsia"/>
                <w:color w:val="auto"/>
                <w:sz w:val="21"/>
                <w:szCs w:val="21"/>
              </w:rPr>
              <w:t>）废气排放口</w:t>
            </w:r>
          </w:p>
          <w:p w14:paraId="0A6E4F7B">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color w:val="auto"/>
                <w:sz w:val="21"/>
                <w:szCs w:val="21"/>
              </w:rPr>
              <w:t>废气排放口必须符合规定的高度和《污染源监测技术规范》中便于采样、监测的要求，设置直径不小于</w:t>
            </w:r>
            <w:r>
              <w:rPr>
                <w:color w:val="auto"/>
                <w:sz w:val="21"/>
                <w:szCs w:val="21"/>
              </w:rPr>
              <w:t>75mm</w:t>
            </w:r>
            <w:r>
              <w:rPr>
                <w:rFonts w:hint="eastAsia"/>
                <w:color w:val="auto"/>
                <w:sz w:val="21"/>
                <w:szCs w:val="21"/>
              </w:rPr>
              <w:t>的采样口，如无法满足要求的，由当地生态环境局确定。</w:t>
            </w:r>
          </w:p>
          <w:p w14:paraId="74DCCFBD">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color w:val="auto"/>
                <w:sz w:val="21"/>
                <w:szCs w:val="21"/>
              </w:rPr>
              <w:t>（</w:t>
            </w:r>
            <w:r>
              <w:rPr>
                <w:color w:val="auto"/>
                <w:sz w:val="21"/>
                <w:szCs w:val="21"/>
              </w:rPr>
              <w:t>3</w:t>
            </w:r>
            <w:r>
              <w:rPr>
                <w:rFonts w:hint="eastAsia"/>
                <w:color w:val="auto"/>
                <w:sz w:val="21"/>
                <w:szCs w:val="21"/>
              </w:rPr>
              <w:t>）固定噪声排放源</w:t>
            </w:r>
          </w:p>
          <w:p w14:paraId="523FED0A">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color w:val="auto"/>
                <w:sz w:val="21"/>
                <w:szCs w:val="21"/>
              </w:rPr>
              <w:t>根据不同噪声源的情况，采取减振降噪、吸声、隔声等措施，使厂界达到相应功能区的标准要求。在厂界噪声敏感且对外界影响最大处设置固定噪声源的监测点和噪声环境保护图形标志牌。</w:t>
            </w:r>
          </w:p>
          <w:p w14:paraId="352E4F59">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color w:val="auto"/>
                <w:sz w:val="21"/>
                <w:szCs w:val="21"/>
              </w:rPr>
              <w:t>（</w:t>
            </w:r>
            <w:r>
              <w:rPr>
                <w:color w:val="auto"/>
                <w:sz w:val="21"/>
                <w:szCs w:val="21"/>
              </w:rPr>
              <w:t>4</w:t>
            </w:r>
            <w:r>
              <w:rPr>
                <w:rFonts w:hint="eastAsia"/>
                <w:color w:val="auto"/>
                <w:sz w:val="21"/>
                <w:szCs w:val="21"/>
              </w:rPr>
              <w:t>）固体废物贮存</w:t>
            </w:r>
            <w:r>
              <w:rPr>
                <w:color w:val="auto"/>
                <w:sz w:val="21"/>
                <w:szCs w:val="21"/>
              </w:rPr>
              <w:t>(</w:t>
            </w:r>
            <w:r>
              <w:rPr>
                <w:rFonts w:hint="eastAsia"/>
                <w:color w:val="auto"/>
                <w:sz w:val="21"/>
                <w:szCs w:val="21"/>
              </w:rPr>
              <w:t>处置</w:t>
            </w:r>
            <w:r>
              <w:rPr>
                <w:color w:val="auto"/>
                <w:sz w:val="21"/>
                <w:szCs w:val="21"/>
              </w:rPr>
              <w:t>)</w:t>
            </w:r>
            <w:r>
              <w:rPr>
                <w:rFonts w:hint="eastAsia"/>
                <w:color w:val="auto"/>
                <w:sz w:val="21"/>
                <w:szCs w:val="21"/>
              </w:rPr>
              <w:t>场</w:t>
            </w:r>
          </w:p>
          <w:p w14:paraId="750ACF86">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color w:val="auto"/>
                <w:sz w:val="21"/>
                <w:szCs w:val="21"/>
              </w:rPr>
              <w:t>固体废物按照固废处理相关规定在存放场采取了严格的防渗、防流失措施；评价要求加强对固废贮存管理，并在存放场边界和进出口位置设置环保标志牌。环境保护图形标志牌设置位置应距固体废物贮存（堆放）场较近且醒目处，并能长久保留。</w:t>
            </w:r>
          </w:p>
          <w:p w14:paraId="606CDD11">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color w:val="auto"/>
                <w:sz w:val="21"/>
                <w:szCs w:val="21"/>
              </w:rPr>
              <w:t>（</w:t>
            </w:r>
            <w:r>
              <w:rPr>
                <w:color w:val="auto"/>
                <w:sz w:val="21"/>
                <w:szCs w:val="21"/>
              </w:rPr>
              <w:t>5</w:t>
            </w:r>
            <w:r>
              <w:rPr>
                <w:rFonts w:hint="eastAsia"/>
                <w:color w:val="auto"/>
                <w:sz w:val="21"/>
                <w:szCs w:val="21"/>
              </w:rPr>
              <w:t>）设置标志牌要求</w:t>
            </w:r>
          </w:p>
          <w:p w14:paraId="473C7344">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color w:val="auto"/>
                <w:sz w:val="21"/>
                <w:szCs w:val="21"/>
              </w:rPr>
              <w:t>标志牌应设置在排污口</w:t>
            </w:r>
            <w:r>
              <w:rPr>
                <w:color w:val="auto"/>
                <w:sz w:val="21"/>
                <w:szCs w:val="21"/>
              </w:rPr>
              <w:t>(</w:t>
            </w:r>
            <w:r>
              <w:rPr>
                <w:rFonts w:hint="eastAsia"/>
                <w:color w:val="auto"/>
                <w:sz w:val="21"/>
                <w:szCs w:val="21"/>
              </w:rPr>
              <w:t>采样点</w:t>
            </w:r>
            <w:r>
              <w:rPr>
                <w:color w:val="auto"/>
                <w:sz w:val="21"/>
                <w:szCs w:val="21"/>
              </w:rPr>
              <w:t>)</w:t>
            </w:r>
            <w:r>
              <w:rPr>
                <w:rFonts w:hint="eastAsia"/>
                <w:color w:val="auto"/>
                <w:sz w:val="21"/>
                <w:szCs w:val="21"/>
              </w:rPr>
              <w:t>附近且醒目处，高度为标志牌上缘离地面</w:t>
            </w:r>
            <w:r>
              <w:rPr>
                <w:color w:val="auto"/>
                <w:sz w:val="21"/>
                <w:szCs w:val="21"/>
              </w:rPr>
              <w:t>2</w:t>
            </w:r>
            <w:r>
              <w:rPr>
                <w:rFonts w:hint="eastAsia"/>
                <w:color w:val="auto"/>
                <w:sz w:val="21"/>
                <w:szCs w:val="21"/>
              </w:rPr>
              <w:t>米，排污口附近</w:t>
            </w:r>
            <w:r>
              <w:rPr>
                <w:color w:val="auto"/>
                <w:sz w:val="21"/>
                <w:szCs w:val="21"/>
              </w:rPr>
              <w:t>1</w:t>
            </w:r>
            <w:r>
              <w:rPr>
                <w:rFonts w:hint="eastAsia"/>
                <w:color w:val="auto"/>
                <w:sz w:val="21"/>
                <w:szCs w:val="21"/>
              </w:rPr>
              <w:t>米范围内有建筑物的，设平面式标志牌，无建筑物的设立式标志牌。排污口的有关设置</w:t>
            </w:r>
            <w:r>
              <w:rPr>
                <w:color w:val="auto"/>
                <w:sz w:val="21"/>
                <w:szCs w:val="21"/>
              </w:rPr>
              <w:t>(</w:t>
            </w:r>
            <w:r>
              <w:rPr>
                <w:rFonts w:hint="eastAsia"/>
                <w:color w:val="auto"/>
                <w:sz w:val="21"/>
                <w:szCs w:val="21"/>
              </w:rPr>
              <w:t>如力形标志牌、计量装置、监控装置等</w:t>
            </w:r>
            <w:r>
              <w:rPr>
                <w:color w:val="auto"/>
                <w:sz w:val="21"/>
                <w:szCs w:val="21"/>
              </w:rPr>
              <w:t>)</w:t>
            </w:r>
            <w:r>
              <w:rPr>
                <w:rFonts w:hint="eastAsia"/>
                <w:color w:val="auto"/>
                <w:sz w:val="21"/>
                <w:szCs w:val="21"/>
              </w:rPr>
              <w:t>属环保设施，排污单位必须负责日常的维护保养，任何单位和个人不得擅自拆除，如需要变更的须报当地生态环境局同意并办理变更手续。</w:t>
            </w:r>
          </w:p>
          <w:p w14:paraId="6E76CB27">
            <w:pPr>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color w:val="auto"/>
                <w:sz w:val="21"/>
                <w:szCs w:val="21"/>
              </w:rPr>
              <w:t>各环保标志详见下表。</w:t>
            </w:r>
          </w:p>
          <w:p w14:paraId="0A5AD207">
            <w:pPr>
              <w:keepNext/>
              <w:keepLines/>
              <w:pageBreakBefore w:val="0"/>
              <w:kinsoku/>
              <w:wordWrap/>
              <w:overflowPunct/>
              <w:topLinePunct w:val="0"/>
              <w:autoSpaceDE/>
              <w:autoSpaceDN/>
              <w:bidi w:val="0"/>
              <w:adjustRightInd/>
              <w:snapToGrid/>
              <w:jc w:val="center"/>
              <w:textAlignment w:val="auto"/>
              <w:outlineLvl w:val="3"/>
              <w:rPr>
                <w:b/>
                <w:bCs/>
                <w:color w:val="auto"/>
                <w:szCs w:val="21"/>
              </w:rPr>
            </w:pPr>
          </w:p>
          <w:p w14:paraId="374D5AD2">
            <w:pPr>
              <w:keepNext/>
              <w:keepLines/>
              <w:pageBreakBefore w:val="0"/>
              <w:kinsoku/>
              <w:wordWrap/>
              <w:overflowPunct/>
              <w:topLinePunct w:val="0"/>
              <w:autoSpaceDE/>
              <w:autoSpaceDN/>
              <w:bidi w:val="0"/>
              <w:adjustRightInd/>
              <w:snapToGrid/>
              <w:jc w:val="center"/>
              <w:textAlignment w:val="auto"/>
              <w:outlineLvl w:val="3"/>
              <w:rPr>
                <w:b/>
                <w:bCs/>
                <w:color w:val="auto"/>
                <w:szCs w:val="21"/>
              </w:rPr>
            </w:pPr>
          </w:p>
          <w:p w14:paraId="023F6109">
            <w:pPr>
              <w:keepNext/>
              <w:keepLines/>
              <w:pageBreakBefore w:val="0"/>
              <w:kinsoku/>
              <w:wordWrap/>
              <w:overflowPunct/>
              <w:topLinePunct w:val="0"/>
              <w:autoSpaceDE/>
              <w:autoSpaceDN/>
              <w:bidi w:val="0"/>
              <w:adjustRightInd/>
              <w:snapToGrid/>
              <w:jc w:val="center"/>
              <w:textAlignment w:val="auto"/>
              <w:outlineLvl w:val="3"/>
              <w:rPr>
                <w:b/>
                <w:bCs/>
                <w:color w:val="auto"/>
                <w:szCs w:val="21"/>
              </w:rPr>
            </w:pPr>
          </w:p>
          <w:p w14:paraId="25E5027A">
            <w:pPr>
              <w:keepNext/>
              <w:keepLines/>
              <w:pageBreakBefore w:val="0"/>
              <w:kinsoku/>
              <w:wordWrap/>
              <w:overflowPunct/>
              <w:topLinePunct w:val="0"/>
              <w:autoSpaceDE/>
              <w:autoSpaceDN/>
              <w:bidi w:val="0"/>
              <w:adjustRightInd/>
              <w:snapToGrid/>
              <w:jc w:val="center"/>
              <w:textAlignment w:val="auto"/>
              <w:outlineLvl w:val="3"/>
              <w:rPr>
                <w:b/>
                <w:bCs/>
                <w:color w:val="auto"/>
                <w:szCs w:val="21"/>
              </w:rPr>
            </w:pPr>
          </w:p>
          <w:p w14:paraId="4F4ACA05">
            <w:pPr>
              <w:keepNext/>
              <w:keepLines/>
              <w:pageBreakBefore w:val="0"/>
              <w:kinsoku/>
              <w:wordWrap/>
              <w:overflowPunct/>
              <w:topLinePunct w:val="0"/>
              <w:autoSpaceDE/>
              <w:autoSpaceDN/>
              <w:bidi w:val="0"/>
              <w:adjustRightInd/>
              <w:snapToGrid/>
              <w:jc w:val="both"/>
              <w:textAlignment w:val="auto"/>
              <w:outlineLvl w:val="3"/>
              <w:rPr>
                <w:b/>
                <w:bCs/>
                <w:color w:val="auto"/>
                <w:szCs w:val="21"/>
              </w:rPr>
            </w:pPr>
          </w:p>
          <w:p w14:paraId="2CF76F40">
            <w:pPr>
              <w:rPr>
                <w:color w:val="auto"/>
              </w:rPr>
            </w:pPr>
          </w:p>
          <w:p w14:paraId="6664B391">
            <w:pPr>
              <w:keepNext/>
              <w:keepLines/>
              <w:pageBreakBefore w:val="0"/>
              <w:kinsoku/>
              <w:wordWrap/>
              <w:overflowPunct/>
              <w:topLinePunct w:val="0"/>
              <w:autoSpaceDE/>
              <w:autoSpaceDN/>
              <w:bidi w:val="0"/>
              <w:adjustRightInd/>
              <w:snapToGrid/>
              <w:jc w:val="center"/>
              <w:textAlignment w:val="auto"/>
              <w:outlineLvl w:val="3"/>
              <w:rPr>
                <w:b/>
                <w:bCs/>
                <w:color w:val="auto"/>
                <w:szCs w:val="21"/>
              </w:rPr>
            </w:pPr>
            <w:r>
              <w:rPr>
                <w:b/>
                <w:bCs/>
                <w:color w:val="auto"/>
                <w:szCs w:val="21"/>
              </w:rPr>
              <w:t>环境保护图形标志</w:t>
            </w:r>
          </w:p>
          <w:tbl>
            <w:tblPr>
              <w:tblStyle w:val="3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7" w:type="dxa"/>
                <w:bottom w:w="0" w:type="dxa"/>
                <w:right w:w="17" w:type="dxa"/>
              </w:tblCellMar>
            </w:tblPr>
            <w:tblGrid>
              <w:gridCol w:w="618"/>
              <w:gridCol w:w="1582"/>
              <w:gridCol w:w="1581"/>
              <w:gridCol w:w="1427"/>
              <w:gridCol w:w="2841"/>
            </w:tblGrid>
            <w:tr w14:paraId="4D8788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trHeight w:val="340" w:hRule="atLeast"/>
                <w:jc w:val="center"/>
              </w:trPr>
              <w:tc>
                <w:tcPr>
                  <w:tcW w:w="694" w:type="dxa"/>
                  <w:tcBorders>
                    <w:tl2br w:val="nil"/>
                    <w:tr2bl w:val="nil"/>
                  </w:tcBorders>
                  <w:vAlign w:val="center"/>
                </w:tcPr>
                <w:p w14:paraId="3F944DF7">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序号</w:t>
                  </w:r>
                </w:p>
              </w:tc>
              <w:tc>
                <w:tcPr>
                  <w:tcW w:w="1789" w:type="dxa"/>
                  <w:tcBorders>
                    <w:tl2br w:val="nil"/>
                    <w:tr2bl w:val="nil"/>
                  </w:tcBorders>
                  <w:vAlign w:val="center"/>
                </w:tcPr>
                <w:p w14:paraId="3A172ED8">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提示图形符号</w:t>
                  </w:r>
                </w:p>
              </w:tc>
              <w:tc>
                <w:tcPr>
                  <w:tcW w:w="1789" w:type="dxa"/>
                  <w:tcBorders>
                    <w:tl2br w:val="nil"/>
                    <w:tr2bl w:val="nil"/>
                  </w:tcBorders>
                  <w:vAlign w:val="center"/>
                </w:tcPr>
                <w:p w14:paraId="00B90F13">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警告图形符号</w:t>
                  </w:r>
                </w:p>
              </w:tc>
              <w:tc>
                <w:tcPr>
                  <w:tcW w:w="1614" w:type="dxa"/>
                  <w:tcBorders>
                    <w:tl2br w:val="nil"/>
                    <w:tr2bl w:val="nil"/>
                  </w:tcBorders>
                  <w:vAlign w:val="center"/>
                </w:tcPr>
                <w:p w14:paraId="485425B6">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名称</w:t>
                  </w:r>
                </w:p>
              </w:tc>
              <w:tc>
                <w:tcPr>
                  <w:tcW w:w="3220" w:type="dxa"/>
                  <w:tcBorders>
                    <w:tl2br w:val="nil"/>
                    <w:tr2bl w:val="nil"/>
                  </w:tcBorders>
                  <w:vAlign w:val="center"/>
                </w:tcPr>
                <w:p w14:paraId="467A37A1">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功能</w:t>
                  </w:r>
                </w:p>
              </w:tc>
            </w:tr>
            <w:tr w14:paraId="0DE86B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trHeight w:val="340" w:hRule="atLeast"/>
                <w:jc w:val="center"/>
              </w:trPr>
              <w:tc>
                <w:tcPr>
                  <w:tcW w:w="694" w:type="dxa"/>
                  <w:tcBorders>
                    <w:tl2br w:val="nil"/>
                    <w:tr2bl w:val="nil"/>
                  </w:tcBorders>
                  <w:vAlign w:val="center"/>
                </w:tcPr>
                <w:p w14:paraId="753B855D">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1</w:t>
                  </w:r>
                </w:p>
              </w:tc>
              <w:tc>
                <w:tcPr>
                  <w:tcW w:w="1789" w:type="dxa"/>
                  <w:tcBorders>
                    <w:tl2br w:val="nil"/>
                    <w:tr2bl w:val="nil"/>
                  </w:tcBorders>
                  <w:vAlign w:val="center"/>
                </w:tcPr>
                <w:p w14:paraId="36269C72">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drawing>
                      <wp:inline distT="0" distB="0" distL="114300" distR="114300">
                        <wp:extent cx="900430" cy="905510"/>
                        <wp:effectExtent l="0" t="0" r="13970" b="8890"/>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28"/>
                                <a:stretch>
                                  <a:fillRect/>
                                </a:stretch>
                              </pic:blipFill>
                              <pic:spPr>
                                <a:xfrm>
                                  <a:off x="0" y="0"/>
                                  <a:ext cx="900430" cy="905510"/>
                                </a:xfrm>
                                <a:prstGeom prst="rect">
                                  <a:avLst/>
                                </a:prstGeom>
                                <a:noFill/>
                                <a:ln>
                                  <a:noFill/>
                                </a:ln>
                              </pic:spPr>
                            </pic:pic>
                          </a:graphicData>
                        </a:graphic>
                      </wp:inline>
                    </w:drawing>
                  </w:r>
                </w:p>
              </w:tc>
              <w:tc>
                <w:tcPr>
                  <w:tcW w:w="1789" w:type="dxa"/>
                  <w:tcBorders>
                    <w:tl2br w:val="nil"/>
                    <w:tr2bl w:val="nil"/>
                  </w:tcBorders>
                  <w:vAlign w:val="center"/>
                </w:tcPr>
                <w:p w14:paraId="2AE28521">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drawing>
                      <wp:inline distT="0" distB="0" distL="114300" distR="114300">
                        <wp:extent cx="896620" cy="883285"/>
                        <wp:effectExtent l="0" t="0" r="17780" b="12065"/>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29"/>
                                <a:stretch>
                                  <a:fillRect/>
                                </a:stretch>
                              </pic:blipFill>
                              <pic:spPr>
                                <a:xfrm>
                                  <a:off x="0" y="0"/>
                                  <a:ext cx="896620" cy="883285"/>
                                </a:xfrm>
                                <a:prstGeom prst="rect">
                                  <a:avLst/>
                                </a:prstGeom>
                                <a:noFill/>
                                <a:ln>
                                  <a:noFill/>
                                </a:ln>
                              </pic:spPr>
                            </pic:pic>
                          </a:graphicData>
                        </a:graphic>
                      </wp:inline>
                    </w:drawing>
                  </w:r>
                </w:p>
              </w:tc>
              <w:tc>
                <w:tcPr>
                  <w:tcW w:w="1614" w:type="dxa"/>
                  <w:tcBorders>
                    <w:tl2br w:val="nil"/>
                    <w:tr2bl w:val="nil"/>
                  </w:tcBorders>
                  <w:vAlign w:val="center"/>
                </w:tcPr>
                <w:p w14:paraId="1757D6B2">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废气排放口</w:t>
                  </w:r>
                </w:p>
              </w:tc>
              <w:tc>
                <w:tcPr>
                  <w:tcW w:w="3220" w:type="dxa"/>
                  <w:tcBorders>
                    <w:tl2br w:val="nil"/>
                    <w:tr2bl w:val="nil"/>
                  </w:tcBorders>
                  <w:vAlign w:val="center"/>
                </w:tcPr>
                <w:p w14:paraId="6EBB029D">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表示废气向大气环境排放</w:t>
                  </w:r>
                </w:p>
              </w:tc>
            </w:tr>
            <w:tr w14:paraId="6AF94E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trHeight w:val="340" w:hRule="atLeast"/>
                <w:jc w:val="center"/>
              </w:trPr>
              <w:tc>
                <w:tcPr>
                  <w:tcW w:w="694" w:type="dxa"/>
                  <w:tcBorders>
                    <w:tl2br w:val="nil"/>
                    <w:tr2bl w:val="nil"/>
                  </w:tcBorders>
                  <w:vAlign w:val="center"/>
                </w:tcPr>
                <w:p w14:paraId="441AAD8E">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2</w:t>
                  </w:r>
                </w:p>
              </w:tc>
              <w:tc>
                <w:tcPr>
                  <w:tcW w:w="1789" w:type="dxa"/>
                  <w:tcBorders>
                    <w:tl2br w:val="nil"/>
                    <w:tr2bl w:val="nil"/>
                  </w:tcBorders>
                  <w:vAlign w:val="center"/>
                </w:tcPr>
                <w:p w14:paraId="26C31DF8">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drawing>
                      <wp:inline distT="0" distB="0" distL="114300" distR="114300">
                        <wp:extent cx="900430" cy="905510"/>
                        <wp:effectExtent l="0" t="0" r="13970" b="8890"/>
                        <wp:docPr id="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
                                <pic:cNvPicPr>
                                  <a:picLocks noChangeAspect="1"/>
                                </pic:cNvPicPr>
                              </pic:nvPicPr>
                              <pic:blipFill>
                                <a:blip r:embed="rId30"/>
                                <a:stretch>
                                  <a:fillRect/>
                                </a:stretch>
                              </pic:blipFill>
                              <pic:spPr>
                                <a:xfrm>
                                  <a:off x="0" y="0"/>
                                  <a:ext cx="900430" cy="905510"/>
                                </a:xfrm>
                                <a:prstGeom prst="rect">
                                  <a:avLst/>
                                </a:prstGeom>
                                <a:noFill/>
                                <a:ln>
                                  <a:noFill/>
                                </a:ln>
                              </pic:spPr>
                            </pic:pic>
                          </a:graphicData>
                        </a:graphic>
                      </wp:inline>
                    </w:drawing>
                  </w:r>
                </w:p>
              </w:tc>
              <w:tc>
                <w:tcPr>
                  <w:tcW w:w="1789" w:type="dxa"/>
                  <w:tcBorders>
                    <w:tl2br w:val="nil"/>
                    <w:tr2bl w:val="nil"/>
                  </w:tcBorders>
                  <w:vAlign w:val="center"/>
                </w:tcPr>
                <w:p w14:paraId="1BD36715">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drawing>
                      <wp:inline distT="0" distB="0" distL="114300" distR="114300">
                        <wp:extent cx="900430" cy="905510"/>
                        <wp:effectExtent l="0" t="0" r="13970" b="889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31"/>
                                <a:stretch>
                                  <a:fillRect/>
                                </a:stretch>
                              </pic:blipFill>
                              <pic:spPr>
                                <a:xfrm>
                                  <a:off x="0" y="0"/>
                                  <a:ext cx="900430" cy="905510"/>
                                </a:xfrm>
                                <a:prstGeom prst="rect">
                                  <a:avLst/>
                                </a:prstGeom>
                                <a:noFill/>
                                <a:ln>
                                  <a:noFill/>
                                </a:ln>
                              </pic:spPr>
                            </pic:pic>
                          </a:graphicData>
                        </a:graphic>
                      </wp:inline>
                    </w:drawing>
                  </w:r>
                </w:p>
              </w:tc>
              <w:tc>
                <w:tcPr>
                  <w:tcW w:w="1614" w:type="dxa"/>
                  <w:tcBorders>
                    <w:tl2br w:val="nil"/>
                    <w:tr2bl w:val="nil"/>
                  </w:tcBorders>
                  <w:vAlign w:val="center"/>
                </w:tcPr>
                <w:p w14:paraId="679AC198">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废水排放口</w:t>
                  </w:r>
                </w:p>
              </w:tc>
              <w:tc>
                <w:tcPr>
                  <w:tcW w:w="3220" w:type="dxa"/>
                  <w:tcBorders>
                    <w:tl2br w:val="nil"/>
                    <w:tr2bl w:val="nil"/>
                  </w:tcBorders>
                  <w:vAlign w:val="center"/>
                </w:tcPr>
                <w:p w14:paraId="59F4E7F7">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表示废水排放</w:t>
                  </w:r>
                </w:p>
              </w:tc>
            </w:tr>
            <w:tr w14:paraId="6C441A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trHeight w:val="340" w:hRule="atLeast"/>
                <w:jc w:val="center"/>
              </w:trPr>
              <w:tc>
                <w:tcPr>
                  <w:tcW w:w="694" w:type="dxa"/>
                  <w:tcBorders>
                    <w:tl2br w:val="nil"/>
                    <w:tr2bl w:val="nil"/>
                  </w:tcBorders>
                  <w:vAlign w:val="center"/>
                </w:tcPr>
                <w:p w14:paraId="358D5869">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3</w:t>
                  </w:r>
                </w:p>
              </w:tc>
              <w:tc>
                <w:tcPr>
                  <w:tcW w:w="1789" w:type="dxa"/>
                  <w:tcBorders>
                    <w:tl2br w:val="nil"/>
                    <w:tr2bl w:val="nil"/>
                  </w:tcBorders>
                  <w:vAlign w:val="center"/>
                </w:tcPr>
                <w:p w14:paraId="38833E77">
                  <w:pPr>
                    <w:pageBreakBefore w:val="0"/>
                    <w:kinsoku/>
                    <w:wordWrap/>
                    <w:overflowPunct/>
                    <w:topLinePunct w:val="0"/>
                    <w:autoSpaceDE/>
                    <w:autoSpaceDN/>
                    <w:bidi w:val="0"/>
                    <w:adjustRightInd/>
                    <w:snapToGrid/>
                    <w:jc w:val="center"/>
                    <w:textAlignment w:val="auto"/>
                    <w:rPr>
                      <w:bCs/>
                      <w:color w:val="auto"/>
                      <w:sz w:val="21"/>
                      <w:szCs w:val="21"/>
                    </w:rPr>
                  </w:pPr>
                  <w:r>
                    <w:rPr>
                      <w:color w:val="auto"/>
                      <w:sz w:val="21"/>
                      <w:szCs w:val="21"/>
                    </w:rPr>
                    <w:drawing>
                      <wp:inline distT="0" distB="0" distL="114300" distR="114300">
                        <wp:extent cx="931545" cy="822325"/>
                        <wp:effectExtent l="0" t="0" r="1905" b="15875"/>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32"/>
                                <a:stretch>
                                  <a:fillRect/>
                                </a:stretch>
                              </pic:blipFill>
                              <pic:spPr>
                                <a:xfrm>
                                  <a:off x="0" y="0"/>
                                  <a:ext cx="931545" cy="822325"/>
                                </a:xfrm>
                                <a:prstGeom prst="rect">
                                  <a:avLst/>
                                </a:prstGeom>
                                <a:noFill/>
                                <a:ln>
                                  <a:noFill/>
                                </a:ln>
                              </pic:spPr>
                            </pic:pic>
                          </a:graphicData>
                        </a:graphic>
                      </wp:inline>
                    </w:drawing>
                  </w:r>
                </w:p>
              </w:tc>
              <w:tc>
                <w:tcPr>
                  <w:tcW w:w="1789" w:type="dxa"/>
                  <w:tcBorders>
                    <w:tl2br w:val="nil"/>
                    <w:tr2bl w:val="nil"/>
                  </w:tcBorders>
                  <w:vAlign w:val="center"/>
                </w:tcPr>
                <w:p w14:paraId="71C28B0E">
                  <w:pPr>
                    <w:pageBreakBefore w:val="0"/>
                    <w:kinsoku/>
                    <w:wordWrap/>
                    <w:overflowPunct/>
                    <w:topLinePunct w:val="0"/>
                    <w:autoSpaceDE/>
                    <w:autoSpaceDN/>
                    <w:bidi w:val="0"/>
                    <w:adjustRightInd/>
                    <w:snapToGrid/>
                    <w:jc w:val="center"/>
                    <w:textAlignment w:val="auto"/>
                    <w:rPr>
                      <w:bCs/>
                      <w:color w:val="auto"/>
                      <w:sz w:val="21"/>
                      <w:szCs w:val="21"/>
                    </w:rPr>
                  </w:pPr>
                  <w:r>
                    <w:rPr>
                      <w:color w:val="auto"/>
                      <w:sz w:val="21"/>
                      <w:szCs w:val="21"/>
                    </w:rPr>
                    <w:drawing>
                      <wp:inline distT="0" distB="0" distL="114300" distR="114300">
                        <wp:extent cx="911860" cy="821055"/>
                        <wp:effectExtent l="0" t="0" r="2540" b="17145"/>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33"/>
                                <a:stretch>
                                  <a:fillRect/>
                                </a:stretch>
                              </pic:blipFill>
                              <pic:spPr>
                                <a:xfrm>
                                  <a:off x="0" y="0"/>
                                  <a:ext cx="911860" cy="821055"/>
                                </a:xfrm>
                                <a:prstGeom prst="rect">
                                  <a:avLst/>
                                </a:prstGeom>
                                <a:noFill/>
                                <a:ln>
                                  <a:noFill/>
                                </a:ln>
                              </pic:spPr>
                            </pic:pic>
                          </a:graphicData>
                        </a:graphic>
                      </wp:inline>
                    </w:drawing>
                  </w:r>
                </w:p>
              </w:tc>
              <w:tc>
                <w:tcPr>
                  <w:tcW w:w="1614" w:type="dxa"/>
                  <w:tcBorders>
                    <w:tl2br w:val="nil"/>
                    <w:tr2bl w:val="nil"/>
                  </w:tcBorders>
                  <w:vAlign w:val="center"/>
                </w:tcPr>
                <w:p w14:paraId="18177BCF">
                  <w:pPr>
                    <w:pageBreakBefore w:val="0"/>
                    <w:kinsoku/>
                    <w:wordWrap/>
                    <w:overflowPunct/>
                    <w:topLinePunct w:val="0"/>
                    <w:autoSpaceDE/>
                    <w:autoSpaceDN/>
                    <w:bidi w:val="0"/>
                    <w:adjustRightInd/>
                    <w:snapToGrid/>
                    <w:jc w:val="center"/>
                    <w:textAlignment w:val="auto"/>
                    <w:rPr>
                      <w:bCs/>
                      <w:color w:val="auto"/>
                      <w:sz w:val="21"/>
                      <w:szCs w:val="21"/>
                    </w:rPr>
                  </w:pPr>
                  <w:r>
                    <w:rPr>
                      <w:rFonts w:hint="eastAsia"/>
                      <w:bCs/>
                      <w:color w:val="auto"/>
                      <w:sz w:val="21"/>
                      <w:szCs w:val="21"/>
                    </w:rPr>
                    <w:t>雨水排放口</w:t>
                  </w:r>
                </w:p>
              </w:tc>
              <w:tc>
                <w:tcPr>
                  <w:tcW w:w="3220" w:type="dxa"/>
                  <w:tcBorders>
                    <w:tl2br w:val="nil"/>
                    <w:tr2bl w:val="nil"/>
                  </w:tcBorders>
                  <w:vAlign w:val="center"/>
                </w:tcPr>
                <w:p w14:paraId="7EA2F6C5">
                  <w:pPr>
                    <w:pageBreakBefore w:val="0"/>
                    <w:kinsoku/>
                    <w:wordWrap/>
                    <w:overflowPunct/>
                    <w:topLinePunct w:val="0"/>
                    <w:autoSpaceDE/>
                    <w:autoSpaceDN/>
                    <w:bidi w:val="0"/>
                    <w:adjustRightInd/>
                    <w:snapToGrid/>
                    <w:jc w:val="center"/>
                    <w:textAlignment w:val="auto"/>
                    <w:rPr>
                      <w:bCs/>
                      <w:color w:val="auto"/>
                      <w:sz w:val="21"/>
                      <w:szCs w:val="21"/>
                    </w:rPr>
                  </w:pPr>
                  <w:r>
                    <w:rPr>
                      <w:rFonts w:hint="eastAsia"/>
                      <w:bCs/>
                      <w:color w:val="auto"/>
                      <w:sz w:val="21"/>
                      <w:szCs w:val="21"/>
                    </w:rPr>
                    <w:t>表示雨水排放</w:t>
                  </w:r>
                </w:p>
              </w:tc>
            </w:tr>
            <w:tr w14:paraId="23BB93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trHeight w:val="340" w:hRule="atLeast"/>
                <w:jc w:val="center"/>
              </w:trPr>
              <w:tc>
                <w:tcPr>
                  <w:tcW w:w="694" w:type="dxa"/>
                  <w:tcBorders>
                    <w:tl2br w:val="nil"/>
                    <w:tr2bl w:val="nil"/>
                  </w:tcBorders>
                  <w:vAlign w:val="center"/>
                </w:tcPr>
                <w:p w14:paraId="26955ACB">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4</w:t>
                  </w:r>
                </w:p>
              </w:tc>
              <w:tc>
                <w:tcPr>
                  <w:tcW w:w="1789" w:type="dxa"/>
                  <w:tcBorders>
                    <w:tl2br w:val="nil"/>
                    <w:tr2bl w:val="nil"/>
                  </w:tcBorders>
                  <w:vAlign w:val="center"/>
                </w:tcPr>
                <w:p w14:paraId="6D79085E">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drawing>
                      <wp:inline distT="0" distB="0" distL="114300" distR="114300">
                        <wp:extent cx="879475" cy="863600"/>
                        <wp:effectExtent l="0" t="0" r="15875" b="12700"/>
                        <wp:docPr id="5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pic:cNvPicPr>
                                  <a:picLocks noChangeAspect="1"/>
                                </pic:cNvPicPr>
                              </pic:nvPicPr>
                              <pic:blipFill>
                                <a:blip r:embed="rId34"/>
                                <a:stretch>
                                  <a:fillRect/>
                                </a:stretch>
                              </pic:blipFill>
                              <pic:spPr>
                                <a:xfrm>
                                  <a:off x="0" y="0"/>
                                  <a:ext cx="879475" cy="863600"/>
                                </a:xfrm>
                                <a:prstGeom prst="rect">
                                  <a:avLst/>
                                </a:prstGeom>
                                <a:noFill/>
                                <a:ln>
                                  <a:noFill/>
                                </a:ln>
                              </pic:spPr>
                            </pic:pic>
                          </a:graphicData>
                        </a:graphic>
                      </wp:inline>
                    </w:drawing>
                  </w:r>
                </w:p>
              </w:tc>
              <w:tc>
                <w:tcPr>
                  <w:tcW w:w="1789" w:type="dxa"/>
                  <w:tcBorders>
                    <w:tl2br w:val="nil"/>
                    <w:tr2bl w:val="nil"/>
                  </w:tcBorders>
                  <w:vAlign w:val="center"/>
                </w:tcPr>
                <w:p w14:paraId="15834338">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drawing>
                      <wp:inline distT="0" distB="0" distL="114300" distR="114300">
                        <wp:extent cx="894715" cy="793750"/>
                        <wp:effectExtent l="0" t="0" r="635" b="6350"/>
                        <wp:docPr id="6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3"/>
                                <pic:cNvPicPr>
                                  <a:picLocks noChangeAspect="1"/>
                                </pic:cNvPicPr>
                              </pic:nvPicPr>
                              <pic:blipFill>
                                <a:blip r:embed="rId35"/>
                                <a:stretch>
                                  <a:fillRect/>
                                </a:stretch>
                              </pic:blipFill>
                              <pic:spPr>
                                <a:xfrm>
                                  <a:off x="0" y="0"/>
                                  <a:ext cx="894715" cy="793750"/>
                                </a:xfrm>
                                <a:prstGeom prst="rect">
                                  <a:avLst/>
                                </a:prstGeom>
                                <a:noFill/>
                                <a:ln>
                                  <a:noFill/>
                                </a:ln>
                              </pic:spPr>
                            </pic:pic>
                          </a:graphicData>
                        </a:graphic>
                      </wp:inline>
                    </w:drawing>
                  </w:r>
                </w:p>
              </w:tc>
              <w:tc>
                <w:tcPr>
                  <w:tcW w:w="1614" w:type="dxa"/>
                  <w:tcBorders>
                    <w:tl2br w:val="nil"/>
                    <w:tr2bl w:val="nil"/>
                  </w:tcBorders>
                  <w:vAlign w:val="center"/>
                </w:tcPr>
                <w:p w14:paraId="0BB5580C">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噪声源</w:t>
                  </w:r>
                </w:p>
              </w:tc>
              <w:tc>
                <w:tcPr>
                  <w:tcW w:w="3220" w:type="dxa"/>
                  <w:tcBorders>
                    <w:tl2br w:val="nil"/>
                    <w:tr2bl w:val="nil"/>
                  </w:tcBorders>
                  <w:vAlign w:val="center"/>
                </w:tcPr>
                <w:p w14:paraId="4A37EF93">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表示噪声向外环境排放</w:t>
                  </w:r>
                </w:p>
              </w:tc>
            </w:tr>
            <w:tr w14:paraId="62D2AF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trHeight w:val="340" w:hRule="atLeast"/>
                <w:jc w:val="center"/>
              </w:trPr>
              <w:tc>
                <w:tcPr>
                  <w:tcW w:w="694" w:type="dxa"/>
                  <w:tcBorders>
                    <w:tl2br w:val="nil"/>
                    <w:tr2bl w:val="nil"/>
                  </w:tcBorders>
                  <w:vAlign w:val="center"/>
                </w:tcPr>
                <w:p w14:paraId="587F9F48">
                  <w:pPr>
                    <w:pageBreakBefore w:val="0"/>
                    <w:kinsoku/>
                    <w:wordWrap/>
                    <w:overflowPunct/>
                    <w:topLinePunct w:val="0"/>
                    <w:autoSpaceDE/>
                    <w:autoSpaceDN/>
                    <w:bidi w:val="0"/>
                    <w:adjustRightInd/>
                    <w:snapToGrid/>
                    <w:jc w:val="center"/>
                    <w:textAlignment w:val="auto"/>
                    <w:rPr>
                      <w:bCs/>
                      <w:color w:val="auto"/>
                      <w:sz w:val="21"/>
                      <w:szCs w:val="21"/>
                    </w:rPr>
                  </w:pPr>
                  <w:r>
                    <w:rPr>
                      <w:rFonts w:hint="eastAsia"/>
                      <w:bCs/>
                      <w:color w:val="auto"/>
                      <w:sz w:val="21"/>
                      <w:szCs w:val="21"/>
                    </w:rPr>
                    <w:t>5</w:t>
                  </w:r>
                </w:p>
              </w:tc>
              <w:tc>
                <w:tcPr>
                  <w:tcW w:w="1789" w:type="dxa"/>
                  <w:tcBorders>
                    <w:tl2br w:val="nil"/>
                    <w:tr2bl w:val="nil"/>
                  </w:tcBorders>
                  <w:vAlign w:val="center"/>
                </w:tcPr>
                <w:p w14:paraId="2B6771B1">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drawing>
                      <wp:inline distT="0" distB="0" distL="114300" distR="114300">
                        <wp:extent cx="900430" cy="905510"/>
                        <wp:effectExtent l="0" t="0" r="13970" b="8890"/>
                        <wp:docPr id="6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4"/>
                                <pic:cNvPicPr>
                                  <a:picLocks noChangeAspect="1"/>
                                </pic:cNvPicPr>
                              </pic:nvPicPr>
                              <pic:blipFill>
                                <a:blip r:embed="rId36"/>
                                <a:stretch>
                                  <a:fillRect/>
                                </a:stretch>
                              </pic:blipFill>
                              <pic:spPr>
                                <a:xfrm>
                                  <a:off x="0" y="0"/>
                                  <a:ext cx="900430" cy="905510"/>
                                </a:xfrm>
                                <a:prstGeom prst="rect">
                                  <a:avLst/>
                                </a:prstGeom>
                                <a:noFill/>
                                <a:ln>
                                  <a:noFill/>
                                </a:ln>
                              </pic:spPr>
                            </pic:pic>
                          </a:graphicData>
                        </a:graphic>
                      </wp:inline>
                    </w:drawing>
                  </w:r>
                </w:p>
              </w:tc>
              <w:tc>
                <w:tcPr>
                  <w:tcW w:w="1789" w:type="dxa"/>
                  <w:tcBorders>
                    <w:tl2br w:val="nil"/>
                    <w:tr2bl w:val="nil"/>
                  </w:tcBorders>
                  <w:vAlign w:val="center"/>
                </w:tcPr>
                <w:p w14:paraId="142DB663">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drawing>
                      <wp:inline distT="0" distB="0" distL="114300" distR="114300">
                        <wp:extent cx="882650" cy="817245"/>
                        <wp:effectExtent l="0" t="0" r="12700" b="1905"/>
                        <wp:docPr id="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pic:cNvPicPr>
                                  <a:picLocks noChangeAspect="1"/>
                                </pic:cNvPicPr>
                              </pic:nvPicPr>
                              <pic:blipFill>
                                <a:blip r:embed="rId37"/>
                                <a:stretch>
                                  <a:fillRect/>
                                </a:stretch>
                              </pic:blipFill>
                              <pic:spPr>
                                <a:xfrm>
                                  <a:off x="0" y="0"/>
                                  <a:ext cx="882650" cy="817245"/>
                                </a:xfrm>
                                <a:prstGeom prst="rect">
                                  <a:avLst/>
                                </a:prstGeom>
                                <a:noFill/>
                                <a:ln>
                                  <a:noFill/>
                                </a:ln>
                              </pic:spPr>
                            </pic:pic>
                          </a:graphicData>
                        </a:graphic>
                      </wp:inline>
                    </w:drawing>
                  </w:r>
                </w:p>
              </w:tc>
              <w:tc>
                <w:tcPr>
                  <w:tcW w:w="1614" w:type="dxa"/>
                  <w:tcBorders>
                    <w:tl2br w:val="nil"/>
                    <w:tr2bl w:val="nil"/>
                  </w:tcBorders>
                  <w:vAlign w:val="center"/>
                </w:tcPr>
                <w:p w14:paraId="277E5002">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一般固体废物</w:t>
                  </w:r>
                </w:p>
              </w:tc>
              <w:tc>
                <w:tcPr>
                  <w:tcW w:w="3220" w:type="dxa"/>
                  <w:tcBorders>
                    <w:tl2br w:val="nil"/>
                    <w:tr2bl w:val="nil"/>
                  </w:tcBorders>
                  <w:vAlign w:val="center"/>
                </w:tcPr>
                <w:p w14:paraId="48A244EE">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表示一般固体废物贮存、处置</w:t>
                  </w:r>
                </w:p>
                <w:p w14:paraId="4486CB67">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场</w:t>
                  </w:r>
                </w:p>
              </w:tc>
            </w:tr>
            <w:tr w14:paraId="7C53D2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7" w:type="dxa"/>
                  <w:bottom w:w="0" w:type="dxa"/>
                  <w:right w:w="17" w:type="dxa"/>
                </w:tblCellMar>
              </w:tblPrEx>
              <w:trPr>
                <w:trHeight w:val="340" w:hRule="atLeast"/>
                <w:jc w:val="center"/>
              </w:trPr>
              <w:tc>
                <w:tcPr>
                  <w:tcW w:w="694" w:type="dxa"/>
                  <w:tcBorders>
                    <w:tl2br w:val="nil"/>
                    <w:tr2bl w:val="nil"/>
                  </w:tcBorders>
                  <w:vAlign w:val="center"/>
                </w:tcPr>
                <w:p w14:paraId="5386F02D">
                  <w:pPr>
                    <w:pageBreakBefore w:val="0"/>
                    <w:kinsoku/>
                    <w:wordWrap/>
                    <w:overflowPunct/>
                    <w:topLinePunct w:val="0"/>
                    <w:autoSpaceDE/>
                    <w:autoSpaceDN/>
                    <w:bidi w:val="0"/>
                    <w:adjustRightInd/>
                    <w:snapToGrid/>
                    <w:jc w:val="center"/>
                    <w:textAlignment w:val="auto"/>
                    <w:rPr>
                      <w:bCs/>
                      <w:color w:val="auto"/>
                      <w:sz w:val="21"/>
                      <w:szCs w:val="21"/>
                    </w:rPr>
                  </w:pPr>
                  <w:r>
                    <w:rPr>
                      <w:rFonts w:hint="eastAsia"/>
                      <w:bCs/>
                      <w:color w:val="auto"/>
                      <w:sz w:val="21"/>
                      <w:szCs w:val="21"/>
                    </w:rPr>
                    <w:t>6</w:t>
                  </w:r>
                </w:p>
              </w:tc>
              <w:tc>
                <w:tcPr>
                  <w:tcW w:w="1789" w:type="dxa"/>
                  <w:tcBorders>
                    <w:tl2br w:val="nil"/>
                    <w:tr2bl w:val="nil"/>
                  </w:tcBorders>
                  <w:vAlign w:val="center"/>
                </w:tcPr>
                <w:p w14:paraId="44445DD9">
                  <w:pPr>
                    <w:pageBreakBefore w:val="0"/>
                    <w:kinsoku/>
                    <w:wordWrap/>
                    <w:overflowPunct/>
                    <w:topLinePunct w:val="0"/>
                    <w:autoSpaceDE/>
                    <w:autoSpaceDN/>
                    <w:bidi w:val="0"/>
                    <w:adjustRightInd/>
                    <w:snapToGrid/>
                    <w:jc w:val="center"/>
                    <w:textAlignment w:val="auto"/>
                    <w:rPr>
                      <w:bCs/>
                      <w:color w:val="auto"/>
                      <w:sz w:val="21"/>
                      <w:szCs w:val="21"/>
                    </w:rPr>
                  </w:pPr>
                  <w:r>
                    <w:rPr>
                      <w:rFonts w:hint="eastAsia"/>
                      <w:bCs/>
                      <w:color w:val="auto"/>
                      <w:sz w:val="21"/>
                      <w:szCs w:val="21"/>
                    </w:rPr>
                    <w:t>/</w:t>
                  </w:r>
                </w:p>
              </w:tc>
              <w:tc>
                <w:tcPr>
                  <w:tcW w:w="1789" w:type="dxa"/>
                  <w:tcBorders>
                    <w:tl2br w:val="nil"/>
                    <w:tr2bl w:val="nil"/>
                  </w:tcBorders>
                  <w:vAlign w:val="center"/>
                </w:tcPr>
                <w:p w14:paraId="1DC9E57C">
                  <w:pPr>
                    <w:pageBreakBefore w:val="0"/>
                    <w:kinsoku/>
                    <w:wordWrap/>
                    <w:overflowPunct/>
                    <w:topLinePunct w:val="0"/>
                    <w:autoSpaceDE/>
                    <w:autoSpaceDN/>
                    <w:bidi w:val="0"/>
                    <w:adjustRightInd/>
                    <w:snapToGrid/>
                    <w:jc w:val="center"/>
                    <w:textAlignment w:val="auto"/>
                    <w:rPr>
                      <w:bCs/>
                      <w:color w:val="auto"/>
                      <w:sz w:val="21"/>
                      <w:szCs w:val="21"/>
                    </w:rPr>
                  </w:pPr>
                  <w:r>
                    <w:rPr>
                      <w:color w:val="auto"/>
                      <w:sz w:val="21"/>
                      <w:szCs w:val="21"/>
                    </w:rPr>
                    <w:drawing>
                      <wp:inline distT="0" distB="0" distL="114300" distR="114300">
                        <wp:extent cx="982980" cy="852170"/>
                        <wp:effectExtent l="0" t="0" r="7620"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8"/>
                                <a:stretch>
                                  <a:fillRect/>
                                </a:stretch>
                              </pic:blipFill>
                              <pic:spPr>
                                <a:xfrm>
                                  <a:off x="0" y="0"/>
                                  <a:ext cx="982980" cy="852170"/>
                                </a:xfrm>
                                <a:prstGeom prst="rect">
                                  <a:avLst/>
                                </a:prstGeom>
                                <a:noFill/>
                                <a:ln>
                                  <a:noFill/>
                                </a:ln>
                              </pic:spPr>
                            </pic:pic>
                          </a:graphicData>
                        </a:graphic>
                      </wp:inline>
                    </w:drawing>
                  </w:r>
                </w:p>
              </w:tc>
              <w:tc>
                <w:tcPr>
                  <w:tcW w:w="1614" w:type="dxa"/>
                  <w:tcBorders>
                    <w:tl2br w:val="nil"/>
                    <w:tr2bl w:val="nil"/>
                  </w:tcBorders>
                  <w:vAlign w:val="center"/>
                </w:tcPr>
                <w:p w14:paraId="06282373">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危险固废</w:t>
                  </w:r>
                </w:p>
              </w:tc>
              <w:tc>
                <w:tcPr>
                  <w:tcW w:w="3220" w:type="dxa"/>
                  <w:tcBorders>
                    <w:tl2br w:val="nil"/>
                    <w:tr2bl w:val="nil"/>
                  </w:tcBorders>
                  <w:vAlign w:val="center"/>
                </w:tcPr>
                <w:p w14:paraId="73CA59DA">
                  <w:pPr>
                    <w:pageBreakBefore w:val="0"/>
                    <w:kinsoku/>
                    <w:wordWrap/>
                    <w:overflowPunct/>
                    <w:topLinePunct w:val="0"/>
                    <w:autoSpaceDE/>
                    <w:autoSpaceDN/>
                    <w:bidi w:val="0"/>
                    <w:adjustRightInd/>
                    <w:snapToGrid/>
                    <w:jc w:val="center"/>
                    <w:textAlignment w:val="auto"/>
                    <w:rPr>
                      <w:bCs/>
                      <w:color w:val="auto"/>
                      <w:sz w:val="21"/>
                      <w:szCs w:val="21"/>
                    </w:rPr>
                  </w:pPr>
                  <w:r>
                    <w:rPr>
                      <w:bCs/>
                      <w:color w:val="auto"/>
                      <w:sz w:val="21"/>
                      <w:szCs w:val="21"/>
                    </w:rPr>
                    <w:t>危险固废暂存场所</w:t>
                  </w:r>
                </w:p>
              </w:tc>
            </w:tr>
          </w:tbl>
          <w:p w14:paraId="7FE6E878">
            <w:pPr>
              <w:keepNext/>
              <w:keepLines/>
              <w:pageBreakBefore w:val="0"/>
              <w:kinsoku/>
              <w:wordWrap/>
              <w:overflowPunct/>
              <w:topLinePunct w:val="0"/>
              <w:autoSpaceDE/>
              <w:autoSpaceDN/>
              <w:bidi w:val="0"/>
              <w:adjustRightInd/>
              <w:snapToGrid/>
              <w:jc w:val="both"/>
              <w:textAlignment w:val="auto"/>
              <w:outlineLvl w:val="3"/>
              <w:rPr>
                <w:b/>
                <w:bCs/>
                <w:color w:val="auto"/>
                <w:szCs w:val="21"/>
              </w:rPr>
            </w:pPr>
          </w:p>
          <w:p w14:paraId="4926F28E">
            <w:pPr>
              <w:keepNext/>
              <w:keepLines/>
              <w:pageBreakBefore w:val="0"/>
              <w:kinsoku/>
              <w:wordWrap/>
              <w:overflowPunct/>
              <w:topLinePunct w:val="0"/>
              <w:autoSpaceDE/>
              <w:autoSpaceDN/>
              <w:bidi w:val="0"/>
              <w:adjustRightInd/>
              <w:snapToGrid/>
              <w:jc w:val="center"/>
              <w:textAlignment w:val="auto"/>
              <w:outlineLvl w:val="3"/>
              <w:rPr>
                <w:b/>
                <w:bCs/>
                <w:color w:val="auto"/>
                <w:szCs w:val="21"/>
              </w:rPr>
            </w:pPr>
          </w:p>
          <w:p w14:paraId="1485C63D">
            <w:pPr>
              <w:keepNext/>
              <w:keepLines/>
              <w:pageBreakBefore w:val="0"/>
              <w:kinsoku/>
              <w:wordWrap/>
              <w:overflowPunct/>
              <w:topLinePunct w:val="0"/>
              <w:autoSpaceDE/>
              <w:autoSpaceDN/>
              <w:bidi w:val="0"/>
              <w:adjustRightInd/>
              <w:snapToGrid/>
              <w:jc w:val="center"/>
              <w:textAlignment w:val="auto"/>
              <w:outlineLvl w:val="3"/>
              <w:rPr>
                <w:b/>
                <w:bCs/>
                <w:color w:val="auto"/>
                <w:szCs w:val="21"/>
              </w:rPr>
            </w:pPr>
          </w:p>
          <w:p w14:paraId="6169232A">
            <w:pPr>
              <w:keepNext/>
              <w:keepLines/>
              <w:pageBreakBefore w:val="0"/>
              <w:kinsoku/>
              <w:wordWrap/>
              <w:overflowPunct/>
              <w:topLinePunct w:val="0"/>
              <w:autoSpaceDE/>
              <w:autoSpaceDN/>
              <w:bidi w:val="0"/>
              <w:adjustRightInd/>
              <w:snapToGrid/>
              <w:jc w:val="center"/>
              <w:textAlignment w:val="auto"/>
              <w:outlineLvl w:val="3"/>
              <w:rPr>
                <w:b/>
                <w:bCs/>
                <w:color w:val="auto"/>
                <w:szCs w:val="21"/>
              </w:rPr>
            </w:pPr>
          </w:p>
          <w:p w14:paraId="57E45662">
            <w:pPr>
              <w:pageBreakBefore w:val="0"/>
              <w:kinsoku/>
              <w:wordWrap/>
              <w:overflowPunct/>
              <w:topLinePunct w:val="0"/>
              <w:autoSpaceDE/>
              <w:autoSpaceDN/>
              <w:bidi w:val="0"/>
              <w:adjustRightInd/>
              <w:snapToGrid/>
              <w:jc w:val="both"/>
              <w:textAlignment w:val="auto"/>
              <w:rPr>
                <w:color w:val="auto"/>
                <w:kern w:val="0"/>
                <w:szCs w:val="21"/>
              </w:rPr>
            </w:pPr>
          </w:p>
          <w:p w14:paraId="3E994EF1">
            <w:pPr>
              <w:pageBreakBefore w:val="0"/>
              <w:kinsoku/>
              <w:wordWrap/>
              <w:overflowPunct/>
              <w:topLinePunct w:val="0"/>
              <w:autoSpaceDE/>
              <w:autoSpaceDN/>
              <w:bidi w:val="0"/>
              <w:adjustRightInd/>
              <w:snapToGrid/>
              <w:jc w:val="center"/>
              <w:textAlignment w:val="auto"/>
              <w:rPr>
                <w:color w:val="auto"/>
                <w:kern w:val="0"/>
                <w:szCs w:val="21"/>
              </w:rPr>
            </w:pPr>
          </w:p>
          <w:p w14:paraId="6888A14C">
            <w:pPr>
              <w:pageBreakBefore w:val="0"/>
              <w:kinsoku/>
              <w:wordWrap/>
              <w:overflowPunct/>
              <w:topLinePunct w:val="0"/>
              <w:autoSpaceDE/>
              <w:autoSpaceDN/>
              <w:bidi w:val="0"/>
              <w:adjustRightInd/>
              <w:snapToGrid/>
              <w:jc w:val="center"/>
              <w:textAlignment w:val="auto"/>
              <w:rPr>
                <w:color w:val="auto"/>
                <w:kern w:val="0"/>
                <w:szCs w:val="21"/>
              </w:rPr>
            </w:pPr>
          </w:p>
          <w:p w14:paraId="2C30523F">
            <w:pPr>
              <w:pageBreakBefore w:val="0"/>
              <w:kinsoku/>
              <w:wordWrap/>
              <w:overflowPunct/>
              <w:topLinePunct w:val="0"/>
              <w:autoSpaceDE/>
              <w:autoSpaceDN/>
              <w:bidi w:val="0"/>
              <w:adjustRightInd/>
              <w:snapToGrid/>
              <w:jc w:val="center"/>
              <w:textAlignment w:val="auto"/>
              <w:rPr>
                <w:color w:val="auto"/>
                <w:kern w:val="0"/>
                <w:szCs w:val="21"/>
              </w:rPr>
            </w:pPr>
          </w:p>
          <w:p w14:paraId="602FD160">
            <w:pPr>
              <w:pageBreakBefore w:val="0"/>
              <w:kinsoku/>
              <w:wordWrap/>
              <w:overflowPunct/>
              <w:topLinePunct w:val="0"/>
              <w:autoSpaceDE/>
              <w:autoSpaceDN/>
              <w:bidi w:val="0"/>
              <w:adjustRightInd/>
              <w:snapToGrid/>
              <w:jc w:val="center"/>
              <w:textAlignment w:val="auto"/>
              <w:rPr>
                <w:color w:val="auto"/>
                <w:kern w:val="0"/>
                <w:szCs w:val="21"/>
              </w:rPr>
            </w:pPr>
          </w:p>
        </w:tc>
      </w:tr>
    </w:tbl>
    <w:p w14:paraId="0CA186C3">
      <w:pPr>
        <w:pStyle w:val="28"/>
        <w:jc w:val="center"/>
        <w:outlineLvl w:val="0"/>
        <w:rPr>
          <w:rFonts w:ascii="Times New Roman" w:hAnsi="Times New Roman"/>
          <w:snapToGrid w:val="0"/>
          <w:color w:val="auto"/>
        </w:rPr>
        <w:sectPr>
          <w:pgSz w:w="11905" w:h="16838"/>
          <w:pgMar w:top="1417" w:right="1417" w:bottom="1417" w:left="1417" w:header="851" w:footer="1077" w:gutter="0"/>
          <w:cols w:space="0" w:num="1"/>
          <w:rtlGutter w:val="0"/>
          <w:docGrid w:type="lines" w:linePitch="333" w:charSpace="0"/>
        </w:sectPr>
      </w:pPr>
      <w:r>
        <w:rPr>
          <w:rFonts w:ascii="Times New Roman" w:hAnsi="Times New Roman"/>
          <w:snapToGrid w:val="0"/>
          <w:color w:val="auto"/>
        </w:rPr>
        <w:br w:type="page"/>
      </w:r>
    </w:p>
    <w:p w14:paraId="192E69C9">
      <w:pPr>
        <w:pStyle w:val="28"/>
        <w:spacing w:before="0" w:beforeAutospacing="0" w:after="0" w:afterAutospacing="0" w:line="360" w:lineRule="auto"/>
        <w:jc w:val="center"/>
        <w:outlineLvl w:val="0"/>
        <w:rPr>
          <w:rFonts w:ascii="Times New Roman" w:hAnsi="Times New Roman"/>
          <w:b/>
          <w:bCs/>
          <w:snapToGrid w:val="0"/>
          <w:color w:val="auto"/>
          <w:sz w:val="32"/>
          <w:szCs w:val="32"/>
        </w:rPr>
      </w:pPr>
      <w:r>
        <w:rPr>
          <w:rFonts w:ascii="Times New Roman" w:hAnsi="Times New Roman"/>
          <w:b/>
          <w:bCs/>
          <w:snapToGrid w:val="0"/>
          <w:color w:val="auto"/>
          <w:sz w:val="32"/>
          <w:szCs w:val="32"/>
        </w:rPr>
        <w:t>六、结论</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16F15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1" w:hRule="atLeast"/>
          <w:jc w:val="center"/>
        </w:trPr>
        <w:tc>
          <w:tcPr>
            <w:tcW w:w="5000" w:type="pct"/>
          </w:tcPr>
          <w:p w14:paraId="126B99E1">
            <w:pPr>
              <w:spacing w:line="360" w:lineRule="auto"/>
              <w:ind w:firstLine="480" w:firstLineChars="200"/>
              <w:rPr>
                <w:color w:val="auto"/>
                <w:kern w:val="0"/>
                <w:sz w:val="24"/>
              </w:rPr>
            </w:pPr>
          </w:p>
          <w:p w14:paraId="08C6CF8A">
            <w:pPr>
              <w:spacing w:line="360" w:lineRule="auto"/>
              <w:ind w:firstLine="480" w:firstLineChars="200"/>
              <w:rPr>
                <w:color w:val="auto"/>
                <w:kern w:val="0"/>
                <w:sz w:val="24"/>
              </w:rPr>
            </w:pPr>
          </w:p>
          <w:p w14:paraId="2A4E15D2">
            <w:pPr>
              <w:spacing w:line="360" w:lineRule="auto"/>
              <w:ind w:firstLine="480" w:firstLineChars="200"/>
              <w:rPr>
                <w:rFonts w:hint="eastAsia" w:ascii="宋体" w:hAnsi="宋体" w:cs="宋体"/>
                <w:color w:val="auto"/>
                <w:kern w:val="21"/>
                <w:sz w:val="24"/>
                <w:lang w:eastAsia="zh-CN"/>
              </w:rPr>
            </w:pPr>
            <w:r>
              <w:rPr>
                <w:rFonts w:hint="eastAsia" w:ascii="宋体" w:hAnsi="宋体" w:cs="宋体"/>
                <w:color w:val="auto"/>
                <w:kern w:val="21"/>
                <w:sz w:val="24"/>
              </w:rPr>
              <w:t>综合所述，本项目符合国家产业政策。本项目在采用本评价提出的各项污染防治措施后，各项污染物均可实现达标排放，不会降低评价区域原有环境质量功能级别</w:t>
            </w:r>
            <w:r>
              <w:rPr>
                <w:rFonts w:hint="eastAsia" w:ascii="宋体" w:hAnsi="宋体" w:cs="宋体"/>
                <w:color w:val="auto"/>
                <w:kern w:val="21"/>
                <w:sz w:val="24"/>
                <w:lang w:eastAsia="zh-CN"/>
              </w:rPr>
              <w:t>。</w:t>
            </w:r>
          </w:p>
          <w:p w14:paraId="36528781">
            <w:pPr>
              <w:spacing w:line="360" w:lineRule="auto"/>
              <w:ind w:firstLine="480" w:firstLineChars="200"/>
              <w:rPr>
                <w:color w:val="auto"/>
                <w:sz w:val="24"/>
              </w:rPr>
            </w:pPr>
            <w:r>
              <w:rPr>
                <w:rFonts w:hint="eastAsia"/>
                <w:color w:val="auto"/>
                <w:sz w:val="24"/>
              </w:rPr>
              <w:t>从环境保护角度来看，该项目建设是可行的</w:t>
            </w:r>
            <w:r>
              <w:rPr>
                <w:color w:val="auto"/>
                <w:sz w:val="24"/>
              </w:rPr>
              <w:t>。</w:t>
            </w:r>
          </w:p>
        </w:tc>
      </w:tr>
    </w:tbl>
    <w:p w14:paraId="2E1448AD">
      <w:pPr>
        <w:rPr>
          <w:color w:val="auto"/>
        </w:rPr>
        <w:sectPr>
          <w:pgSz w:w="11905" w:h="16838"/>
          <w:pgMar w:top="1417" w:right="1417" w:bottom="1417" w:left="1417" w:header="851" w:footer="1077" w:gutter="0"/>
          <w:cols w:space="0" w:num="1"/>
          <w:rtlGutter w:val="0"/>
          <w:docGrid w:type="lines" w:linePitch="333" w:charSpace="0"/>
        </w:sectPr>
      </w:pPr>
    </w:p>
    <w:p w14:paraId="7BD44632">
      <w:pPr>
        <w:pStyle w:val="28"/>
        <w:adjustRightInd w:val="0"/>
        <w:snapToGrid w:val="0"/>
        <w:spacing w:before="0" w:beforeAutospacing="0" w:after="0" w:afterAutospacing="0"/>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7F7D48D1">
      <w:pPr>
        <w:pStyle w:val="28"/>
        <w:adjustRightInd w:val="0"/>
        <w:snapToGrid w:val="0"/>
        <w:spacing w:before="0" w:beforeAutospacing="0" w:after="0" w:afterAutospacing="0"/>
        <w:jc w:val="center"/>
        <w:outlineLvl w:val="0"/>
        <w:rPr>
          <w:rFonts w:ascii="Times New Roman" w:hAnsi="Times New Roman" w:eastAsia="方正小标宋_GBK"/>
          <w:b w:val="0"/>
          <w:bCs w:val="0"/>
          <w:snapToGrid w:val="0"/>
          <w:color w:val="auto"/>
          <w:sz w:val="38"/>
          <w:szCs w:val="38"/>
        </w:rPr>
      </w:pPr>
      <w:r>
        <w:rPr>
          <w:rFonts w:ascii="Times New Roman" w:hAnsi="Times New Roman" w:eastAsia="方正小标宋_GBK"/>
          <w:b w:val="0"/>
          <w:bCs w:val="0"/>
          <w:snapToGrid w:val="0"/>
          <w:color w:val="auto"/>
          <w:sz w:val="38"/>
          <w:szCs w:val="38"/>
        </w:rPr>
        <w:t>建设项目污染物排放量汇总表</w:t>
      </w:r>
    </w:p>
    <w:tbl>
      <w:tblPr>
        <w:tblStyle w:val="3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1991"/>
        <w:gridCol w:w="1497"/>
        <w:gridCol w:w="1238"/>
        <w:gridCol w:w="1674"/>
        <w:gridCol w:w="1525"/>
        <w:gridCol w:w="1736"/>
        <w:gridCol w:w="1944"/>
        <w:gridCol w:w="1331"/>
      </w:tblGrid>
      <w:tr w14:paraId="75F63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397" w:type="pct"/>
            <w:tcBorders>
              <w:tl2br w:val="single" w:color="auto" w:sz="4" w:space="0"/>
            </w:tcBorders>
            <w:tcMar>
              <w:left w:w="28" w:type="dxa"/>
              <w:right w:w="28" w:type="dxa"/>
            </w:tcMar>
            <w:vAlign w:val="center"/>
          </w:tcPr>
          <w:p w14:paraId="1FA2F5E7">
            <w:pPr>
              <w:pStyle w:val="48"/>
              <w:spacing w:beforeLines="0" w:afterLines="0" w:line="240" w:lineRule="auto"/>
              <w:ind w:left="0" w:leftChars="0" w:firstLine="0" w:firstLineChars="0"/>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4FBC0FD1">
            <w:pPr>
              <w:pStyle w:val="48"/>
              <w:spacing w:beforeLines="0" w:afterLines="0" w:line="240" w:lineRule="auto"/>
              <w:ind w:left="0" w:leftChars="0" w:firstLine="0" w:firstLineChars="0"/>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708" w:type="pct"/>
            <w:tcMar>
              <w:left w:w="28" w:type="dxa"/>
              <w:right w:w="28" w:type="dxa"/>
            </w:tcMar>
            <w:vAlign w:val="center"/>
          </w:tcPr>
          <w:p w14:paraId="0339A378">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532" w:type="pct"/>
            <w:tcMar>
              <w:left w:w="28" w:type="dxa"/>
              <w:right w:w="28" w:type="dxa"/>
            </w:tcMar>
            <w:vAlign w:val="center"/>
          </w:tcPr>
          <w:p w14:paraId="7BECE73E">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0E86BD8E">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440" w:type="pct"/>
            <w:tcMar>
              <w:left w:w="28" w:type="dxa"/>
              <w:right w:w="28" w:type="dxa"/>
            </w:tcMar>
            <w:vAlign w:val="center"/>
          </w:tcPr>
          <w:p w14:paraId="0C8F9625">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3415632F">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379CE726">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595" w:type="pct"/>
            <w:tcMar>
              <w:left w:w="28" w:type="dxa"/>
              <w:right w:w="28" w:type="dxa"/>
            </w:tcMar>
            <w:vAlign w:val="center"/>
          </w:tcPr>
          <w:p w14:paraId="0B286459">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38C96333">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542" w:type="pct"/>
            <w:tcMar>
              <w:left w:w="28" w:type="dxa"/>
              <w:right w:w="28" w:type="dxa"/>
            </w:tcMar>
            <w:vAlign w:val="center"/>
          </w:tcPr>
          <w:p w14:paraId="02465714">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331158A6">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617" w:type="pct"/>
            <w:tcMar>
              <w:left w:w="28" w:type="dxa"/>
              <w:right w:w="28" w:type="dxa"/>
            </w:tcMar>
            <w:vAlign w:val="center"/>
          </w:tcPr>
          <w:p w14:paraId="2121AFD1">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2829E876">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691" w:type="pct"/>
            <w:tcMar>
              <w:left w:w="28" w:type="dxa"/>
              <w:right w:w="28" w:type="dxa"/>
            </w:tcMar>
            <w:vAlign w:val="center"/>
          </w:tcPr>
          <w:p w14:paraId="3314958F">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4FAA2F33">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473" w:type="pct"/>
            <w:tcMar>
              <w:left w:w="28" w:type="dxa"/>
              <w:right w:w="28" w:type="dxa"/>
            </w:tcMar>
            <w:vAlign w:val="center"/>
          </w:tcPr>
          <w:p w14:paraId="632F2789">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31EC4163">
            <w:pPr>
              <w:pStyle w:val="48"/>
              <w:spacing w:beforeLines="0" w:afterLines="0" w:line="240" w:lineRule="auto"/>
              <w:ind w:left="0" w:leftChars="0" w:firstLine="0" w:firstLineChar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7B51E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97" w:type="pct"/>
            <w:vMerge w:val="restart"/>
            <w:vAlign w:val="center"/>
          </w:tcPr>
          <w:p w14:paraId="25A65838">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废气</w:t>
            </w:r>
          </w:p>
        </w:tc>
        <w:tc>
          <w:tcPr>
            <w:tcW w:w="708" w:type="pct"/>
            <w:vAlign w:val="center"/>
          </w:tcPr>
          <w:p w14:paraId="51B2D15F">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颗粒物</w:t>
            </w:r>
          </w:p>
        </w:tc>
        <w:tc>
          <w:tcPr>
            <w:tcW w:w="532" w:type="pct"/>
            <w:vAlign w:val="center"/>
          </w:tcPr>
          <w:p w14:paraId="1034C16F">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440" w:type="pct"/>
            <w:vAlign w:val="center"/>
          </w:tcPr>
          <w:p w14:paraId="3DCA2857">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95" w:type="pct"/>
            <w:vAlign w:val="center"/>
          </w:tcPr>
          <w:p w14:paraId="269EE4B0">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42" w:type="pct"/>
            <w:vAlign w:val="center"/>
          </w:tcPr>
          <w:p w14:paraId="0645655B">
            <w:pPr>
              <w:widowControl/>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lang w:val="en-US" w:eastAsia="zh-CN"/>
              </w:rPr>
              <w:t>0.011</w:t>
            </w:r>
            <w:r>
              <w:rPr>
                <w:rFonts w:hint="default" w:ascii="Times New Roman" w:hAnsi="Times New Roman" w:cs="Times New Roman"/>
                <w:color w:val="auto"/>
                <w:sz w:val="21"/>
                <w:szCs w:val="21"/>
              </w:rPr>
              <w:t>t/a</w:t>
            </w:r>
          </w:p>
        </w:tc>
        <w:tc>
          <w:tcPr>
            <w:tcW w:w="617" w:type="pct"/>
            <w:vAlign w:val="center"/>
          </w:tcPr>
          <w:p w14:paraId="3D5D9251">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1944" w:type="dxa"/>
            <w:vAlign w:val="center"/>
          </w:tcPr>
          <w:p w14:paraId="046F6860">
            <w:pPr>
              <w:widowControl/>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0.011</w:t>
            </w:r>
            <w:r>
              <w:rPr>
                <w:rFonts w:hint="default" w:ascii="Times New Roman" w:hAnsi="Times New Roman" w:cs="Times New Roman"/>
                <w:color w:val="auto"/>
                <w:sz w:val="21"/>
                <w:szCs w:val="21"/>
              </w:rPr>
              <w:t>t/a</w:t>
            </w:r>
          </w:p>
        </w:tc>
        <w:tc>
          <w:tcPr>
            <w:tcW w:w="1331" w:type="dxa"/>
            <w:vAlign w:val="center"/>
          </w:tcPr>
          <w:p w14:paraId="3CDFEDB8">
            <w:pPr>
              <w:widowControl/>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+0.011</w:t>
            </w:r>
            <w:r>
              <w:rPr>
                <w:rFonts w:hint="default" w:ascii="Times New Roman" w:hAnsi="Times New Roman" w:cs="Times New Roman"/>
                <w:color w:val="auto"/>
                <w:sz w:val="21"/>
                <w:szCs w:val="21"/>
              </w:rPr>
              <w:t>t/a</w:t>
            </w:r>
          </w:p>
        </w:tc>
      </w:tr>
      <w:tr w14:paraId="49607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97" w:type="pct"/>
            <w:vMerge w:val="continue"/>
            <w:vAlign w:val="center"/>
          </w:tcPr>
          <w:p w14:paraId="5552B669">
            <w:pPr>
              <w:widowControl/>
              <w:jc w:val="center"/>
              <w:rPr>
                <w:rFonts w:hint="default" w:ascii="Times New Roman" w:hAnsi="Times New Roman" w:cs="Times New Roman"/>
                <w:color w:val="auto"/>
                <w:sz w:val="21"/>
                <w:szCs w:val="21"/>
              </w:rPr>
            </w:pPr>
          </w:p>
        </w:tc>
        <w:tc>
          <w:tcPr>
            <w:tcW w:w="708" w:type="pct"/>
            <w:vAlign w:val="center"/>
          </w:tcPr>
          <w:p w14:paraId="38FE8F9D">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SO</w:t>
            </w:r>
            <w:r>
              <w:rPr>
                <w:rFonts w:hint="default" w:ascii="Times New Roman" w:hAnsi="Times New Roman" w:cs="Times New Roman"/>
                <w:snapToGrid w:val="0"/>
                <w:color w:val="auto"/>
                <w:kern w:val="21"/>
                <w:sz w:val="21"/>
                <w:szCs w:val="21"/>
                <w:vertAlign w:val="subscript"/>
                <w:lang w:val="en-US" w:eastAsia="zh-CN"/>
              </w:rPr>
              <w:t>2</w:t>
            </w:r>
          </w:p>
        </w:tc>
        <w:tc>
          <w:tcPr>
            <w:tcW w:w="532" w:type="pct"/>
            <w:vAlign w:val="center"/>
          </w:tcPr>
          <w:p w14:paraId="77AD57A5">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440" w:type="pct"/>
            <w:vAlign w:val="center"/>
          </w:tcPr>
          <w:p w14:paraId="4771AC92">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95" w:type="pct"/>
            <w:vAlign w:val="center"/>
          </w:tcPr>
          <w:p w14:paraId="3119882E">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42" w:type="pct"/>
            <w:vAlign w:val="center"/>
          </w:tcPr>
          <w:p w14:paraId="556FC98A">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0.22</w:t>
            </w:r>
            <w:r>
              <w:rPr>
                <w:rFonts w:hint="default" w:ascii="Times New Roman" w:hAnsi="Times New Roman" w:cs="Times New Roman"/>
                <w:color w:val="auto"/>
                <w:sz w:val="21"/>
                <w:szCs w:val="21"/>
              </w:rPr>
              <w:t>t/a</w:t>
            </w:r>
          </w:p>
        </w:tc>
        <w:tc>
          <w:tcPr>
            <w:tcW w:w="617" w:type="pct"/>
            <w:vAlign w:val="center"/>
          </w:tcPr>
          <w:p w14:paraId="5C96B9FB">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1944" w:type="dxa"/>
            <w:vAlign w:val="center"/>
          </w:tcPr>
          <w:p w14:paraId="2CDAF1EE">
            <w:pPr>
              <w:widowControl/>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0.22</w:t>
            </w:r>
            <w:r>
              <w:rPr>
                <w:rFonts w:hint="default" w:ascii="Times New Roman" w:hAnsi="Times New Roman" w:cs="Times New Roman"/>
                <w:color w:val="auto"/>
                <w:sz w:val="21"/>
                <w:szCs w:val="21"/>
              </w:rPr>
              <w:t>t/a</w:t>
            </w:r>
          </w:p>
        </w:tc>
        <w:tc>
          <w:tcPr>
            <w:tcW w:w="1331" w:type="dxa"/>
            <w:vAlign w:val="center"/>
          </w:tcPr>
          <w:p w14:paraId="7024E82D">
            <w:pPr>
              <w:widowControl/>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+0.22</w:t>
            </w:r>
            <w:r>
              <w:rPr>
                <w:rFonts w:hint="default" w:ascii="Times New Roman" w:hAnsi="Times New Roman" w:cs="Times New Roman"/>
                <w:color w:val="auto"/>
                <w:sz w:val="21"/>
                <w:szCs w:val="21"/>
              </w:rPr>
              <w:t>t/a</w:t>
            </w:r>
          </w:p>
        </w:tc>
      </w:tr>
      <w:tr w14:paraId="11F66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0" w:hRule="atLeast"/>
          <w:jc w:val="center"/>
        </w:trPr>
        <w:tc>
          <w:tcPr>
            <w:tcW w:w="397" w:type="pct"/>
            <w:vMerge w:val="continue"/>
            <w:vAlign w:val="center"/>
          </w:tcPr>
          <w:p w14:paraId="16615572">
            <w:pPr>
              <w:widowControl/>
              <w:jc w:val="center"/>
              <w:rPr>
                <w:rFonts w:hint="default" w:ascii="Times New Roman" w:hAnsi="Times New Roman" w:cs="Times New Roman"/>
                <w:snapToGrid w:val="0"/>
                <w:color w:val="auto"/>
                <w:kern w:val="21"/>
                <w:sz w:val="21"/>
                <w:szCs w:val="21"/>
              </w:rPr>
            </w:pPr>
          </w:p>
        </w:tc>
        <w:tc>
          <w:tcPr>
            <w:tcW w:w="708" w:type="pct"/>
            <w:vAlign w:val="center"/>
          </w:tcPr>
          <w:p w14:paraId="20746C4B">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NOx</w:t>
            </w:r>
          </w:p>
        </w:tc>
        <w:tc>
          <w:tcPr>
            <w:tcW w:w="532" w:type="pct"/>
            <w:vAlign w:val="center"/>
          </w:tcPr>
          <w:p w14:paraId="71DEAA7C">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440" w:type="pct"/>
            <w:vAlign w:val="center"/>
          </w:tcPr>
          <w:p w14:paraId="098ABE8B">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95" w:type="pct"/>
            <w:vAlign w:val="center"/>
          </w:tcPr>
          <w:p w14:paraId="2CE187CA">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42" w:type="pct"/>
            <w:vAlign w:val="center"/>
          </w:tcPr>
          <w:p w14:paraId="0FC58F7F">
            <w:pPr>
              <w:widowControl/>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0.31</w:t>
            </w:r>
            <w:r>
              <w:rPr>
                <w:rFonts w:hint="default" w:ascii="Times New Roman" w:hAnsi="Times New Roman" w:cs="Times New Roman"/>
                <w:color w:val="auto"/>
                <w:sz w:val="21"/>
                <w:szCs w:val="21"/>
              </w:rPr>
              <w:t>t/a</w:t>
            </w:r>
          </w:p>
        </w:tc>
        <w:tc>
          <w:tcPr>
            <w:tcW w:w="617" w:type="pct"/>
            <w:vAlign w:val="center"/>
          </w:tcPr>
          <w:p w14:paraId="5D0BEECA">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1944" w:type="dxa"/>
            <w:vAlign w:val="center"/>
          </w:tcPr>
          <w:p w14:paraId="54BCF483">
            <w:pPr>
              <w:widowControl/>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0.31</w:t>
            </w:r>
            <w:r>
              <w:rPr>
                <w:rFonts w:hint="default" w:ascii="Times New Roman" w:hAnsi="Times New Roman" w:cs="Times New Roman"/>
                <w:color w:val="auto"/>
                <w:sz w:val="21"/>
                <w:szCs w:val="21"/>
              </w:rPr>
              <w:t>t/a</w:t>
            </w:r>
          </w:p>
        </w:tc>
        <w:tc>
          <w:tcPr>
            <w:tcW w:w="1331" w:type="dxa"/>
            <w:vAlign w:val="center"/>
          </w:tcPr>
          <w:p w14:paraId="029E3C9E">
            <w:pPr>
              <w:widowControl/>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+0.31</w:t>
            </w:r>
            <w:r>
              <w:rPr>
                <w:rFonts w:hint="default" w:ascii="Times New Roman" w:hAnsi="Times New Roman" w:cs="Times New Roman"/>
                <w:color w:val="auto"/>
                <w:sz w:val="21"/>
                <w:szCs w:val="21"/>
              </w:rPr>
              <w:t>t/a</w:t>
            </w:r>
          </w:p>
        </w:tc>
      </w:tr>
      <w:tr w14:paraId="55F4C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5061C9CB">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废水</w:t>
            </w:r>
          </w:p>
        </w:tc>
        <w:tc>
          <w:tcPr>
            <w:tcW w:w="708" w:type="pct"/>
            <w:vAlign w:val="center"/>
          </w:tcPr>
          <w:p w14:paraId="35B35023">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COD</w:t>
            </w:r>
          </w:p>
        </w:tc>
        <w:tc>
          <w:tcPr>
            <w:tcW w:w="532" w:type="pct"/>
            <w:vAlign w:val="center"/>
          </w:tcPr>
          <w:p w14:paraId="71193933">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440" w:type="pct"/>
            <w:vAlign w:val="center"/>
          </w:tcPr>
          <w:p w14:paraId="6D7018AA">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95" w:type="pct"/>
            <w:vAlign w:val="center"/>
          </w:tcPr>
          <w:p w14:paraId="194D23EE">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42" w:type="pct"/>
            <w:vAlign w:val="center"/>
          </w:tcPr>
          <w:p w14:paraId="5E2C2215">
            <w:pPr>
              <w:pStyle w:val="48"/>
              <w:spacing w:beforeLines="0" w:afterLines="0" w:line="240" w:lineRule="auto"/>
              <w:ind w:left="0" w:leftChars="0"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rPr>
              <w:t>/</w:t>
            </w:r>
          </w:p>
        </w:tc>
        <w:tc>
          <w:tcPr>
            <w:tcW w:w="617" w:type="pct"/>
            <w:vAlign w:val="center"/>
          </w:tcPr>
          <w:p w14:paraId="1912CE5D">
            <w:pPr>
              <w:pStyle w:val="48"/>
              <w:spacing w:beforeLines="0" w:afterLines="0" w:line="240" w:lineRule="auto"/>
              <w:ind w:left="0" w:leftChars="0"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rPr>
              <w:t>/</w:t>
            </w:r>
          </w:p>
        </w:tc>
        <w:tc>
          <w:tcPr>
            <w:tcW w:w="691" w:type="pct"/>
            <w:vAlign w:val="center"/>
          </w:tcPr>
          <w:p w14:paraId="75C0F9E6">
            <w:pPr>
              <w:pStyle w:val="48"/>
              <w:spacing w:beforeLines="0" w:afterLines="0" w:line="240" w:lineRule="auto"/>
              <w:ind w:left="0" w:leftChars="0"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rPr>
              <w:t>/</w:t>
            </w:r>
          </w:p>
        </w:tc>
        <w:tc>
          <w:tcPr>
            <w:tcW w:w="473" w:type="pct"/>
            <w:vAlign w:val="center"/>
          </w:tcPr>
          <w:p w14:paraId="74D8EAD8">
            <w:pPr>
              <w:pStyle w:val="48"/>
              <w:spacing w:beforeLines="0" w:afterLines="0" w:line="240" w:lineRule="auto"/>
              <w:ind w:left="0" w:leftChars="0"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rPr>
              <w:t>/</w:t>
            </w:r>
          </w:p>
        </w:tc>
      </w:tr>
      <w:tr w14:paraId="0390F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vAlign w:val="center"/>
          </w:tcPr>
          <w:p w14:paraId="7E25CE42">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p>
        </w:tc>
        <w:tc>
          <w:tcPr>
            <w:tcW w:w="708" w:type="pct"/>
            <w:vAlign w:val="center"/>
          </w:tcPr>
          <w:p w14:paraId="3560D165">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氨氮</w:t>
            </w:r>
          </w:p>
        </w:tc>
        <w:tc>
          <w:tcPr>
            <w:tcW w:w="532" w:type="pct"/>
            <w:vAlign w:val="center"/>
          </w:tcPr>
          <w:p w14:paraId="4F594214">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440" w:type="pct"/>
            <w:vAlign w:val="center"/>
          </w:tcPr>
          <w:p w14:paraId="1A7A73CB">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95" w:type="pct"/>
            <w:vAlign w:val="center"/>
          </w:tcPr>
          <w:p w14:paraId="636983B9">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542" w:type="pct"/>
            <w:vAlign w:val="center"/>
          </w:tcPr>
          <w:p w14:paraId="4E82E28D">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617" w:type="pct"/>
            <w:vAlign w:val="center"/>
          </w:tcPr>
          <w:p w14:paraId="219A1B2D">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p>
        </w:tc>
        <w:tc>
          <w:tcPr>
            <w:tcW w:w="691" w:type="pct"/>
            <w:vAlign w:val="center"/>
          </w:tcPr>
          <w:p w14:paraId="54CA5882">
            <w:pPr>
              <w:pStyle w:val="48"/>
              <w:spacing w:beforeLines="0" w:afterLines="0" w:line="240" w:lineRule="auto"/>
              <w:ind w:left="0" w:leftChars="0"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rPr>
              <w:t>/</w:t>
            </w:r>
          </w:p>
        </w:tc>
        <w:tc>
          <w:tcPr>
            <w:tcW w:w="473" w:type="pct"/>
            <w:vAlign w:val="center"/>
          </w:tcPr>
          <w:p w14:paraId="4BDD5641">
            <w:pPr>
              <w:pStyle w:val="48"/>
              <w:spacing w:beforeLines="0" w:afterLines="0" w:line="240" w:lineRule="auto"/>
              <w:ind w:left="0" w:leftChars="0"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rPr>
              <w:t>/</w:t>
            </w:r>
          </w:p>
        </w:tc>
      </w:tr>
      <w:tr w14:paraId="31427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97" w:type="pct"/>
            <w:vMerge w:val="restart"/>
            <w:vAlign w:val="center"/>
          </w:tcPr>
          <w:p w14:paraId="66D72A40">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一般工业固体废物</w:t>
            </w:r>
          </w:p>
        </w:tc>
        <w:tc>
          <w:tcPr>
            <w:tcW w:w="708" w:type="pct"/>
            <w:vAlign w:val="center"/>
          </w:tcPr>
          <w:p w14:paraId="11475B97">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生活垃圾</w:t>
            </w:r>
          </w:p>
        </w:tc>
        <w:tc>
          <w:tcPr>
            <w:tcW w:w="532" w:type="pct"/>
            <w:vAlign w:val="center"/>
          </w:tcPr>
          <w:p w14:paraId="73D08998">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440" w:type="pct"/>
            <w:vAlign w:val="center"/>
          </w:tcPr>
          <w:p w14:paraId="787B8BB2">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595" w:type="pct"/>
            <w:vAlign w:val="center"/>
          </w:tcPr>
          <w:p w14:paraId="3E025E26">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542" w:type="pct"/>
            <w:vAlign w:val="center"/>
          </w:tcPr>
          <w:p w14:paraId="36324F03">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3t/a</w:t>
            </w:r>
          </w:p>
        </w:tc>
        <w:tc>
          <w:tcPr>
            <w:tcW w:w="617" w:type="pct"/>
            <w:vAlign w:val="center"/>
          </w:tcPr>
          <w:p w14:paraId="106AD11A">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944" w:type="dxa"/>
            <w:vAlign w:val="center"/>
          </w:tcPr>
          <w:p w14:paraId="09462D71">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3t/a</w:t>
            </w:r>
          </w:p>
        </w:tc>
        <w:tc>
          <w:tcPr>
            <w:tcW w:w="1331" w:type="dxa"/>
            <w:vAlign w:val="center"/>
          </w:tcPr>
          <w:p w14:paraId="6B491F9F">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+3t/a</w:t>
            </w:r>
          </w:p>
        </w:tc>
      </w:tr>
      <w:tr w14:paraId="5B2FE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1" w:hRule="atLeast"/>
          <w:jc w:val="center"/>
        </w:trPr>
        <w:tc>
          <w:tcPr>
            <w:tcW w:w="397" w:type="pct"/>
            <w:vMerge w:val="continue"/>
            <w:vAlign w:val="center"/>
          </w:tcPr>
          <w:p w14:paraId="5822A6AE">
            <w:pPr>
              <w:adjustRightInd w:val="0"/>
              <w:snapToGrid w:val="0"/>
              <w:jc w:val="center"/>
              <w:rPr>
                <w:rFonts w:hint="default" w:ascii="Times New Roman" w:hAnsi="Times New Roman" w:cs="Times New Roman"/>
                <w:color w:val="auto"/>
                <w:sz w:val="21"/>
                <w:szCs w:val="21"/>
              </w:rPr>
            </w:pPr>
          </w:p>
        </w:tc>
        <w:tc>
          <w:tcPr>
            <w:tcW w:w="1991" w:type="dxa"/>
            <w:vAlign w:val="center"/>
          </w:tcPr>
          <w:p w14:paraId="551A22E9">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边角料</w:t>
            </w:r>
          </w:p>
        </w:tc>
        <w:tc>
          <w:tcPr>
            <w:tcW w:w="532" w:type="pct"/>
            <w:vAlign w:val="center"/>
          </w:tcPr>
          <w:p w14:paraId="4BA299BA">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440" w:type="pct"/>
            <w:vAlign w:val="center"/>
          </w:tcPr>
          <w:p w14:paraId="0A15695D">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595" w:type="pct"/>
            <w:vAlign w:val="center"/>
          </w:tcPr>
          <w:p w14:paraId="0EA3D72C">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25" w:type="dxa"/>
            <w:vAlign w:val="center"/>
          </w:tcPr>
          <w:p w14:paraId="7D51C331">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2000t/a</w:t>
            </w:r>
          </w:p>
        </w:tc>
        <w:tc>
          <w:tcPr>
            <w:tcW w:w="617" w:type="pct"/>
            <w:vAlign w:val="center"/>
          </w:tcPr>
          <w:p w14:paraId="12F71FCE">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944" w:type="dxa"/>
            <w:vAlign w:val="center"/>
          </w:tcPr>
          <w:p w14:paraId="21EDEC24">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2000t/a</w:t>
            </w:r>
          </w:p>
        </w:tc>
        <w:tc>
          <w:tcPr>
            <w:tcW w:w="1331" w:type="dxa"/>
            <w:vAlign w:val="center"/>
          </w:tcPr>
          <w:p w14:paraId="03A428F9">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+2000t/a</w:t>
            </w:r>
          </w:p>
        </w:tc>
      </w:tr>
      <w:tr w14:paraId="74259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97" w:type="pct"/>
            <w:vMerge w:val="continue"/>
            <w:vAlign w:val="center"/>
          </w:tcPr>
          <w:p w14:paraId="021EF3A2">
            <w:pPr>
              <w:pStyle w:val="48"/>
              <w:spacing w:beforeLines="0" w:afterLines="0" w:line="240" w:lineRule="auto"/>
              <w:ind w:left="0" w:leftChars="0" w:firstLine="0" w:firstLineChars="0"/>
              <w:rPr>
                <w:rFonts w:hint="default" w:ascii="Times New Roman" w:hAnsi="Times New Roman" w:cs="Times New Roman"/>
                <w:snapToGrid w:val="0"/>
                <w:color w:val="auto"/>
                <w:kern w:val="21"/>
                <w:sz w:val="21"/>
                <w:szCs w:val="21"/>
              </w:rPr>
            </w:pPr>
          </w:p>
        </w:tc>
        <w:tc>
          <w:tcPr>
            <w:tcW w:w="1991" w:type="dxa"/>
            <w:vAlign w:val="center"/>
          </w:tcPr>
          <w:p w14:paraId="06247A0C">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除尘灰</w:t>
            </w:r>
          </w:p>
        </w:tc>
        <w:tc>
          <w:tcPr>
            <w:tcW w:w="532" w:type="pct"/>
            <w:vAlign w:val="center"/>
          </w:tcPr>
          <w:p w14:paraId="55409BC8">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440" w:type="pct"/>
            <w:vAlign w:val="center"/>
          </w:tcPr>
          <w:p w14:paraId="55C71B75">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595" w:type="pct"/>
            <w:vAlign w:val="center"/>
          </w:tcPr>
          <w:p w14:paraId="3EC7A619">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25" w:type="dxa"/>
            <w:vAlign w:val="center"/>
          </w:tcPr>
          <w:p w14:paraId="3E5182F3">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1.054t/a</w:t>
            </w:r>
          </w:p>
        </w:tc>
        <w:tc>
          <w:tcPr>
            <w:tcW w:w="617" w:type="pct"/>
            <w:vAlign w:val="center"/>
          </w:tcPr>
          <w:p w14:paraId="7439EECA">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944" w:type="dxa"/>
            <w:vAlign w:val="center"/>
          </w:tcPr>
          <w:p w14:paraId="251CFCD8">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1.054t/a</w:t>
            </w:r>
          </w:p>
        </w:tc>
        <w:tc>
          <w:tcPr>
            <w:tcW w:w="1331" w:type="dxa"/>
            <w:vAlign w:val="center"/>
          </w:tcPr>
          <w:p w14:paraId="65F2F96E">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+1.054t/a</w:t>
            </w:r>
          </w:p>
        </w:tc>
      </w:tr>
      <w:tr w14:paraId="43DAB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97" w:type="pct"/>
            <w:vMerge w:val="continue"/>
            <w:vAlign w:val="center"/>
          </w:tcPr>
          <w:p w14:paraId="60EB6D2E">
            <w:pPr>
              <w:jc w:val="center"/>
              <w:rPr>
                <w:rFonts w:hint="default" w:ascii="Times New Roman" w:hAnsi="Times New Roman" w:cs="Times New Roman"/>
                <w:color w:val="auto"/>
                <w:sz w:val="21"/>
                <w:szCs w:val="21"/>
              </w:rPr>
            </w:pPr>
          </w:p>
        </w:tc>
        <w:tc>
          <w:tcPr>
            <w:tcW w:w="1991" w:type="dxa"/>
            <w:vAlign w:val="center"/>
          </w:tcPr>
          <w:p w14:paraId="602D6B8B">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炉渣</w:t>
            </w:r>
          </w:p>
        </w:tc>
        <w:tc>
          <w:tcPr>
            <w:tcW w:w="532" w:type="pct"/>
            <w:vAlign w:val="center"/>
          </w:tcPr>
          <w:p w14:paraId="45F10CEA">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440" w:type="pct"/>
            <w:vAlign w:val="center"/>
          </w:tcPr>
          <w:p w14:paraId="50B7B516">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595" w:type="pct"/>
            <w:vAlign w:val="center"/>
          </w:tcPr>
          <w:p w14:paraId="5CEBA498">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25" w:type="dxa"/>
            <w:vAlign w:val="center"/>
          </w:tcPr>
          <w:p w14:paraId="46F27DFD">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63.9t/a</w:t>
            </w:r>
          </w:p>
        </w:tc>
        <w:tc>
          <w:tcPr>
            <w:tcW w:w="617" w:type="pct"/>
            <w:vAlign w:val="center"/>
          </w:tcPr>
          <w:p w14:paraId="6DA2B5DD">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944" w:type="dxa"/>
            <w:vAlign w:val="center"/>
          </w:tcPr>
          <w:p w14:paraId="19206D29">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63.9t/a</w:t>
            </w:r>
          </w:p>
        </w:tc>
        <w:tc>
          <w:tcPr>
            <w:tcW w:w="1331" w:type="dxa"/>
            <w:vAlign w:val="center"/>
          </w:tcPr>
          <w:p w14:paraId="4245C961">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+63.9t/a</w:t>
            </w:r>
          </w:p>
        </w:tc>
      </w:tr>
      <w:tr w14:paraId="03700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97" w:type="pct"/>
            <w:vMerge w:val="continue"/>
            <w:vAlign w:val="center"/>
          </w:tcPr>
          <w:p w14:paraId="0616A703">
            <w:pPr>
              <w:jc w:val="center"/>
              <w:rPr>
                <w:rFonts w:hint="default" w:ascii="Times New Roman" w:hAnsi="Times New Roman" w:cs="Times New Roman"/>
                <w:color w:val="auto"/>
                <w:sz w:val="21"/>
                <w:szCs w:val="21"/>
              </w:rPr>
            </w:pPr>
          </w:p>
        </w:tc>
        <w:tc>
          <w:tcPr>
            <w:tcW w:w="1991" w:type="dxa"/>
            <w:vAlign w:val="center"/>
          </w:tcPr>
          <w:p w14:paraId="066F66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废树脂</w:t>
            </w:r>
          </w:p>
        </w:tc>
        <w:tc>
          <w:tcPr>
            <w:tcW w:w="532" w:type="pct"/>
            <w:shd w:val="clear" w:color="auto" w:fill="auto"/>
            <w:vAlign w:val="center"/>
          </w:tcPr>
          <w:p w14:paraId="0F4C320E">
            <w:pPr>
              <w:widowControl/>
              <w:jc w:val="center"/>
              <w:rPr>
                <w:rFonts w:hint="default" w:ascii="Times New Roman" w:hAnsi="Times New Roman" w:eastAsia="宋体" w:cs="Times New Roman"/>
                <w:snapToGrid w:val="0"/>
                <w:color w:val="auto"/>
                <w:kern w:val="21"/>
                <w:sz w:val="21"/>
                <w:szCs w:val="21"/>
                <w:lang w:val="en-US" w:eastAsia="zh-CN"/>
              </w:rPr>
            </w:pPr>
          </w:p>
        </w:tc>
        <w:tc>
          <w:tcPr>
            <w:tcW w:w="440" w:type="pct"/>
            <w:shd w:val="clear" w:color="auto" w:fill="auto"/>
            <w:vAlign w:val="center"/>
          </w:tcPr>
          <w:p w14:paraId="65A88182">
            <w:pPr>
              <w:widowControl/>
              <w:jc w:val="center"/>
              <w:rPr>
                <w:rFonts w:hint="default" w:ascii="Times New Roman" w:hAnsi="Times New Roman" w:eastAsia="宋体" w:cs="Times New Roman"/>
                <w:snapToGrid w:val="0"/>
                <w:color w:val="auto"/>
                <w:kern w:val="21"/>
                <w:sz w:val="21"/>
                <w:szCs w:val="21"/>
                <w:lang w:val="en-US" w:eastAsia="zh-CN"/>
              </w:rPr>
            </w:pPr>
          </w:p>
        </w:tc>
        <w:tc>
          <w:tcPr>
            <w:tcW w:w="595" w:type="pct"/>
            <w:shd w:val="clear" w:color="auto" w:fill="auto"/>
            <w:vAlign w:val="center"/>
          </w:tcPr>
          <w:p w14:paraId="204917F0">
            <w:pPr>
              <w:widowControl/>
              <w:jc w:val="center"/>
              <w:rPr>
                <w:rFonts w:hint="default" w:ascii="Times New Roman" w:hAnsi="Times New Roman" w:eastAsia="宋体" w:cs="Times New Roman"/>
                <w:snapToGrid w:val="0"/>
                <w:color w:val="auto"/>
                <w:kern w:val="21"/>
                <w:sz w:val="21"/>
                <w:szCs w:val="21"/>
                <w:lang w:val="en-US" w:eastAsia="zh-CN"/>
              </w:rPr>
            </w:pPr>
          </w:p>
        </w:tc>
        <w:tc>
          <w:tcPr>
            <w:tcW w:w="1525" w:type="dxa"/>
            <w:vAlign w:val="center"/>
          </w:tcPr>
          <w:p w14:paraId="348545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0.3t/a</w:t>
            </w:r>
          </w:p>
        </w:tc>
        <w:tc>
          <w:tcPr>
            <w:tcW w:w="617" w:type="pct"/>
            <w:vAlign w:val="center"/>
          </w:tcPr>
          <w:p w14:paraId="4083E1F4">
            <w:pPr>
              <w:widowControl/>
              <w:jc w:val="center"/>
              <w:rPr>
                <w:rFonts w:hint="default" w:ascii="Times New Roman" w:hAnsi="Times New Roman" w:eastAsia="宋体" w:cs="Times New Roman"/>
                <w:snapToGrid w:val="0"/>
                <w:color w:val="auto"/>
                <w:kern w:val="21"/>
                <w:sz w:val="21"/>
                <w:szCs w:val="21"/>
                <w:lang w:val="en-US" w:eastAsia="zh-CN"/>
              </w:rPr>
            </w:pPr>
          </w:p>
        </w:tc>
        <w:tc>
          <w:tcPr>
            <w:tcW w:w="1944" w:type="dxa"/>
            <w:vAlign w:val="center"/>
          </w:tcPr>
          <w:p w14:paraId="5EE9C5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0.3t/a</w:t>
            </w:r>
          </w:p>
        </w:tc>
        <w:tc>
          <w:tcPr>
            <w:tcW w:w="1331" w:type="dxa"/>
            <w:vAlign w:val="center"/>
          </w:tcPr>
          <w:p w14:paraId="6C994D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+0.3t/a</w:t>
            </w:r>
          </w:p>
        </w:tc>
      </w:tr>
      <w:tr w14:paraId="3EC01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97" w:type="pct"/>
            <w:vMerge w:val="continue"/>
            <w:vAlign w:val="center"/>
          </w:tcPr>
          <w:p w14:paraId="45283F2D">
            <w:pPr>
              <w:jc w:val="center"/>
              <w:rPr>
                <w:rFonts w:hint="default" w:ascii="Times New Roman" w:hAnsi="Times New Roman" w:cs="Times New Roman"/>
                <w:color w:val="auto"/>
                <w:sz w:val="21"/>
                <w:szCs w:val="21"/>
              </w:rPr>
            </w:pPr>
          </w:p>
        </w:tc>
        <w:tc>
          <w:tcPr>
            <w:tcW w:w="1991" w:type="dxa"/>
            <w:vAlign w:val="center"/>
          </w:tcPr>
          <w:p w14:paraId="0857CF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废布袋</w:t>
            </w:r>
          </w:p>
        </w:tc>
        <w:tc>
          <w:tcPr>
            <w:tcW w:w="532" w:type="pct"/>
            <w:shd w:val="clear" w:color="auto" w:fill="auto"/>
            <w:vAlign w:val="center"/>
          </w:tcPr>
          <w:p w14:paraId="12BBB835">
            <w:pPr>
              <w:widowControl/>
              <w:jc w:val="center"/>
              <w:rPr>
                <w:rFonts w:hint="default" w:ascii="Times New Roman" w:hAnsi="Times New Roman" w:eastAsia="宋体" w:cs="Times New Roman"/>
                <w:snapToGrid w:val="0"/>
                <w:color w:val="auto"/>
                <w:kern w:val="21"/>
                <w:sz w:val="21"/>
                <w:szCs w:val="21"/>
                <w:lang w:val="en-US" w:eastAsia="zh-CN"/>
              </w:rPr>
            </w:pPr>
          </w:p>
        </w:tc>
        <w:tc>
          <w:tcPr>
            <w:tcW w:w="440" w:type="pct"/>
            <w:shd w:val="clear" w:color="auto" w:fill="auto"/>
            <w:vAlign w:val="center"/>
          </w:tcPr>
          <w:p w14:paraId="305378C1">
            <w:pPr>
              <w:widowControl/>
              <w:jc w:val="center"/>
              <w:rPr>
                <w:rFonts w:hint="default" w:ascii="Times New Roman" w:hAnsi="Times New Roman" w:eastAsia="宋体" w:cs="Times New Roman"/>
                <w:snapToGrid w:val="0"/>
                <w:color w:val="auto"/>
                <w:kern w:val="21"/>
                <w:sz w:val="21"/>
                <w:szCs w:val="21"/>
                <w:lang w:val="en-US" w:eastAsia="zh-CN"/>
              </w:rPr>
            </w:pPr>
          </w:p>
        </w:tc>
        <w:tc>
          <w:tcPr>
            <w:tcW w:w="595" w:type="pct"/>
            <w:shd w:val="clear" w:color="auto" w:fill="auto"/>
            <w:vAlign w:val="center"/>
          </w:tcPr>
          <w:p w14:paraId="2824C140">
            <w:pPr>
              <w:widowControl/>
              <w:jc w:val="center"/>
              <w:rPr>
                <w:rFonts w:hint="default" w:ascii="Times New Roman" w:hAnsi="Times New Roman" w:eastAsia="宋体" w:cs="Times New Roman"/>
                <w:snapToGrid w:val="0"/>
                <w:color w:val="auto"/>
                <w:kern w:val="21"/>
                <w:sz w:val="21"/>
                <w:szCs w:val="21"/>
                <w:lang w:val="en-US" w:eastAsia="zh-CN"/>
              </w:rPr>
            </w:pPr>
          </w:p>
        </w:tc>
        <w:tc>
          <w:tcPr>
            <w:tcW w:w="1525" w:type="dxa"/>
            <w:vAlign w:val="center"/>
          </w:tcPr>
          <w:p w14:paraId="6F0565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0.01t/a</w:t>
            </w:r>
          </w:p>
        </w:tc>
        <w:tc>
          <w:tcPr>
            <w:tcW w:w="617" w:type="pct"/>
            <w:vAlign w:val="center"/>
          </w:tcPr>
          <w:p w14:paraId="56ADD96E">
            <w:pPr>
              <w:widowControl/>
              <w:jc w:val="center"/>
              <w:rPr>
                <w:rFonts w:hint="default" w:ascii="Times New Roman" w:hAnsi="Times New Roman" w:eastAsia="宋体" w:cs="Times New Roman"/>
                <w:snapToGrid w:val="0"/>
                <w:color w:val="auto"/>
                <w:kern w:val="21"/>
                <w:sz w:val="21"/>
                <w:szCs w:val="21"/>
                <w:lang w:val="en-US" w:eastAsia="zh-CN"/>
              </w:rPr>
            </w:pPr>
          </w:p>
        </w:tc>
        <w:tc>
          <w:tcPr>
            <w:tcW w:w="1944" w:type="dxa"/>
            <w:vAlign w:val="center"/>
          </w:tcPr>
          <w:p w14:paraId="56726B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0.01t/a</w:t>
            </w:r>
          </w:p>
        </w:tc>
        <w:tc>
          <w:tcPr>
            <w:tcW w:w="1331" w:type="dxa"/>
            <w:vAlign w:val="center"/>
          </w:tcPr>
          <w:p w14:paraId="7E08A7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+0.01t/a</w:t>
            </w:r>
          </w:p>
        </w:tc>
      </w:tr>
      <w:tr w14:paraId="72887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97" w:type="pct"/>
            <w:vMerge w:val="continue"/>
            <w:vAlign w:val="center"/>
          </w:tcPr>
          <w:p w14:paraId="6D0D0FF3">
            <w:pPr>
              <w:jc w:val="center"/>
              <w:rPr>
                <w:rFonts w:hint="default" w:ascii="Times New Roman" w:hAnsi="Times New Roman" w:cs="Times New Roman"/>
                <w:color w:val="auto"/>
                <w:sz w:val="21"/>
                <w:szCs w:val="21"/>
              </w:rPr>
            </w:pPr>
          </w:p>
        </w:tc>
        <w:tc>
          <w:tcPr>
            <w:tcW w:w="1991" w:type="dxa"/>
            <w:vAlign w:val="center"/>
          </w:tcPr>
          <w:p w14:paraId="43FEC1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沉淀池沉渣</w:t>
            </w:r>
          </w:p>
        </w:tc>
        <w:tc>
          <w:tcPr>
            <w:tcW w:w="532" w:type="pct"/>
            <w:shd w:val="clear" w:color="auto" w:fill="auto"/>
            <w:vAlign w:val="center"/>
          </w:tcPr>
          <w:p w14:paraId="31C08D65">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440" w:type="pct"/>
            <w:shd w:val="clear" w:color="auto" w:fill="auto"/>
            <w:vAlign w:val="center"/>
          </w:tcPr>
          <w:p w14:paraId="589DBB91">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595" w:type="pct"/>
            <w:shd w:val="clear" w:color="auto" w:fill="auto"/>
            <w:vAlign w:val="center"/>
          </w:tcPr>
          <w:p w14:paraId="05BAD7D0">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25" w:type="dxa"/>
            <w:vAlign w:val="center"/>
          </w:tcPr>
          <w:p w14:paraId="67FECC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3t/a</w:t>
            </w:r>
          </w:p>
        </w:tc>
        <w:tc>
          <w:tcPr>
            <w:tcW w:w="617" w:type="pct"/>
            <w:vAlign w:val="center"/>
          </w:tcPr>
          <w:p w14:paraId="110A4F2D">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944" w:type="dxa"/>
            <w:vAlign w:val="center"/>
          </w:tcPr>
          <w:p w14:paraId="61C710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3t/a</w:t>
            </w:r>
          </w:p>
        </w:tc>
        <w:tc>
          <w:tcPr>
            <w:tcW w:w="1331" w:type="dxa"/>
            <w:vAlign w:val="center"/>
          </w:tcPr>
          <w:p w14:paraId="3C6CC0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3t/a</w:t>
            </w:r>
          </w:p>
        </w:tc>
      </w:tr>
      <w:tr w14:paraId="6C48F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97" w:type="pct"/>
            <w:vMerge w:val="restart"/>
            <w:vAlign w:val="center"/>
          </w:tcPr>
          <w:p w14:paraId="2DC08AF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tc>
        <w:tc>
          <w:tcPr>
            <w:tcW w:w="1991" w:type="dxa"/>
            <w:vAlign w:val="center"/>
          </w:tcPr>
          <w:p w14:paraId="67B8BD66">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废润滑油</w:t>
            </w:r>
          </w:p>
        </w:tc>
        <w:tc>
          <w:tcPr>
            <w:tcW w:w="532" w:type="pct"/>
            <w:vAlign w:val="center"/>
          </w:tcPr>
          <w:p w14:paraId="31CC2978">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440" w:type="pct"/>
            <w:vAlign w:val="center"/>
          </w:tcPr>
          <w:p w14:paraId="5E04F8FC">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595" w:type="pct"/>
            <w:vAlign w:val="center"/>
          </w:tcPr>
          <w:p w14:paraId="4F638E41">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25" w:type="dxa"/>
            <w:vAlign w:val="center"/>
          </w:tcPr>
          <w:p w14:paraId="1F85FDDE">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0.02t/a</w:t>
            </w:r>
          </w:p>
        </w:tc>
        <w:tc>
          <w:tcPr>
            <w:tcW w:w="617" w:type="pct"/>
            <w:vAlign w:val="center"/>
          </w:tcPr>
          <w:p w14:paraId="0D15BEAF">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944" w:type="dxa"/>
            <w:vAlign w:val="center"/>
          </w:tcPr>
          <w:p w14:paraId="21B23809">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0.02t/a</w:t>
            </w:r>
          </w:p>
        </w:tc>
        <w:tc>
          <w:tcPr>
            <w:tcW w:w="1331" w:type="dxa"/>
            <w:vAlign w:val="center"/>
          </w:tcPr>
          <w:p w14:paraId="06CB1FD1">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+0.02t/a</w:t>
            </w:r>
          </w:p>
        </w:tc>
      </w:tr>
      <w:tr w14:paraId="6DE82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97" w:type="pct"/>
            <w:vMerge w:val="continue"/>
            <w:vAlign w:val="center"/>
          </w:tcPr>
          <w:p w14:paraId="4FC11834">
            <w:pPr>
              <w:pStyle w:val="48"/>
              <w:spacing w:beforeLines="0" w:afterLines="0" w:line="240" w:lineRule="auto"/>
              <w:ind w:left="0" w:leftChars="0" w:firstLine="0" w:firstLineChars="0"/>
              <w:rPr>
                <w:rFonts w:hint="default" w:ascii="Times New Roman" w:hAnsi="Times New Roman" w:cs="Times New Roman"/>
                <w:color w:val="auto"/>
                <w:sz w:val="21"/>
                <w:szCs w:val="21"/>
              </w:rPr>
            </w:pPr>
          </w:p>
        </w:tc>
        <w:tc>
          <w:tcPr>
            <w:tcW w:w="1991" w:type="dxa"/>
            <w:vAlign w:val="center"/>
          </w:tcPr>
          <w:p w14:paraId="7CFF108B">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废润滑油桶</w:t>
            </w:r>
          </w:p>
        </w:tc>
        <w:tc>
          <w:tcPr>
            <w:tcW w:w="532" w:type="pct"/>
            <w:vAlign w:val="center"/>
          </w:tcPr>
          <w:p w14:paraId="70CBF517">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440" w:type="pct"/>
            <w:vAlign w:val="center"/>
          </w:tcPr>
          <w:p w14:paraId="4358B306">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595" w:type="pct"/>
            <w:vAlign w:val="center"/>
          </w:tcPr>
          <w:p w14:paraId="7E52E00F">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25" w:type="dxa"/>
            <w:vAlign w:val="center"/>
          </w:tcPr>
          <w:p w14:paraId="5ED93175">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0.008t/a</w:t>
            </w:r>
          </w:p>
        </w:tc>
        <w:tc>
          <w:tcPr>
            <w:tcW w:w="617" w:type="pct"/>
            <w:vAlign w:val="center"/>
          </w:tcPr>
          <w:p w14:paraId="0900104C">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944" w:type="dxa"/>
            <w:vAlign w:val="center"/>
          </w:tcPr>
          <w:p w14:paraId="307C0375">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0.008t/a</w:t>
            </w:r>
          </w:p>
        </w:tc>
        <w:tc>
          <w:tcPr>
            <w:tcW w:w="1331" w:type="dxa"/>
            <w:vAlign w:val="center"/>
          </w:tcPr>
          <w:p w14:paraId="56351C98">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+0.008t/a</w:t>
            </w:r>
          </w:p>
        </w:tc>
      </w:tr>
      <w:tr w14:paraId="61E38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97" w:type="pct"/>
            <w:vMerge w:val="continue"/>
            <w:vAlign w:val="center"/>
          </w:tcPr>
          <w:p w14:paraId="4AA7A59C">
            <w:pPr>
              <w:pStyle w:val="48"/>
              <w:spacing w:beforeLines="0" w:afterLines="0" w:line="240" w:lineRule="auto"/>
              <w:ind w:left="0" w:leftChars="0" w:firstLine="0" w:firstLineChars="0"/>
              <w:rPr>
                <w:rFonts w:hint="default" w:ascii="Times New Roman" w:hAnsi="Times New Roman" w:cs="Times New Roman"/>
                <w:color w:val="auto"/>
                <w:sz w:val="21"/>
                <w:szCs w:val="21"/>
              </w:rPr>
            </w:pPr>
          </w:p>
        </w:tc>
        <w:tc>
          <w:tcPr>
            <w:tcW w:w="1991" w:type="dxa"/>
            <w:vAlign w:val="center"/>
          </w:tcPr>
          <w:p w14:paraId="3BC6CB63">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废催化剂</w:t>
            </w:r>
          </w:p>
        </w:tc>
        <w:tc>
          <w:tcPr>
            <w:tcW w:w="532" w:type="pct"/>
            <w:vAlign w:val="center"/>
          </w:tcPr>
          <w:p w14:paraId="0AE8B596">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440" w:type="pct"/>
            <w:vAlign w:val="center"/>
          </w:tcPr>
          <w:p w14:paraId="2A4D90F1">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595" w:type="pct"/>
            <w:vAlign w:val="center"/>
          </w:tcPr>
          <w:p w14:paraId="12F67535">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25" w:type="dxa"/>
            <w:vAlign w:val="center"/>
          </w:tcPr>
          <w:p w14:paraId="1CD4F876">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0.05t/a</w:t>
            </w:r>
          </w:p>
        </w:tc>
        <w:tc>
          <w:tcPr>
            <w:tcW w:w="617" w:type="pct"/>
            <w:vAlign w:val="center"/>
          </w:tcPr>
          <w:p w14:paraId="2D88B134">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944" w:type="dxa"/>
            <w:vAlign w:val="center"/>
          </w:tcPr>
          <w:p w14:paraId="7D0FD4B9">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0.05t/a</w:t>
            </w:r>
          </w:p>
        </w:tc>
        <w:tc>
          <w:tcPr>
            <w:tcW w:w="1331" w:type="dxa"/>
            <w:vAlign w:val="center"/>
          </w:tcPr>
          <w:p w14:paraId="399265A8">
            <w:pPr>
              <w:widowControl/>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+0.05t/a</w:t>
            </w:r>
          </w:p>
        </w:tc>
      </w:tr>
    </w:tbl>
    <w:p w14:paraId="25BA1AD2">
      <w:pPr>
        <w:pStyle w:val="48"/>
        <w:spacing w:before="192" w:beforeLines="80" w:after="24"/>
        <w:ind w:left="0" w:leftChars="0" w:firstLine="0" w:firstLineChars="0"/>
        <w:jc w:val="left"/>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sectPr>
      <w:footerReference r:id="rId7" w:type="default"/>
      <w:pgSz w:w="16838" w:h="11905" w:orient="landscape"/>
      <w:pgMar w:top="1417" w:right="1417" w:bottom="1417" w:left="1417" w:header="851" w:footer="1077" w:gutter="0"/>
      <w:cols w:space="0" w:num="1"/>
      <w:rtlGutter w:val="0"/>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9921E6-E898-4E6F-A413-6D0F3DDBE5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altName w:val="黑体"/>
    <w:panose1 w:val="00000000000000000000"/>
    <w:charset w:val="86"/>
    <w:family w:val="script"/>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ont-weight : 400">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A00002AF" w:usb1="400078FB" w:usb2="00000000" w:usb3="00000000" w:csb0="6000009F" w:csb1="DFD7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embedRegular r:id="rId2" w:fontKey="{EFC5335D-BF72-47E1-9891-37075CB724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3114D">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EE953">
    <w:pPr>
      <w:pStyle w:val="21"/>
      <w:framePr w:wrap="around" w:vAnchor="text" w:hAnchor="margin" w:xAlign="center" w:y="1"/>
      <w:rPr>
        <w:rStyle w:val="35"/>
      </w:rPr>
    </w:pPr>
    <w:r>
      <w:fldChar w:fldCharType="begin"/>
    </w:r>
    <w:r>
      <w:rPr>
        <w:rStyle w:val="35"/>
      </w:rPr>
      <w:instrText xml:space="preserve">PAGE  </w:instrText>
    </w:r>
    <w:r>
      <w:fldChar w:fldCharType="end"/>
    </w:r>
  </w:p>
  <w:p w14:paraId="705A78E6">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BEBBF">
    <w:pPr>
      <w:pStyle w:val="21"/>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5FB8C">
                          <w:pPr>
                            <w:pStyle w:val="21"/>
                          </w:pPr>
                          <w:r>
                            <w:rPr>
                              <w:rFonts w:hint="eastAsia"/>
                            </w:rPr>
                            <w:fldChar w:fldCharType="begin"/>
                          </w:r>
                          <w:r>
                            <w:rPr>
                              <w:rFonts w:hint="eastAsia"/>
                            </w:rPr>
                            <w:instrText xml:space="preserve"> PAGE  \* MERGEFORMAT </w:instrText>
                          </w:r>
                          <w:r>
                            <w:rPr>
                              <w:rFonts w:hint="eastAsia"/>
                            </w:rPr>
                            <w:fldChar w:fldCharType="separate"/>
                          </w:r>
                          <w:r>
                            <w:t>69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D35FB8C">
                    <w:pPr>
                      <w:pStyle w:val="21"/>
                    </w:pPr>
                    <w:r>
                      <w:rPr>
                        <w:rFonts w:hint="eastAsia"/>
                      </w:rPr>
                      <w:fldChar w:fldCharType="begin"/>
                    </w:r>
                    <w:r>
                      <w:rPr>
                        <w:rFonts w:hint="eastAsia"/>
                      </w:rPr>
                      <w:instrText xml:space="preserve"> PAGE  \* MERGEFORMAT </w:instrText>
                    </w:r>
                    <w:r>
                      <w:rPr>
                        <w:rFonts w:hint="eastAsia"/>
                      </w:rPr>
                      <w:fldChar w:fldCharType="separate"/>
                    </w:r>
                    <w:r>
                      <w:t>69</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18282">
    <w:pPr>
      <w:pStyle w:val="21"/>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6AD51">
                          <w:pPr>
                            <w:pStyle w:val="21"/>
                          </w:pPr>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066AD51">
                    <w:pPr>
                      <w:pStyle w:val="21"/>
                    </w:pPr>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2D74D">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891448"/>
    <w:multiLevelType w:val="multilevel"/>
    <w:tmpl w:val="1E891448"/>
    <w:lvl w:ilvl="0" w:tentative="0">
      <w:start w:val="1"/>
      <w:numFmt w:val="decimal"/>
      <w:lvlText w:val="%1"/>
      <w:lvlJc w:val="left"/>
      <w:pPr>
        <w:ind w:left="432" w:hanging="432"/>
      </w:pPr>
    </w:lvl>
    <w:lvl w:ilvl="1" w:tentative="0">
      <w:start w:val="1"/>
      <w:numFmt w:val="decimal"/>
      <w:lvlText w:val="%1.%2"/>
      <w:lvlJc w:val="left"/>
      <w:pPr>
        <w:ind w:left="860" w:hanging="576"/>
      </w:pPr>
    </w:lvl>
    <w:lvl w:ilvl="2" w:tentative="0">
      <w:start w:val="1"/>
      <w:numFmt w:val="decimal"/>
      <w:pStyle w:val="4"/>
      <w:lvlText w:val="%1.%2.%3"/>
      <w:lvlJc w:val="left"/>
      <w:pPr>
        <w:ind w:left="228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2AB68F24"/>
    <w:multiLevelType w:val="multilevel"/>
    <w:tmpl w:val="2AB68F24"/>
    <w:lvl w:ilvl="0" w:tentative="0">
      <w:start w:val="1"/>
      <w:numFmt w:val="decimal"/>
      <w:pStyle w:val="113"/>
      <w:suff w:val="space"/>
      <w:lvlText w:val="表%1"/>
      <w:lvlJc w:val="left"/>
      <w:pPr>
        <w:tabs>
          <w:tab w:val="left" w:pos="420"/>
        </w:tabs>
        <w:ind w:left="425" w:hanging="425"/>
      </w:pPr>
      <w:rPr>
        <w:rFonts w:hint="default"/>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37911A27"/>
    <w:multiLevelType w:val="singleLevel"/>
    <w:tmpl w:val="37911A27"/>
    <w:lvl w:ilvl="0" w:tentative="0">
      <w:start w:val="4"/>
      <w:numFmt w:val="chineseCounting"/>
      <w:suff w:val="nothing"/>
      <w:lvlText w:val="%1、"/>
      <w:lvlJc w:val="left"/>
      <w:rPr>
        <w:rFonts w:hint="eastAsia"/>
      </w:rPr>
    </w:lvl>
  </w:abstractNum>
  <w:abstractNum w:abstractNumId="3">
    <w:nsid w:val="57B467DD"/>
    <w:multiLevelType w:val="singleLevel"/>
    <w:tmpl w:val="57B467DD"/>
    <w:lvl w:ilvl="0" w:tentative="0">
      <w:start w:val="2"/>
      <w:numFmt w:val="decimal"/>
      <w:suff w:val="nothing"/>
      <w:lvlText w:val="%1、"/>
      <w:lvlJc w:val="left"/>
    </w:lvl>
  </w:abstractNum>
  <w:abstractNum w:abstractNumId="4">
    <w:nsid w:val="6B6B239E"/>
    <w:multiLevelType w:val="multilevel"/>
    <w:tmpl w:val="6B6B239E"/>
    <w:lvl w:ilvl="0" w:tentative="0">
      <w:start w:val="1"/>
      <w:numFmt w:val="decimal"/>
      <w:lvlText w:val="%1"/>
      <w:lvlJc w:val="left"/>
      <w:pPr>
        <w:tabs>
          <w:tab w:val="left" w:pos="558"/>
        </w:tabs>
        <w:ind w:left="558" w:hanging="432"/>
      </w:pPr>
      <w:rPr>
        <w:rFonts w:hint="eastAsia" w:ascii="仿宋_GB2312" w:eastAsia="仿宋_GB2312"/>
        <w:b w:val="0"/>
        <w:i w:val="0"/>
        <w:sz w:val="32"/>
        <w:szCs w:val="32"/>
      </w:rPr>
    </w:lvl>
    <w:lvl w:ilvl="1" w:tentative="0">
      <w:start w:val="1"/>
      <w:numFmt w:val="decimal"/>
      <w:lvlText w:val="%1.%2"/>
      <w:lvlJc w:val="left"/>
      <w:pPr>
        <w:tabs>
          <w:tab w:val="left" w:pos="807"/>
        </w:tabs>
        <w:ind w:left="807" w:hanging="576"/>
      </w:pPr>
      <w:rPr>
        <w:rFonts w:hint="eastAsia" w:ascii="仿宋_GB2312" w:eastAsia="仿宋_GB2312"/>
        <w:b/>
        <w:i w:val="0"/>
        <w:sz w:val="30"/>
      </w:rPr>
    </w:lvl>
    <w:lvl w:ilvl="2" w:tentative="0">
      <w:start w:val="1"/>
      <w:numFmt w:val="decimal"/>
      <w:lvlText w:val="%1.%2.%3"/>
      <w:lvlJc w:val="left"/>
      <w:pPr>
        <w:tabs>
          <w:tab w:val="left" w:pos="804"/>
        </w:tabs>
        <w:ind w:left="804" w:hanging="720"/>
      </w:pPr>
      <w:rPr>
        <w:rFonts w:hint="eastAsia" w:ascii="仿宋_GB2312" w:eastAsia="仿宋_GB2312"/>
      </w:rPr>
    </w:lvl>
    <w:lvl w:ilvl="3" w:tentative="0">
      <w:start w:val="1"/>
      <w:numFmt w:val="decimal"/>
      <w:lvlText w:val="%1.%2.%3.%4"/>
      <w:lvlJc w:val="left"/>
      <w:pPr>
        <w:tabs>
          <w:tab w:val="left" w:pos="2072"/>
        </w:tabs>
        <w:ind w:left="1856" w:hanging="864"/>
      </w:pPr>
      <w:rPr>
        <w:rFonts w:hint="eastAsia" w:ascii="仿宋_GB2312" w:eastAsia="仿宋_GB2312"/>
        <w:b w:val="0"/>
        <w:i w:val="0"/>
        <w:sz w:val="28"/>
      </w:rPr>
    </w:lvl>
    <w:lvl w:ilvl="4" w:tentative="0">
      <w:start w:val="1"/>
      <w:numFmt w:val="decimal"/>
      <w:lvlText w:val="%1.%2.%3.%4.%5"/>
      <w:lvlJc w:val="left"/>
      <w:pPr>
        <w:tabs>
          <w:tab w:val="left" w:pos="1008"/>
        </w:tabs>
        <w:ind w:left="1008" w:hanging="1008"/>
      </w:pPr>
      <w:rPr>
        <w:rFonts w:hint="eastAsia" w:ascii="仿宋_GB2312" w:eastAsia="仿宋_GB2312"/>
      </w:rPr>
    </w:lvl>
    <w:lvl w:ilvl="5" w:tentative="0">
      <w:start w:val="1"/>
      <w:numFmt w:val="decimal"/>
      <w:pStyle w:val="6"/>
      <w:lvlText w:val="%1.%2.%3.%4.%5.%6"/>
      <w:lvlJc w:val="left"/>
      <w:pPr>
        <w:tabs>
          <w:tab w:val="left" w:pos="3278"/>
        </w:tabs>
        <w:ind w:left="3278"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40"/>
  <w:drawingGridVerticalSpacing w:val="167"/>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4ZjQ2ZDBjYjA1N2ViM2VkMGE2NTUyOGZiYmFkNDkifQ=="/>
  </w:docVars>
  <w:rsids>
    <w:rsidRoot w:val="00172A27"/>
    <w:rsid w:val="00003A5E"/>
    <w:rsid w:val="000060B3"/>
    <w:rsid w:val="00021BC4"/>
    <w:rsid w:val="00025568"/>
    <w:rsid w:val="00033B7B"/>
    <w:rsid w:val="000426C5"/>
    <w:rsid w:val="0004364B"/>
    <w:rsid w:val="000531C1"/>
    <w:rsid w:val="00061B1F"/>
    <w:rsid w:val="00066ACD"/>
    <w:rsid w:val="000733C4"/>
    <w:rsid w:val="00074783"/>
    <w:rsid w:val="000761BB"/>
    <w:rsid w:val="0008070B"/>
    <w:rsid w:val="000810AC"/>
    <w:rsid w:val="00081A00"/>
    <w:rsid w:val="00081A02"/>
    <w:rsid w:val="00082231"/>
    <w:rsid w:val="000853CE"/>
    <w:rsid w:val="00092D38"/>
    <w:rsid w:val="0009377B"/>
    <w:rsid w:val="000A20C9"/>
    <w:rsid w:val="000B058F"/>
    <w:rsid w:val="000B4467"/>
    <w:rsid w:val="000B4DB9"/>
    <w:rsid w:val="000C09AC"/>
    <w:rsid w:val="000C767F"/>
    <w:rsid w:val="000D25D1"/>
    <w:rsid w:val="000D5A44"/>
    <w:rsid w:val="000D6191"/>
    <w:rsid w:val="000E3ED2"/>
    <w:rsid w:val="000F0545"/>
    <w:rsid w:val="00115E07"/>
    <w:rsid w:val="001170B4"/>
    <w:rsid w:val="00131F42"/>
    <w:rsid w:val="001357F1"/>
    <w:rsid w:val="00137B16"/>
    <w:rsid w:val="00140B7C"/>
    <w:rsid w:val="00140FA8"/>
    <w:rsid w:val="0014262E"/>
    <w:rsid w:val="00142FEB"/>
    <w:rsid w:val="00143A2D"/>
    <w:rsid w:val="00145A41"/>
    <w:rsid w:val="00147AC4"/>
    <w:rsid w:val="00151675"/>
    <w:rsid w:val="00157435"/>
    <w:rsid w:val="00161729"/>
    <w:rsid w:val="001663A7"/>
    <w:rsid w:val="00171207"/>
    <w:rsid w:val="0017504D"/>
    <w:rsid w:val="0017671A"/>
    <w:rsid w:val="0017706A"/>
    <w:rsid w:val="00177422"/>
    <w:rsid w:val="00180F33"/>
    <w:rsid w:val="00183CBD"/>
    <w:rsid w:val="00184590"/>
    <w:rsid w:val="00184A64"/>
    <w:rsid w:val="001870D1"/>
    <w:rsid w:val="0018781E"/>
    <w:rsid w:val="00190A64"/>
    <w:rsid w:val="0019262D"/>
    <w:rsid w:val="001A1B35"/>
    <w:rsid w:val="001A48A2"/>
    <w:rsid w:val="001A6F61"/>
    <w:rsid w:val="001B2907"/>
    <w:rsid w:val="001B72B8"/>
    <w:rsid w:val="001C69B3"/>
    <w:rsid w:val="001D5595"/>
    <w:rsid w:val="001D7874"/>
    <w:rsid w:val="001D7F22"/>
    <w:rsid w:val="001E5304"/>
    <w:rsid w:val="001E6469"/>
    <w:rsid w:val="001F0F17"/>
    <w:rsid w:val="001F3347"/>
    <w:rsid w:val="001F4C57"/>
    <w:rsid w:val="001F69E4"/>
    <w:rsid w:val="002125B4"/>
    <w:rsid w:val="002155B8"/>
    <w:rsid w:val="00217D36"/>
    <w:rsid w:val="00220622"/>
    <w:rsid w:val="00220A03"/>
    <w:rsid w:val="00224839"/>
    <w:rsid w:val="002249B2"/>
    <w:rsid w:val="00226574"/>
    <w:rsid w:val="002278EC"/>
    <w:rsid w:val="0023280E"/>
    <w:rsid w:val="00236AF3"/>
    <w:rsid w:val="002377D1"/>
    <w:rsid w:val="00243010"/>
    <w:rsid w:val="002506BC"/>
    <w:rsid w:val="00254345"/>
    <w:rsid w:val="00255B12"/>
    <w:rsid w:val="00262C70"/>
    <w:rsid w:val="00264557"/>
    <w:rsid w:val="00277FD5"/>
    <w:rsid w:val="002805AB"/>
    <w:rsid w:val="00284204"/>
    <w:rsid w:val="002860FC"/>
    <w:rsid w:val="00291773"/>
    <w:rsid w:val="002A168C"/>
    <w:rsid w:val="002A3DC7"/>
    <w:rsid w:val="002A42C8"/>
    <w:rsid w:val="002B49E2"/>
    <w:rsid w:val="002B7B00"/>
    <w:rsid w:val="002B7C44"/>
    <w:rsid w:val="002C2B17"/>
    <w:rsid w:val="002C6B9A"/>
    <w:rsid w:val="002D3DD0"/>
    <w:rsid w:val="002E1F3A"/>
    <w:rsid w:val="002E298A"/>
    <w:rsid w:val="00301978"/>
    <w:rsid w:val="0030332C"/>
    <w:rsid w:val="003051C2"/>
    <w:rsid w:val="00312296"/>
    <w:rsid w:val="00314F0E"/>
    <w:rsid w:val="00317C8B"/>
    <w:rsid w:val="00320B43"/>
    <w:rsid w:val="00321D8E"/>
    <w:rsid w:val="00325928"/>
    <w:rsid w:val="00332863"/>
    <w:rsid w:val="0033684D"/>
    <w:rsid w:val="00337B42"/>
    <w:rsid w:val="00341B42"/>
    <w:rsid w:val="0034348F"/>
    <w:rsid w:val="00356653"/>
    <w:rsid w:val="0035743F"/>
    <w:rsid w:val="00357BE2"/>
    <w:rsid w:val="0036170C"/>
    <w:rsid w:val="00366E0F"/>
    <w:rsid w:val="00373621"/>
    <w:rsid w:val="00381A72"/>
    <w:rsid w:val="003835B2"/>
    <w:rsid w:val="00384676"/>
    <w:rsid w:val="00386A49"/>
    <w:rsid w:val="00390857"/>
    <w:rsid w:val="003A4BF3"/>
    <w:rsid w:val="003B0E3D"/>
    <w:rsid w:val="003B420D"/>
    <w:rsid w:val="003C523C"/>
    <w:rsid w:val="003C6C16"/>
    <w:rsid w:val="003D252A"/>
    <w:rsid w:val="003D499E"/>
    <w:rsid w:val="003D794D"/>
    <w:rsid w:val="003E3058"/>
    <w:rsid w:val="003E6B59"/>
    <w:rsid w:val="003E76A9"/>
    <w:rsid w:val="003F0809"/>
    <w:rsid w:val="003F6758"/>
    <w:rsid w:val="003F6A8C"/>
    <w:rsid w:val="003F755C"/>
    <w:rsid w:val="00401330"/>
    <w:rsid w:val="004049B8"/>
    <w:rsid w:val="00406F01"/>
    <w:rsid w:val="00411F65"/>
    <w:rsid w:val="00416D50"/>
    <w:rsid w:val="00416FD5"/>
    <w:rsid w:val="00417772"/>
    <w:rsid w:val="00420E6A"/>
    <w:rsid w:val="00424A6C"/>
    <w:rsid w:val="00425A9E"/>
    <w:rsid w:val="00426D6B"/>
    <w:rsid w:val="00431E6C"/>
    <w:rsid w:val="00432B58"/>
    <w:rsid w:val="00433CE7"/>
    <w:rsid w:val="0044163B"/>
    <w:rsid w:val="00447183"/>
    <w:rsid w:val="00451483"/>
    <w:rsid w:val="00452738"/>
    <w:rsid w:val="004539D9"/>
    <w:rsid w:val="00456091"/>
    <w:rsid w:val="00464AE8"/>
    <w:rsid w:val="00466321"/>
    <w:rsid w:val="00467889"/>
    <w:rsid w:val="00481FA7"/>
    <w:rsid w:val="00484B9B"/>
    <w:rsid w:val="004855F6"/>
    <w:rsid w:val="0048661E"/>
    <w:rsid w:val="00494670"/>
    <w:rsid w:val="004A23D1"/>
    <w:rsid w:val="004A3823"/>
    <w:rsid w:val="004D6899"/>
    <w:rsid w:val="004E6946"/>
    <w:rsid w:val="004F1AD8"/>
    <w:rsid w:val="004F3840"/>
    <w:rsid w:val="00501490"/>
    <w:rsid w:val="005039CB"/>
    <w:rsid w:val="0050558F"/>
    <w:rsid w:val="00506286"/>
    <w:rsid w:val="00507BB4"/>
    <w:rsid w:val="00510813"/>
    <w:rsid w:val="00511990"/>
    <w:rsid w:val="00511DE0"/>
    <w:rsid w:val="005146D2"/>
    <w:rsid w:val="00514870"/>
    <w:rsid w:val="00514B9B"/>
    <w:rsid w:val="00517F02"/>
    <w:rsid w:val="00524303"/>
    <w:rsid w:val="005258A2"/>
    <w:rsid w:val="00535351"/>
    <w:rsid w:val="005401AE"/>
    <w:rsid w:val="00542E07"/>
    <w:rsid w:val="00545424"/>
    <w:rsid w:val="00554A7B"/>
    <w:rsid w:val="00555385"/>
    <w:rsid w:val="0055572C"/>
    <w:rsid w:val="0056106A"/>
    <w:rsid w:val="005720AE"/>
    <w:rsid w:val="005776C0"/>
    <w:rsid w:val="00594D77"/>
    <w:rsid w:val="005969E4"/>
    <w:rsid w:val="005A06B7"/>
    <w:rsid w:val="005A1759"/>
    <w:rsid w:val="005A68A7"/>
    <w:rsid w:val="005B2DA9"/>
    <w:rsid w:val="005D36AB"/>
    <w:rsid w:val="005E0FEE"/>
    <w:rsid w:val="005E2C67"/>
    <w:rsid w:val="005E5F81"/>
    <w:rsid w:val="00617CC3"/>
    <w:rsid w:val="006377A6"/>
    <w:rsid w:val="00637A3D"/>
    <w:rsid w:val="006411EF"/>
    <w:rsid w:val="00657145"/>
    <w:rsid w:val="006748B8"/>
    <w:rsid w:val="006775C3"/>
    <w:rsid w:val="00680AA1"/>
    <w:rsid w:val="00683750"/>
    <w:rsid w:val="00684B1A"/>
    <w:rsid w:val="00684F45"/>
    <w:rsid w:val="00691B14"/>
    <w:rsid w:val="0069290A"/>
    <w:rsid w:val="0069775A"/>
    <w:rsid w:val="00697813"/>
    <w:rsid w:val="006A3EE8"/>
    <w:rsid w:val="006A72BF"/>
    <w:rsid w:val="006A7548"/>
    <w:rsid w:val="006B03F2"/>
    <w:rsid w:val="006B37DC"/>
    <w:rsid w:val="006B4F68"/>
    <w:rsid w:val="006C0592"/>
    <w:rsid w:val="006C272E"/>
    <w:rsid w:val="006C5479"/>
    <w:rsid w:val="006D13B5"/>
    <w:rsid w:val="006D43F5"/>
    <w:rsid w:val="006D77C9"/>
    <w:rsid w:val="006E12FF"/>
    <w:rsid w:val="006E607E"/>
    <w:rsid w:val="006F42D2"/>
    <w:rsid w:val="00706C5D"/>
    <w:rsid w:val="00727987"/>
    <w:rsid w:val="00731E62"/>
    <w:rsid w:val="00732922"/>
    <w:rsid w:val="007469E9"/>
    <w:rsid w:val="0075162E"/>
    <w:rsid w:val="00754034"/>
    <w:rsid w:val="00756556"/>
    <w:rsid w:val="007618C4"/>
    <w:rsid w:val="0076742C"/>
    <w:rsid w:val="00767980"/>
    <w:rsid w:val="00770B19"/>
    <w:rsid w:val="0077463F"/>
    <w:rsid w:val="007836EA"/>
    <w:rsid w:val="00784CDA"/>
    <w:rsid w:val="007906C4"/>
    <w:rsid w:val="007940EA"/>
    <w:rsid w:val="007967E8"/>
    <w:rsid w:val="007A2170"/>
    <w:rsid w:val="007A22BF"/>
    <w:rsid w:val="007A3323"/>
    <w:rsid w:val="007B4D74"/>
    <w:rsid w:val="007B72B8"/>
    <w:rsid w:val="007B7A58"/>
    <w:rsid w:val="007C21B5"/>
    <w:rsid w:val="007C232E"/>
    <w:rsid w:val="007E14FA"/>
    <w:rsid w:val="007E4BD2"/>
    <w:rsid w:val="007E591D"/>
    <w:rsid w:val="007E6779"/>
    <w:rsid w:val="00801393"/>
    <w:rsid w:val="00802F88"/>
    <w:rsid w:val="00804A02"/>
    <w:rsid w:val="00805D1B"/>
    <w:rsid w:val="0081293E"/>
    <w:rsid w:val="00812AA3"/>
    <w:rsid w:val="00815465"/>
    <w:rsid w:val="00817E9A"/>
    <w:rsid w:val="008306BD"/>
    <w:rsid w:val="00831A80"/>
    <w:rsid w:val="00833743"/>
    <w:rsid w:val="008340A4"/>
    <w:rsid w:val="00850B13"/>
    <w:rsid w:val="008621D9"/>
    <w:rsid w:val="0087135F"/>
    <w:rsid w:val="00872D94"/>
    <w:rsid w:val="00880364"/>
    <w:rsid w:val="00891592"/>
    <w:rsid w:val="00891E9E"/>
    <w:rsid w:val="00895777"/>
    <w:rsid w:val="008A2F68"/>
    <w:rsid w:val="008B4FA6"/>
    <w:rsid w:val="008B5282"/>
    <w:rsid w:val="008B7C17"/>
    <w:rsid w:val="008C143C"/>
    <w:rsid w:val="008C2D01"/>
    <w:rsid w:val="008C40E6"/>
    <w:rsid w:val="008D0F7A"/>
    <w:rsid w:val="008D2429"/>
    <w:rsid w:val="008D68E4"/>
    <w:rsid w:val="008D6A39"/>
    <w:rsid w:val="008E0506"/>
    <w:rsid w:val="008E0CFF"/>
    <w:rsid w:val="008E12E0"/>
    <w:rsid w:val="008E5D6B"/>
    <w:rsid w:val="008E76F0"/>
    <w:rsid w:val="008F15FE"/>
    <w:rsid w:val="008F2D29"/>
    <w:rsid w:val="008F3F08"/>
    <w:rsid w:val="008F5187"/>
    <w:rsid w:val="008F5DEA"/>
    <w:rsid w:val="008F60D8"/>
    <w:rsid w:val="00902086"/>
    <w:rsid w:val="00902727"/>
    <w:rsid w:val="0090312B"/>
    <w:rsid w:val="009040FA"/>
    <w:rsid w:val="0091736D"/>
    <w:rsid w:val="0093037A"/>
    <w:rsid w:val="0094154D"/>
    <w:rsid w:val="0095155F"/>
    <w:rsid w:val="00954429"/>
    <w:rsid w:val="009563CE"/>
    <w:rsid w:val="009649BA"/>
    <w:rsid w:val="009761AC"/>
    <w:rsid w:val="00976328"/>
    <w:rsid w:val="00976735"/>
    <w:rsid w:val="0097680D"/>
    <w:rsid w:val="00982438"/>
    <w:rsid w:val="0098404C"/>
    <w:rsid w:val="00985283"/>
    <w:rsid w:val="00995992"/>
    <w:rsid w:val="00996CF9"/>
    <w:rsid w:val="009A03E5"/>
    <w:rsid w:val="009A0F3B"/>
    <w:rsid w:val="009A1BB4"/>
    <w:rsid w:val="009A2628"/>
    <w:rsid w:val="009A3200"/>
    <w:rsid w:val="009B0897"/>
    <w:rsid w:val="009B4466"/>
    <w:rsid w:val="009B4BFC"/>
    <w:rsid w:val="009B7BD9"/>
    <w:rsid w:val="009C7DD5"/>
    <w:rsid w:val="009E227D"/>
    <w:rsid w:val="009E5019"/>
    <w:rsid w:val="00A04F1B"/>
    <w:rsid w:val="00A0501B"/>
    <w:rsid w:val="00A14947"/>
    <w:rsid w:val="00A2557A"/>
    <w:rsid w:val="00A25E0F"/>
    <w:rsid w:val="00A32A83"/>
    <w:rsid w:val="00A368DB"/>
    <w:rsid w:val="00A423AA"/>
    <w:rsid w:val="00A4372D"/>
    <w:rsid w:val="00A46FE9"/>
    <w:rsid w:val="00A53EC6"/>
    <w:rsid w:val="00A55C0F"/>
    <w:rsid w:val="00A8713F"/>
    <w:rsid w:val="00A90BA1"/>
    <w:rsid w:val="00A97A9A"/>
    <w:rsid w:val="00AA0671"/>
    <w:rsid w:val="00AA2531"/>
    <w:rsid w:val="00AA73D0"/>
    <w:rsid w:val="00AB1E09"/>
    <w:rsid w:val="00AB5330"/>
    <w:rsid w:val="00AB7747"/>
    <w:rsid w:val="00AC14CE"/>
    <w:rsid w:val="00AC2A56"/>
    <w:rsid w:val="00AD055E"/>
    <w:rsid w:val="00AD47A7"/>
    <w:rsid w:val="00AE5A69"/>
    <w:rsid w:val="00AF0CBF"/>
    <w:rsid w:val="00AF1894"/>
    <w:rsid w:val="00AF257F"/>
    <w:rsid w:val="00AF33CF"/>
    <w:rsid w:val="00AF4D50"/>
    <w:rsid w:val="00AF6179"/>
    <w:rsid w:val="00B1295A"/>
    <w:rsid w:val="00B20A45"/>
    <w:rsid w:val="00B22C5C"/>
    <w:rsid w:val="00B24F30"/>
    <w:rsid w:val="00B31ABF"/>
    <w:rsid w:val="00B31D18"/>
    <w:rsid w:val="00B33BE3"/>
    <w:rsid w:val="00B45112"/>
    <w:rsid w:val="00B53B5D"/>
    <w:rsid w:val="00B6055E"/>
    <w:rsid w:val="00B6317D"/>
    <w:rsid w:val="00B63C2E"/>
    <w:rsid w:val="00B73E3F"/>
    <w:rsid w:val="00B7723F"/>
    <w:rsid w:val="00B80534"/>
    <w:rsid w:val="00B8433C"/>
    <w:rsid w:val="00B87491"/>
    <w:rsid w:val="00BA29E9"/>
    <w:rsid w:val="00BA7142"/>
    <w:rsid w:val="00BA725E"/>
    <w:rsid w:val="00BB237C"/>
    <w:rsid w:val="00BB41A3"/>
    <w:rsid w:val="00BB43A7"/>
    <w:rsid w:val="00BC32DC"/>
    <w:rsid w:val="00BC35B6"/>
    <w:rsid w:val="00BD0B84"/>
    <w:rsid w:val="00BD1B51"/>
    <w:rsid w:val="00BD4596"/>
    <w:rsid w:val="00BE1405"/>
    <w:rsid w:val="00BE312D"/>
    <w:rsid w:val="00BE3ED8"/>
    <w:rsid w:val="00BF1C20"/>
    <w:rsid w:val="00C032FB"/>
    <w:rsid w:val="00C10578"/>
    <w:rsid w:val="00C135BC"/>
    <w:rsid w:val="00C13CE0"/>
    <w:rsid w:val="00C15C95"/>
    <w:rsid w:val="00C23431"/>
    <w:rsid w:val="00C2596A"/>
    <w:rsid w:val="00C27537"/>
    <w:rsid w:val="00C328FE"/>
    <w:rsid w:val="00C33507"/>
    <w:rsid w:val="00C35C9D"/>
    <w:rsid w:val="00C36433"/>
    <w:rsid w:val="00C4409D"/>
    <w:rsid w:val="00C44E72"/>
    <w:rsid w:val="00C45A06"/>
    <w:rsid w:val="00C47E5B"/>
    <w:rsid w:val="00C614BF"/>
    <w:rsid w:val="00C61E4B"/>
    <w:rsid w:val="00C642DD"/>
    <w:rsid w:val="00C64BFF"/>
    <w:rsid w:val="00C704E9"/>
    <w:rsid w:val="00C763C9"/>
    <w:rsid w:val="00C80057"/>
    <w:rsid w:val="00C82232"/>
    <w:rsid w:val="00C82913"/>
    <w:rsid w:val="00C972B1"/>
    <w:rsid w:val="00CA0F35"/>
    <w:rsid w:val="00CA2CCE"/>
    <w:rsid w:val="00CA43FD"/>
    <w:rsid w:val="00CA7EF8"/>
    <w:rsid w:val="00CB2FFF"/>
    <w:rsid w:val="00CC39C3"/>
    <w:rsid w:val="00CC489B"/>
    <w:rsid w:val="00CD2BCD"/>
    <w:rsid w:val="00CD3A4C"/>
    <w:rsid w:val="00CE10E9"/>
    <w:rsid w:val="00CE2910"/>
    <w:rsid w:val="00CE5393"/>
    <w:rsid w:val="00CF122D"/>
    <w:rsid w:val="00CF36BE"/>
    <w:rsid w:val="00CF6000"/>
    <w:rsid w:val="00D003F3"/>
    <w:rsid w:val="00D0364F"/>
    <w:rsid w:val="00D06834"/>
    <w:rsid w:val="00D22DFC"/>
    <w:rsid w:val="00D22FF7"/>
    <w:rsid w:val="00D308ED"/>
    <w:rsid w:val="00D36D86"/>
    <w:rsid w:val="00D40BE3"/>
    <w:rsid w:val="00D42770"/>
    <w:rsid w:val="00D428AA"/>
    <w:rsid w:val="00D50A34"/>
    <w:rsid w:val="00D53EFA"/>
    <w:rsid w:val="00D60CCA"/>
    <w:rsid w:val="00D667AE"/>
    <w:rsid w:val="00D67C51"/>
    <w:rsid w:val="00D73797"/>
    <w:rsid w:val="00D91E79"/>
    <w:rsid w:val="00D94A7C"/>
    <w:rsid w:val="00D95896"/>
    <w:rsid w:val="00DB2983"/>
    <w:rsid w:val="00DC1257"/>
    <w:rsid w:val="00DC3DC0"/>
    <w:rsid w:val="00DC5B2B"/>
    <w:rsid w:val="00DC6932"/>
    <w:rsid w:val="00DD318D"/>
    <w:rsid w:val="00DD7C11"/>
    <w:rsid w:val="00DF2E12"/>
    <w:rsid w:val="00DF514A"/>
    <w:rsid w:val="00DF6690"/>
    <w:rsid w:val="00DF6804"/>
    <w:rsid w:val="00E0034E"/>
    <w:rsid w:val="00E01F00"/>
    <w:rsid w:val="00E0358D"/>
    <w:rsid w:val="00E04323"/>
    <w:rsid w:val="00E070A2"/>
    <w:rsid w:val="00E16BF0"/>
    <w:rsid w:val="00E2656A"/>
    <w:rsid w:val="00E2781F"/>
    <w:rsid w:val="00E412D0"/>
    <w:rsid w:val="00E56322"/>
    <w:rsid w:val="00E60982"/>
    <w:rsid w:val="00E62C62"/>
    <w:rsid w:val="00E654C1"/>
    <w:rsid w:val="00E65D97"/>
    <w:rsid w:val="00E72A5A"/>
    <w:rsid w:val="00E73354"/>
    <w:rsid w:val="00E9242D"/>
    <w:rsid w:val="00E9475E"/>
    <w:rsid w:val="00EB5255"/>
    <w:rsid w:val="00EB5C47"/>
    <w:rsid w:val="00EB6086"/>
    <w:rsid w:val="00EB6837"/>
    <w:rsid w:val="00EC4CDF"/>
    <w:rsid w:val="00ED0639"/>
    <w:rsid w:val="00EF4755"/>
    <w:rsid w:val="00EF7135"/>
    <w:rsid w:val="00F027DB"/>
    <w:rsid w:val="00F0434D"/>
    <w:rsid w:val="00F14940"/>
    <w:rsid w:val="00F14A7A"/>
    <w:rsid w:val="00F211EF"/>
    <w:rsid w:val="00F22985"/>
    <w:rsid w:val="00F24E42"/>
    <w:rsid w:val="00F3383E"/>
    <w:rsid w:val="00F465A7"/>
    <w:rsid w:val="00F50B7C"/>
    <w:rsid w:val="00F550E6"/>
    <w:rsid w:val="00F67DA0"/>
    <w:rsid w:val="00F74345"/>
    <w:rsid w:val="00F80A0A"/>
    <w:rsid w:val="00F82B19"/>
    <w:rsid w:val="00F9212D"/>
    <w:rsid w:val="00F965DA"/>
    <w:rsid w:val="00FA406A"/>
    <w:rsid w:val="00FB503A"/>
    <w:rsid w:val="00FB516C"/>
    <w:rsid w:val="00FC4CAC"/>
    <w:rsid w:val="00FD0236"/>
    <w:rsid w:val="00FD18F4"/>
    <w:rsid w:val="00FD243C"/>
    <w:rsid w:val="00FD54DB"/>
    <w:rsid w:val="00FD619F"/>
    <w:rsid w:val="010A0887"/>
    <w:rsid w:val="01260437"/>
    <w:rsid w:val="01290F7E"/>
    <w:rsid w:val="014D03F7"/>
    <w:rsid w:val="015D1E09"/>
    <w:rsid w:val="01681CB6"/>
    <w:rsid w:val="01D575F2"/>
    <w:rsid w:val="01E2645C"/>
    <w:rsid w:val="01EF6DC0"/>
    <w:rsid w:val="02201E66"/>
    <w:rsid w:val="02660639"/>
    <w:rsid w:val="02697903"/>
    <w:rsid w:val="02D037B2"/>
    <w:rsid w:val="02D16CFF"/>
    <w:rsid w:val="02D92666"/>
    <w:rsid w:val="02EB3CFF"/>
    <w:rsid w:val="02EC7818"/>
    <w:rsid w:val="02F96569"/>
    <w:rsid w:val="0309465C"/>
    <w:rsid w:val="0341004F"/>
    <w:rsid w:val="03511AD9"/>
    <w:rsid w:val="03520A50"/>
    <w:rsid w:val="035701D8"/>
    <w:rsid w:val="03EA7B21"/>
    <w:rsid w:val="03F84410"/>
    <w:rsid w:val="041F1BBE"/>
    <w:rsid w:val="04370FFE"/>
    <w:rsid w:val="046872D1"/>
    <w:rsid w:val="047C7106"/>
    <w:rsid w:val="04AC7907"/>
    <w:rsid w:val="04C80BE4"/>
    <w:rsid w:val="04E56BE2"/>
    <w:rsid w:val="04F65346"/>
    <w:rsid w:val="04F7530F"/>
    <w:rsid w:val="053A13B6"/>
    <w:rsid w:val="05574F02"/>
    <w:rsid w:val="058B788C"/>
    <w:rsid w:val="05967A84"/>
    <w:rsid w:val="059B6E0B"/>
    <w:rsid w:val="05A36294"/>
    <w:rsid w:val="05F83EAE"/>
    <w:rsid w:val="0616597F"/>
    <w:rsid w:val="063E7D85"/>
    <w:rsid w:val="06437674"/>
    <w:rsid w:val="064475B4"/>
    <w:rsid w:val="067B40AC"/>
    <w:rsid w:val="06BA455D"/>
    <w:rsid w:val="06DA18D9"/>
    <w:rsid w:val="06FB69AE"/>
    <w:rsid w:val="07293586"/>
    <w:rsid w:val="07295285"/>
    <w:rsid w:val="07636392"/>
    <w:rsid w:val="07726397"/>
    <w:rsid w:val="07770C56"/>
    <w:rsid w:val="078A621D"/>
    <w:rsid w:val="07E36049"/>
    <w:rsid w:val="07EF3B23"/>
    <w:rsid w:val="07FE02D7"/>
    <w:rsid w:val="080531B2"/>
    <w:rsid w:val="082A10BD"/>
    <w:rsid w:val="08473CA0"/>
    <w:rsid w:val="086F097C"/>
    <w:rsid w:val="08736675"/>
    <w:rsid w:val="08810F75"/>
    <w:rsid w:val="0895635F"/>
    <w:rsid w:val="08975339"/>
    <w:rsid w:val="08B646EA"/>
    <w:rsid w:val="08BF4AEB"/>
    <w:rsid w:val="08C575FD"/>
    <w:rsid w:val="08FD1E89"/>
    <w:rsid w:val="091854FF"/>
    <w:rsid w:val="092217DD"/>
    <w:rsid w:val="093A7294"/>
    <w:rsid w:val="0958005D"/>
    <w:rsid w:val="0998104B"/>
    <w:rsid w:val="09EA6F07"/>
    <w:rsid w:val="0A0941CD"/>
    <w:rsid w:val="0A0B1D7E"/>
    <w:rsid w:val="0A1070E0"/>
    <w:rsid w:val="0A1A631E"/>
    <w:rsid w:val="0A1E5897"/>
    <w:rsid w:val="0A263993"/>
    <w:rsid w:val="0A2D3AC2"/>
    <w:rsid w:val="0A467CB2"/>
    <w:rsid w:val="0A543B83"/>
    <w:rsid w:val="0A7022B5"/>
    <w:rsid w:val="0A843E9F"/>
    <w:rsid w:val="0AA755DF"/>
    <w:rsid w:val="0AAF5862"/>
    <w:rsid w:val="0ABE7CAC"/>
    <w:rsid w:val="0AD96F7B"/>
    <w:rsid w:val="0AF3628F"/>
    <w:rsid w:val="0AF750AC"/>
    <w:rsid w:val="0AFB421D"/>
    <w:rsid w:val="0B120D44"/>
    <w:rsid w:val="0B51425F"/>
    <w:rsid w:val="0BC56562"/>
    <w:rsid w:val="0BD27BF6"/>
    <w:rsid w:val="0C076B26"/>
    <w:rsid w:val="0C171D16"/>
    <w:rsid w:val="0C252AF2"/>
    <w:rsid w:val="0C271040"/>
    <w:rsid w:val="0C3B3C7D"/>
    <w:rsid w:val="0C776125"/>
    <w:rsid w:val="0C874EE1"/>
    <w:rsid w:val="0C8E66FD"/>
    <w:rsid w:val="0CAB2EAE"/>
    <w:rsid w:val="0CAE45F7"/>
    <w:rsid w:val="0D002EE5"/>
    <w:rsid w:val="0D126D7F"/>
    <w:rsid w:val="0D621C7D"/>
    <w:rsid w:val="0D8F6DD2"/>
    <w:rsid w:val="0D944F55"/>
    <w:rsid w:val="0DA758A9"/>
    <w:rsid w:val="0DE06A46"/>
    <w:rsid w:val="0DE46363"/>
    <w:rsid w:val="0DEB14A0"/>
    <w:rsid w:val="0E67321C"/>
    <w:rsid w:val="0E73034D"/>
    <w:rsid w:val="0E7A0BBE"/>
    <w:rsid w:val="0E9C6D03"/>
    <w:rsid w:val="0EA56BC4"/>
    <w:rsid w:val="0EB75C9F"/>
    <w:rsid w:val="0EC81811"/>
    <w:rsid w:val="0EF13252"/>
    <w:rsid w:val="0F0740B7"/>
    <w:rsid w:val="0F13775A"/>
    <w:rsid w:val="0F276FF5"/>
    <w:rsid w:val="0F3975B3"/>
    <w:rsid w:val="0F4E072A"/>
    <w:rsid w:val="0F5F45FE"/>
    <w:rsid w:val="0F686B3B"/>
    <w:rsid w:val="0F713C26"/>
    <w:rsid w:val="0F9261E1"/>
    <w:rsid w:val="0F9A112B"/>
    <w:rsid w:val="0FBC34C0"/>
    <w:rsid w:val="0FDD28FA"/>
    <w:rsid w:val="0FEC44A8"/>
    <w:rsid w:val="0FF01CD9"/>
    <w:rsid w:val="1056375C"/>
    <w:rsid w:val="105B32C1"/>
    <w:rsid w:val="106D2F64"/>
    <w:rsid w:val="1096712D"/>
    <w:rsid w:val="10B63710"/>
    <w:rsid w:val="10C01520"/>
    <w:rsid w:val="10F10820"/>
    <w:rsid w:val="110B14FE"/>
    <w:rsid w:val="111C2F7A"/>
    <w:rsid w:val="114848D4"/>
    <w:rsid w:val="114C21EF"/>
    <w:rsid w:val="115E01DA"/>
    <w:rsid w:val="11665CA1"/>
    <w:rsid w:val="117070BB"/>
    <w:rsid w:val="117C28FB"/>
    <w:rsid w:val="11B877C0"/>
    <w:rsid w:val="11F85F3F"/>
    <w:rsid w:val="12612198"/>
    <w:rsid w:val="12737420"/>
    <w:rsid w:val="12793083"/>
    <w:rsid w:val="128442A7"/>
    <w:rsid w:val="12A2347E"/>
    <w:rsid w:val="12AF7D70"/>
    <w:rsid w:val="12EB17FA"/>
    <w:rsid w:val="131822C7"/>
    <w:rsid w:val="13427DB4"/>
    <w:rsid w:val="13623FB2"/>
    <w:rsid w:val="137908C0"/>
    <w:rsid w:val="13951726"/>
    <w:rsid w:val="13E501EF"/>
    <w:rsid w:val="13E77B33"/>
    <w:rsid w:val="14396509"/>
    <w:rsid w:val="14730FEE"/>
    <w:rsid w:val="148775B8"/>
    <w:rsid w:val="14DD2C3C"/>
    <w:rsid w:val="14FE1935"/>
    <w:rsid w:val="155905F4"/>
    <w:rsid w:val="15BC40A0"/>
    <w:rsid w:val="15C72F70"/>
    <w:rsid w:val="15FE46FD"/>
    <w:rsid w:val="16087E1D"/>
    <w:rsid w:val="1634578D"/>
    <w:rsid w:val="165A4634"/>
    <w:rsid w:val="16BB75AB"/>
    <w:rsid w:val="17024274"/>
    <w:rsid w:val="175C5646"/>
    <w:rsid w:val="17701D14"/>
    <w:rsid w:val="17735226"/>
    <w:rsid w:val="179D5B83"/>
    <w:rsid w:val="17A24D17"/>
    <w:rsid w:val="17AC03C4"/>
    <w:rsid w:val="17B92C63"/>
    <w:rsid w:val="17BD3F2F"/>
    <w:rsid w:val="17C63E12"/>
    <w:rsid w:val="180A2D13"/>
    <w:rsid w:val="18466934"/>
    <w:rsid w:val="18860743"/>
    <w:rsid w:val="189F624C"/>
    <w:rsid w:val="18A230A3"/>
    <w:rsid w:val="18E47440"/>
    <w:rsid w:val="18F4694E"/>
    <w:rsid w:val="191F4337"/>
    <w:rsid w:val="19371A3D"/>
    <w:rsid w:val="19C66302"/>
    <w:rsid w:val="19D213B4"/>
    <w:rsid w:val="1A1C66C0"/>
    <w:rsid w:val="1A3459D6"/>
    <w:rsid w:val="1A386B4B"/>
    <w:rsid w:val="1A42393B"/>
    <w:rsid w:val="1A791E57"/>
    <w:rsid w:val="1A7E63BA"/>
    <w:rsid w:val="1A82585B"/>
    <w:rsid w:val="1AAD45DE"/>
    <w:rsid w:val="1AB363AB"/>
    <w:rsid w:val="1AC25754"/>
    <w:rsid w:val="1ACC2478"/>
    <w:rsid w:val="1ADC0AEE"/>
    <w:rsid w:val="1B017A61"/>
    <w:rsid w:val="1B046F80"/>
    <w:rsid w:val="1B3267B5"/>
    <w:rsid w:val="1B40161D"/>
    <w:rsid w:val="1B441859"/>
    <w:rsid w:val="1B5219B0"/>
    <w:rsid w:val="1B6606B1"/>
    <w:rsid w:val="1B8A5FC7"/>
    <w:rsid w:val="1B8C6FC7"/>
    <w:rsid w:val="1B9A66AF"/>
    <w:rsid w:val="1BA0461B"/>
    <w:rsid w:val="1BAC76D6"/>
    <w:rsid w:val="1BB6673E"/>
    <w:rsid w:val="1BE22134"/>
    <w:rsid w:val="1C1A2AFE"/>
    <w:rsid w:val="1C5E7925"/>
    <w:rsid w:val="1C784F9D"/>
    <w:rsid w:val="1CB6711D"/>
    <w:rsid w:val="1CD80D2E"/>
    <w:rsid w:val="1CFD070F"/>
    <w:rsid w:val="1D1545F2"/>
    <w:rsid w:val="1D256EFD"/>
    <w:rsid w:val="1D2E5674"/>
    <w:rsid w:val="1D36550B"/>
    <w:rsid w:val="1D5F6196"/>
    <w:rsid w:val="1D6132A5"/>
    <w:rsid w:val="1D8E56D5"/>
    <w:rsid w:val="1D910C13"/>
    <w:rsid w:val="1DC26B60"/>
    <w:rsid w:val="1DF66FDA"/>
    <w:rsid w:val="1E0F206E"/>
    <w:rsid w:val="1E476229"/>
    <w:rsid w:val="1E603F2B"/>
    <w:rsid w:val="1E7A43DA"/>
    <w:rsid w:val="1EA90CE7"/>
    <w:rsid w:val="1EBD5E6C"/>
    <w:rsid w:val="1EC126C2"/>
    <w:rsid w:val="1ED62A36"/>
    <w:rsid w:val="1F10520A"/>
    <w:rsid w:val="1F2B2044"/>
    <w:rsid w:val="1F4348CE"/>
    <w:rsid w:val="1F685B4E"/>
    <w:rsid w:val="1F8926F6"/>
    <w:rsid w:val="1FE7539E"/>
    <w:rsid w:val="200B0549"/>
    <w:rsid w:val="204D1317"/>
    <w:rsid w:val="20605891"/>
    <w:rsid w:val="206267A9"/>
    <w:rsid w:val="20671BE0"/>
    <w:rsid w:val="206D7D33"/>
    <w:rsid w:val="20837830"/>
    <w:rsid w:val="20963CB8"/>
    <w:rsid w:val="20A81A1B"/>
    <w:rsid w:val="20B07FB6"/>
    <w:rsid w:val="20B646FB"/>
    <w:rsid w:val="20BC7A52"/>
    <w:rsid w:val="20BE2980"/>
    <w:rsid w:val="20BF1516"/>
    <w:rsid w:val="20DF6D0A"/>
    <w:rsid w:val="212646BB"/>
    <w:rsid w:val="213B74B1"/>
    <w:rsid w:val="21453D8E"/>
    <w:rsid w:val="215A2310"/>
    <w:rsid w:val="215E085D"/>
    <w:rsid w:val="2175073F"/>
    <w:rsid w:val="21B07DB5"/>
    <w:rsid w:val="21C97582"/>
    <w:rsid w:val="21DD358C"/>
    <w:rsid w:val="21DE318A"/>
    <w:rsid w:val="21EF5B80"/>
    <w:rsid w:val="224E76E4"/>
    <w:rsid w:val="22576990"/>
    <w:rsid w:val="226923F9"/>
    <w:rsid w:val="22941CAE"/>
    <w:rsid w:val="22E449E3"/>
    <w:rsid w:val="22F47480"/>
    <w:rsid w:val="23127AD5"/>
    <w:rsid w:val="233724C2"/>
    <w:rsid w:val="233D0DF3"/>
    <w:rsid w:val="2377226D"/>
    <w:rsid w:val="2383726E"/>
    <w:rsid w:val="23941C18"/>
    <w:rsid w:val="23DE1C48"/>
    <w:rsid w:val="23E426AC"/>
    <w:rsid w:val="240210CD"/>
    <w:rsid w:val="24185580"/>
    <w:rsid w:val="24341B33"/>
    <w:rsid w:val="244C0357"/>
    <w:rsid w:val="248F3BA6"/>
    <w:rsid w:val="249B7305"/>
    <w:rsid w:val="24BF09F7"/>
    <w:rsid w:val="24D02C52"/>
    <w:rsid w:val="24EA4F81"/>
    <w:rsid w:val="24FA1388"/>
    <w:rsid w:val="251643B9"/>
    <w:rsid w:val="252D53FE"/>
    <w:rsid w:val="25325351"/>
    <w:rsid w:val="25341526"/>
    <w:rsid w:val="256A7010"/>
    <w:rsid w:val="257E645D"/>
    <w:rsid w:val="25D94D83"/>
    <w:rsid w:val="25EA2B30"/>
    <w:rsid w:val="25EC2D81"/>
    <w:rsid w:val="25FD4869"/>
    <w:rsid w:val="2600637B"/>
    <w:rsid w:val="260D3C3D"/>
    <w:rsid w:val="26107183"/>
    <w:rsid w:val="268A3207"/>
    <w:rsid w:val="26C71D1C"/>
    <w:rsid w:val="27392E24"/>
    <w:rsid w:val="274C2785"/>
    <w:rsid w:val="27642027"/>
    <w:rsid w:val="276534D9"/>
    <w:rsid w:val="277057A2"/>
    <w:rsid w:val="27A504B9"/>
    <w:rsid w:val="27B65533"/>
    <w:rsid w:val="27C94ECA"/>
    <w:rsid w:val="27CC3514"/>
    <w:rsid w:val="280D5DE5"/>
    <w:rsid w:val="28246903"/>
    <w:rsid w:val="28261574"/>
    <w:rsid w:val="283120EA"/>
    <w:rsid w:val="28355CE1"/>
    <w:rsid w:val="283645AA"/>
    <w:rsid w:val="28375F1C"/>
    <w:rsid w:val="285730D1"/>
    <w:rsid w:val="28612632"/>
    <w:rsid w:val="28715D93"/>
    <w:rsid w:val="28B423DB"/>
    <w:rsid w:val="28F96D0F"/>
    <w:rsid w:val="29206EB8"/>
    <w:rsid w:val="29221C3F"/>
    <w:rsid w:val="292628EE"/>
    <w:rsid w:val="29595666"/>
    <w:rsid w:val="296A7401"/>
    <w:rsid w:val="29874881"/>
    <w:rsid w:val="29A05AF5"/>
    <w:rsid w:val="29A64E42"/>
    <w:rsid w:val="29E325E0"/>
    <w:rsid w:val="2A452503"/>
    <w:rsid w:val="2A4A38AB"/>
    <w:rsid w:val="2A5B7D43"/>
    <w:rsid w:val="2A627A8B"/>
    <w:rsid w:val="2A653320"/>
    <w:rsid w:val="2AAF1545"/>
    <w:rsid w:val="2AD02BAB"/>
    <w:rsid w:val="2B3D6FF6"/>
    <w:rsid w:val="2B3E4EAD"/>
    <w:rsid w:val="2B492CDC"/>
    <w:rsid w:val="2B612949"/>
    <w:rsid w:val="2B7475E4"/>
    <w:rsid w:val="2BA936A8"/>
    <w:rsid w:val="2BDD5E30"/>
    <w:rsid w:val="2BE45A54"/>
    <w:rsid w:val="2BF177EC"/>
    <w:rsid w:val="2BF22CB5"/>
    <w:rsid w:val="2C05611A"/>
    <w:rsid w:val="2C1F44CA"/>
    <w:rsid w:val="2C2979A7"/>
    <w:rsid w:val="2C315A5A"/>
    <w:rsid w:val="2C4B1C25"/>
    <w:rsid w:val="2C5B27E0"/>
    <w:rsid w:val="2CCA7369"/>
    <w:rsid w:val="2CD452BD"/>
    <w:rsid w:val="2CE55F2C"/>
    <w:rsid w:val="2D141802"/>
    <w:rsid w:val="2D1D3D82"/>
    <w:rsid w:val="2D3C1683"/>
    <w:rsid w:val="2D7A5B72"/>
    <w:rsid w:val="2D810230"/>
    <w:rsid w:val="2D88240F"/>
    <w:rsid w:val="2D9E56F5"/>
    <w:rsid w:val="2DA8023F"/>
    <w:rsid w:val="2DF66ED3"/>
    <w:rsid w:val="2E00552A"/>
    <w:rsid w:val="2E074505"/>
    <w:rsid w:val="2E667F96"/>
    <w:rsid w:val="2E8226AB"/>
    <w:rsid w:val="2EA37A13"/>
    <w:rsid w:val="2EB705CC"/>
    <w:rsid w:val="2EBD64FE"/>
    <w:rsid w:val="2EF73AA4"/>
    <w:rsid w:val="2F8D193D"/>
    <w:rsid w:val="2F8F513B"/>
    <w:rsid w:val="2FBC5CA8"/>
    <w:rsid w:val="2FD065E6"/>
    <w:rsid w:val="2FD96870"/>
    <w:rsid w:val="2FF81FFF"/>
    <w:rsid w:val="3019603D"/>
    <w:rsid w:val="302407D5"/>
    <w:rsid w:val="30580BC9"/>
    <w:rsid w:val="305D67DA"/>
    <w:rsid w:val="307725FD"/>
    <w:rsid w:val="307D6477"/>
    <w:rsid w:val="30845E67"/>
    <w:rsid w:val="308D1B27"/>
    <w:rsid w:val="30A752A2"/>
    <w:rsid w:val="30BD0CE0"/>
    <w:rsid w:val="310D0D4C"/>
    <w:rsid w:val="3110179C"/>
    <w:rsid w:val="311E2ED7"/>
    <w:rsid w:val="314E046C"/>
    <w:rsid w:val="315619EE"/>
    <w:rsid w:val="315C449C"/>
    <w:rsid w:val="316816EC"/>
    <w:rsid w:val="31B82709"/>
    <w:rsid w:val="31D04DF8"/>
    <w:rsid w:val="31D05482"/>
    <w:rsid w:val="31F24664"/>
    <w:rsid w:val="323A0986"/>
    <w:rsid w:val="323E4E31"/>
    <w:rsid w:val="32400B34"/>
    <w:rsid w:val="32965963"/>
    <w:rsid w:val="329E6876"/>
    <w:rsid w:val="32C365E8"/>
    <w:rsid w:val="32CB3E17"/>
    <w:rsid w:val="33232F93"/>
    <w:rsid w:val="333015F2"/>
    <w:rsid w:val="333A23FE"/>
    <w:rsid w:val="334B6320"/>
    <w:rsid w:val="334D55D3"/>
    <w:rsid w:val="3354263B"/>
    <w:rsid w:val="33557238"/>
    <w:rsid w:val="335B7731"/>
    <w:rsid w:val="33973BFA"/>
    <w:rsid w:val="33D934D4"/>
    <w:rsid w:val="33DE17CB"/>
    <w:rsid w:val="33DF771C"/>
    <w:rsid w:val="33E67BDE"/>
    <w:rsid w:val="33FE2F6A"/>
    <w:rsid w:val="340E07E5"/>
    <w:rsid w:val="34235BF7"/>
    <w:rsid w:val="34293372"/>
    <w:rsid w:val="342C5FB2"/>
    <w:rsid w:val="345F3813"/>
    <w:rsid w:val="34656A3C"/>
    <w:rsid w:val="3468626E"/>
    <w:rsid w:val="347B714B"/>
    <w:rsid w:val="34865F19"/>
    <w:rsid w:val="348E0A05"/>
    <w:rsid w:val="35031D2D"/>
    <w:rsid w:val="35312755"/>
    <w:rsid w:val="353867E7"/>
    <w:rsid w:val="358C5FA8"/>
    <w:rsid w:val="35C15DF1"/>
    <w:rsid w:val="35E43A85"/>
    <w:rsid w:val="36074A7F"/>
    <w:rsid w:val="36176A26"/>
    <w:rsid w:val="36260C47"/>
    <w:rsid w:val="366240D0"/>
    <w:rsid w:val="36841F73"/>
    <w:rsid w:val="36923549"/>
    <w:rsid w:val="369E4A52"/>
    <w:rsid w:val="36B75FBF"/>
    <w:rsid w:val="36BD0C45"/>
    <w:rsid w:val="37053322"/>
    <w:rsid w:val="372C615B"/>
    <w:rsid w:val="373D0702"/>
    <w:rsid w:val="376355AF"/>
    <w:rsid w:val="377D5C0E"/>
    <w:rsid w:val="37E00298"/>
    <w:rsid w:val="381B0A50"/>
    <w:rsid w:val="38593FA9"/>
    <w:rsid w:val="385D5D8D"/>
    <w:rsid w:val="38667053"/>
    <w:rsid w:val="38B302F9"/>
    <w:rsid w:val="38CA66C2"/>
    <w:rsid w:val="38E828A2"/>
    <w:rsid w:val="38E94F46"/>
    <w:rsid w:val="38F12CD3"/>
    <w:rsid w:val="38F94775"/>
    <w:rsid w:val="38FA0C66"/>
    <w:rsid w:val="39245B7D"/>
    <w:rsid w:val="39292ED3"/>
    <w:rsid w:val="392971ED"/>
    <w:rsid w:val="39325651"/>
    <w:rsid w:val="39A47EFA"/>
    <w:rsid w:val="39F63DDF"/>
    <w:rsid w:val="3A0356B5"/>
    <w:rsid w:val="3A091EA4"/>
    <w:rsid w:val="3A44714C"/>
    <w:rsid w:val="3A4C011E"/>
    <w:rsid w:val="3A777053"/>
    <w:rsid w:val="3A872856"/>
    <w:rsid w:val="3A930597"/>
    <w:rsid w:val="3AA05073"/>
    <w:rsid w:val="3AC06B5C"/>
    <w:rsid w:val="3B310220"/>
    <w:rsid w:val="3B3763D1"/>
    <w:rsid w:val="3B52214B"/>
    <w:rsid w:val="3B6D25BD"/>
    <w:rsid w:val="3B7C0644"/>
    <w:rsid w:val="3B8641B2"/>
    <w:rsid w:val="3B9D5939"/>
    <w:rsid w:val="3BD656F4"/>
    <w:rsid w:val="3BF93957"/>
    <w:rsid w:val="3C2F6E1E"/>
    <w:rsid w:val="3C4F64BA"/>
    <w:rsid w:val="3C5514DD"/>
    <w:rsid w:val="3C6109FB"/>
    <w:rsid w:val="3C9F4A60"/>
    <w:rsid w:val="3CB84654"/>
    <w:rsid w:val="3CDA245A"/>
    <w:rsid w:val="3CF7485B"/>
    <w:rsid w:val="3D0801FD"/>
    <w:rsid w:val="3D193084"/>
    <w:rsid w:val="3D1A2138"/>
    <w:rsid w:val="3D1E06B7"/>
    <w:rsid w:val="3D975295"/>
    <w:rsid w:val="3DE51872"/>
    <w:rsid w:val="3E150F77"/>
    <w:rsid w:val="3E302F93"/>
    <w:rsid w:val="3E92746B"/>
    <w:rsid w:val="3E9C2314"/>
    <w:rsid w:val="3E9E46F9"/>
    <w:rsid w:val="3EDA0523"/>
    <w:rsid w:val="3EEB3B63"/>
    <w:rsid w:val="3EF13F74"/>
    <w:rsid w:val="3F2D522B"/>
    <w:rsid w:val="3F47037C"/>
    <w:rsid w:val="3F5D4F76"/>
    <w:rsid w:val="3FB3106C"/>
    <w:rsid w:val="3FC9475C"/>
    <w:rsid w:val="3FFB697C"/>
    <w:rsid w:val="40003C7E"/>
    <w:rsid w:val="4020246E"/>
    <w:rsid w:val="402A608A"/>
    <w:rsid w:val="403768E5"/>
    <w:rsid w:val="40437F8B"/>
    <w:rsid w:val="404D2757"/>
    <w:rsid w:val="40733629"/>
    <w:rsid w:val="407A6407"/>
    <w:rsid w:val="407D02FC"/>
    <w:rsid w:val="409A272E"/>
    <w:rsid w:val="40E335D7"/>
    <w:rsid w:val="410122B7"/>
    <w:rsid w:val="41264B4B"/>
    <w:rsid w:val="41335C75"/>
    <w:rsid w:val="41584F59"/>
    <w:rsid w:val="417E204F"/>
    <w:rsid w:val="41A96C3D"/>
    <w:rsid w:val="41B86D2E"/>
    <w:rsid w:val="41D02A92"/>
    <w:rsid w:val="4200449D"/>
    <w:rsid w:val="420C1409"/>
    <w:rsid w:val="423A3BCC"/>
    <w:rsid w:val="424E57D2"/>
    <w:rsid w:val="42B26C49"/>
    <w:rsid w:val="42D55572"/>
    <w:rsid w:val="42F86582"/>
    <w:rsid w:val="430A1A5A"/>
    <w:rsid w:val="432709D0"/>
    <w:rsid w:val="43383F67"/>
    <w:rsid w:val="433A6FE6"/>
    <w:rsid w:val="4347073B"/>
    <w:rsid w:val="43480868"/>
    <w:rsid w:val="4350713C"/>
    <w:rsid w:val="436653E0"/>
    <w:rsid w:val="43AC054B"/>
    <w:rsid w:val="43C4431A"/>
    <w:rsid w:val="43CD1D6A"/>
    <w:rsid w:val="43DC38E1"/>
    <w:rsid w:val="43DF20E6"/>
    <w:rsid w:val="442F6C9A"/>
    <w:rsid w:val="445724E9"/>
    <w:rsid w:val="445C22B9"/>
    <w:rsid w:val="44A7156B"/>
    <w:rsid w:val="44AB4CA6"/>
    <w:rsid w:val="44B951CC"/>
    <w:rsid w:val="44BD68E4"/>
    <w:rsid w:val="44C76DC1"/>
    <w:rsid w:val="44CD14E0"/>
    <w:rsid w:val="44DA39E6"/>
    <w:rsid w:val="44F075A8"/>
    <w:rsid w:val="44F20B0B"/>
    <w:rsid w:val="44F24611"/>
    <w:rsid w:val="450D34CE"/>
    <w:rsid w:val="452E5F4C"/>
    <w:rsid w:val="45333EA1"/>
    <w:rsid w:val="45612018"/>
    <w:rsid w:val="457222AD"/>
    <w:rsid w:val="458946E9"/>
    <w:rsid w:val="45940F71"/>
    <w:rsid w:val="45A47C0E"/>
    <w:rsid w:val="45B47DEE"/>
    <w:rsid w:val="45D57407"/>
    <w:rsid w:val="461C2511"/>
    <w:rsid w:val="463E49BE"/>
    <w:rsid w:val="464D5049"/>
    <w:rsid w:val="46577FD6"/>
    <w:rsid w:val="467448B8"/>
    <w:rsid w:val="468A4F4F"/>
    <w:rsid w:val="46C94FB4"/>
    <w:rsid w:val="46D21191"/>
    <w:rsid w:val="46D955A7"/>
    <w:rsid w:val="46DF4202"/>
    <w:rsid w:val="46E25468"/>
    <w:rsid w:val="47133957"/>
    <w:rsid w:val="471B6355"/>
    <w:rsid w:val="477E2E4D"/>
    <w:rsid w:val="47871B24"/>
    <w:rsid w:val="47A07E0C"/>
    <w:rsid w:val="47BF538D"/>
    <w:rsid w:val="480D2CAF"/>
    <w:rsid w:val="4812529F"/>
    <w:rsid w:val="4870272E"/>
    <w:rsid w:val="48C653E4"/>
    <w:rsid w:val="48CF1316"/>
    <w:rsid w:val="48EF3C19"/>
    <w:rsid w:val="49065FBB"/>
    <w:rsid w:val="491C6CD7"/>
    <w:rsid w:val="49513C82"/>
    <w:rsid w:val="496053A6"/>
    <w:rsid w:val="496F2D8A"/>
    <w:rsid w:val="49DC068E"/>
    <w:rsid w:val="49DC7715"/>
    <w:rsid w:val="49FC5422"/>
    <w:rsid w:val="4A023139"/>
    <w:rsid w:val="4A564CA8"/>
    <w:rsid w:val="4A612BBA"/>
    <w:rsid w:val="4A7B576F"/>
    <w:rsid w:val="4A8D57C1"/>
    <w:rsid w:val="4AB97C54"/>
    <w:rsid w:val="4ACD5E13"/>
    <w:rsid w:val="4AD24DD2"/>
    <w:rsid w:val="4AF561A9"/>
    <w:rsid w:val="4B0D2B22"/>
    <w:rsid w:val="4B1156CF"/>
    <w:rsid w:val="4B3C2D5F"/>
    <w:rsid w:val="4B59586A"/>
    <w:rsid w:val="4B6104B5"/>
    <w:rsid w:val="4B6F2C01"/>
    <w:rsid w:val="4B7C7600"/>
    <w:rsid w:val="4BB770C8"/>
    <w:rsid w:val="4C3251A8"/>
    <w:rsid w:val="4C3458C6"/>
    <w:rsid w:val="4C3A6D52"/>
    <w:rsid w:val="4C4264FE"/>
    <w:rsid w:val="4C4A0649"/>
    <w:rsid w:val="4C5D5537"/>
    <w:rsid w:val="4C682B2A"/>
    <w:rsid w:val="4C7175CB"/>
    <w:rsid w:val="4C7E5ECA"/>
    <w:rsid w:val="4C876AA5"/>
    <w:rsid w:val="4C882EC8"/>
    <w:rsid w:val="4C97381F"/>
    <w:rsid w:val="4CE45765"/>
    <w:rsid w:val="4CEC08D3"/>
    <w:rsid w:val="4D0E00FB"/>
    <w:rsid w:val="4D176606"/>
    <w:rsid w:val="4D714816"/>
    <w:rsid w:val="4DEC4FB0"/>
    <w:rsid w:val="4DF44658"/>
    <w:rsid w:val="4E075D8A"/>
    <w:rsid w:val="4E0F02B7"/>
    <w:rsid w:val="4E3173DD"/>
    <w:rsid w:val="4E3E1419"/>
    <w:rsid w:val="4E406E7E"/>
    <w:rsid w:val="4E407554"/>
    <w:rsid w:val="4E4361B3"/>
    <w:rsid w:val="4E4B5CD0"/>
    <w:rsid w:val="4E680C1B"/>
    <w:rsid w:val="4E9C1668"/>
    <w:rsid w:val="4EBE1CDD"/>
    <w:rsid w:val="4EC00FAD"/>
    <w:rsid w:val="4EFA24EA"/>
    <w:rsid w:val="4EFB0B66"/>
    <w:rsid w:val="4EFD14A0"/>
    <w:rsid w:val="4F4E7DE1"/>
    <w:rsid w:val="4F9843DC"/>
    <w:rsid w:val="4FBE5B86"/>
    <w:rsid w:val="4FC01A96"/>
    <w:rsid w:val="4FC62A8C"/>
    <w:rsid w:val="4FCF234A"/>
    <w:rsid w:val="4FE20F0D"/>
    <w:rsid w:val="4FE51552"/>
    <w:rsid w:val="50041972"/>
    <w:rsid w:val="5019541D"/>
    <w:rsid w:val="50504C4B"/>
    <w:rsid w:val="506A6AE5"/>
    <w:rsid w:val="506B452E"/>
    <w:rsid w:val="506D39BB"/>
    <w:rsid w:val="507863F6"/>
    <w:rsid w:val="509C6E7C"/>
    <w:rsid w:val="50B51ADA"/>
    <w:rsid w:val="50B8456D"/>
    <w:rsid w:val="50C071EB"/>
    <w:rsid w:val="50D136BC"/>
    <w:rsid w:val="50D22DA3"/>
    <w:rsid w:val="50DC1198"/>
    <w:rsid w:val="51004D18"/>
    <w:rsid w:val="511C337C"/>
    <w:rsid w:val="512421B5"/>
    <w:rsid w:val="513B13C3"/>
    <w:rsid w:val="513C67F1"/>
    <w:rsid w:val="514B1E8F"/>
    <w:rsid w:val="515B480D"/>
    <w:rsid w:val="5162104E"/>
    <w:rsid w:val="518F6C62"/>
    <w:rsid w:val="519E11A2"/>
    <w:rsid w:val="51A83F3F"/>
    <w:rsid w:val="51C5343F"/>
    <w:rsid w:val="51DF7CF5"/>
    <w:rsid w:val="51E0616F"/>
    <w:rsid w:val="51E952C3"/>
    <w:rsid w:val="51F06981"/>
    <w:rsid w:val="52084934"/>
    <w:rsid w:val="52090F4D"/>
    <w:rsid w:val="5219001B"/>
    <w:rsid w:val="52206009"/>
    <w:rsid w:val="52E80FEC"/>
    <w:rsid w:val="52ED6952"/>
    <w:rsid w:val="53166927"/>
    <w:rsid w:val="532E5683"/>
    <w:rsid w:val="535523C0"/>
    <w:rsid w:val="535D3873"/>
    <w:rsid w:val="53762D77"/>
    <w:rsid w:val="537C213D"/>
    <w:rsid w:val="53852DC9"/>
    <w:rsid w:val="53A039CC"/>
    <w:rsid w:val="53A1505A"/>
    <w:rsid w:val="53EB70D0"/>
    <w:rsid w:val="53F11286"/>
    <w:rsid w:val="53F2787A"/>
    <w:rsid w:val="54063E08"/>
    <w:rsid w:val="543437E8"/>
    <w:rsid w:val="54405A83"/>
    <w:rsid w:val="54617393"/>
    <w:rsid w:val="54AD59FD"/>
    <w:rsid w:val="54AF52BE"/>
    <w:rsid w:val="54BC33DB"/>
    <w:rsid w:val="54BF571A"/>
    <w:rsid w:val="54EF5DC0"/>
    <w:rsid w:val="54F73313"/>
    <w:rsid w:val="54F80955"/>
    <w:rsid w:val="5503044A"/>
    <w:rsid w:val="55081F04"/>
    <w:rsid w:val="55175CA3"/>
    <w:rsid w:val="554F08A1"/>
    <w:rsid w:val="555170A7"/>
    <w:rsid w:val="5587536D"/>
    <w:rsid w:val="558A6E6B"/>
    <w:rsid w:val="559B174B"/>
    <w:rsid w:val="55B27012"/>
    <w:rsid w:val="55CE0CF4"/>
    <w:rsid w:val="563D5844"/>
    <w:rsid w:val="564753F9"/>
    <w:rsid w:val="5653039D"/>
    <w:rsid w:val="56A02AE1"/>
    <w:rsid w:val="56B22A9C"/>
    <w:rsid w:val="56CB2A6A"/>
    <w:rsid w:val="570D3B1F"/>
    <w:rsid w:val="5740241A"/>
    <w:rsid w:val="5753390A"/>
    <w:rsid w:val="575C02E5"/>
    <w:rsid w:val="579D2154"/>
    <w:rsid w:val="579D3DCA"/>
    <w:rsid w:val="57A446F3"/>
    <w:rsid w:val="57B72A76"/>
    <w:rsid w:val="57C3426C"/>
    <w:rsid w:val="57CE1F93"/>
    <w:rsid w:val="57D05633"/>
    <w:rsid w:val="57DE3F81"/>
    <w:rsid w:val="58084F36"/>
    <w:rsid w:val="583B7EFB"/>
    <w:rsid w:val="585D2567"/>
    <w:rsid w:val="587815FE"/>
    <w:rsid w:val="588743D1"/>
    <w:rsid w:val="5887701A"/>
    <w:rsid w:val="589E06DD"/>
    <w:rsid w:val="58AF6A44"/>
    <w:rsid w:val="58B01482"/>
    <w:rsid w:val="58C04312"/>
    <w:rsid w:val="58E95BA9"/>
    <w:rsid w:val="59032D2A"/>
    <w:rsid w:val="598312E2"/>
    <w:rsid w:val="59887700"/>
    <w:rsid w:val="598B093D"/>
    <w:rsid w:val="59AD3660"/>
    <w:rsid w:val="59C0439F"/>
    <w:rsid w:val="59E71D76"/>
    <w:rsid w:val="5A275654"/>
    <w:rsid w:val="5A332E72"/>
    <w:rsid w:val="5ABD553F"/>
    <w:rsid w:val="5ABE2233"/>
    <w:rsid w:val="5B9047A4"/>
    <w:rsid w:val="5B953AAE"/>
    <w:rsid w:val="5BC30933"/>
    <w:rsid w:val="5BC67CEC"/>
    <w:rsid w:val="5BCF552A"/>
    <w:rsid w:val="5BDF5D95"/>
    <w:rsid w:val="5BFE7528"/>
    <w:rsid w:val="5C0F3B9D"/>
    <w:rsid w:val="5C166E62"/>
    <w:rsid w:val="5C2A1733"/>
    <w:rsid w:val="5C5041EB"/>
    <w:rsid w:val="5C6402BE"/>
    <w:rsid w:val="5C771E77"/>
    <w:rsid w:val="5C845604"/>
    <w:rsid w:val="5CE86237"/>
    <w:rsid w:val="5D1B075E"/>
    <w:rsid w:val="5D2B49E2"/>
    <w:rsid w:val="5D32079C"/>
    <w:rsid w:val="5D3A390F"/>
    <w:rsid w:val="5DBC1626"/>
    <w:rsid w:val="5DEA607E"/>
    <w:rsid w:val="5DF8645E"/>
    <w:rsid w:val="5E053DDB"/>
    <w:rsid w:val="5E2426F0"/>
    <w:rsid w:val="5E2467F1"/>
    <w:rsid w:val="5E2B08DE"/>
    <w:rsid w:val="5E310DD1"/>
    <w:rsid w:val="5E3A6545"/>
    <w:rsid w:val="5E6463F2"/>
    <w:rsid w:val="5ED56FB5"/>
    <w:rsid w:val="5EE01731"/>
    <w:rsid w:val="5EF4643F"/>
    <w:rsid w:val="5F025D3F"/>
    <w:rsid w:val="5F096307"/>
    <w:rsid w:val="5F1A2B43"/>
    <w:rsid w:val="5F3C5219"/>
    <w:rsid w:val="5F6C0FEB"/>
    <w:rsid w:val="5F9B5A7D"/>
    <w:rsid w:val="5FB837BB"/>
    <w:rsid w:val="5FB97DE1"/>
    <w:rsid w:val="5FE10734"/>
    <w:rsid w:val="60335F84"/>
    <w:rsid w:val="6051650D"/>
    <w:rsid w:val="6094615F"/>
    <w:rsid w:val="60CC0174"/>
    <w:rsid w:val="60CC405A"/>
    <w:rsid w:val="60E7192E"/>
    <w:rsid w:val="60F919E8"/>
    <w:rsid w:val="611264F8"/>
    <w:rsid w:val="61273F46"/>
    <w:rsid w:val="61504A17"/>
    <w:rsid w:val="61885C49"/>
    <w:rsid w:val="61DD0315"/>
    <w:rsid w:val="61E215D8"/>
    <w:rsid w:val="621B3775"/>
    <w:rsid w:val="62364782"/>
    <w:rsid w:val="62601BB3"/>
    <w:rsid w:val="62946FE0"/>
    <w:rsid w:val="62A95B48"/>
    <w:rsid w:val="62E47B0C"/>
    <w:rsid w:val="62F31373"/>
    <w:rsid w:val="62F448FD"/>
    <w:rsid w:val="630755A9"/>
    <w:rsid w:val="630F140E"/>
    <w:rsid w:val="631E5AFE"/>
    <w:rsid w:val="636E5FB5"/>
    <w:rsid w:val="637860F1"/>
    <w:rsid w:val="63800E8D"/>
    <w:rsid w:val="6394356A"/>
    <w:rsid w:val="63AF3FD9"/>
    <w:rsid w:val="63C61B2C"/>
    <w:rsid w:val="63D40BE9"/>
    <w:rsid w:val="64102431"/>
    <w:rsid w:val="641839AF"/>
    <w:rsid w:val="64226363"/>
    <w:rsid w:val="64724786"/>
    <w:rsid w:val="647405B2"/>
    <w:rsid w:val="6493342B"/>
    <w:rsid w:val="64A5243A"/>
    <w:rsid w:val="64F531DE"/>
    <w:rsid w:val="65373578"/>
    <w:rsid w:val="653B6EEE"/>
    <w:rsid w:val="656756FC"/>
    <w:rsid w:val="658253BB"/>
    <w:rsid w:val="659155FE"/>
    <w:rsid w:val="65C669C4"/>
    <w:rsid w:val="65DB21B0"/>
    <w:rsid w:val="65E2561F"/>
    <w:rsid w:val="661A6105"/>
    <w:rsid w:val="66553E45"/>
    <w:rsid w:val="6661526A"/>
    <w:rsid w:val="66CE4704"/>
    <w:rsid w:val="66F649DA"/>
    <w:rsid w:val="671025C6"/>
    <w:rsid w:val="671D335E"/>
    <w:rsid w:val="671F124A"/>
    <w:rsid w:val="67347036"/>
    <w:rsid w:val="67373EEC"/>
    <w:rsid w:val="673F5EBD"/>
    <w:rsid w:val="67650123"/>
    <w:rsid w:val="677A33C6"/>
    <w:rsid w:val="67930C3A"/>
    <w:rsid w:val="6799143F"/>
    <w:rsid w:val="68036687"/>
    <w:rsid w:val="680453AB"/>
    <w:rsid w:val="6809591F"/>
    <w:rsid w:val="681F6961"/>
    <w:rsid w:val="683A2F42"/>
    <w:rsid w:val="68572CE3"/>
    <w:rsid w:val="68610A2F"/>
    <w:rsid w:val="686B2DC3"/>
    <w:rsid w:val="68805514"/>
    <w:rsid w:val="689E532E"/>
    <w:rsid w:val="68B414F5"/>
    <w:rsid w:val="68CB6ED0"/>
    <w:rsid w:val="68D514B4"/>
    <w:rsid w:val="68DB48FD"/>
    <w:rsid w:val="69316E2F"/>
    <w:rsid w:val="693F5A8E"/>
    <w:rsid w:val="69432511"/>
    <w:rsid w:val="694E2071"/>
    <w:rsid w:val="69766163"/>
    <w:rsid w:val="69796AD5"/>
    <w:rsid w:val="697A3B33"/>
    <w:rsid w:val="6993643B"/>
    <w:rsid w:val="69C451DF"/>
    <w:rsid w:val="69D44760"/>
    <w:rsid w:val="69D9607C"/>
    <w:rsid w:val="69F50BD8"/>
    <w:rsid w:val="6A3A6264"/>
    <w:rsid w:val="6A3D7DBF"/>
    <w:rsid w:val="6A3E279B"/>
    <w:rsid w:val="6A48145B"/>
    <w:rsid w:val="6A520EC7"/>
    <w:rsid w:val="6A8E5399"/>
    <w:rsid w:val="6ADB493C"/>
    <w:rsid w:val="6AF70B0C"/>
    <w:rsid w:val="6AF87E20"/>
    <w:rsid w:val="6B0F5943"/>
    <w:rsid w:val="6B322639"/>
    <w:rsid w:val="6B8D2439"/>
    <w:rsid w:val="6B9D42AD"/>
    <w:rsid w:val="6C2B21F9"/>
    <w:rsid w:val="6C3D64DF"/>
    <w:rsid w:val="6C4E249B"/>
    <w:rsid w:val="6C5D26DE"/>
    <w:rsid w:val="6C636C38"/>
    <w:rsid w:val="6CC26721"/>
    <w:rsid w:val="6CD030ED"/>
    <w:rsid w:val="6CE801F9"/>
    <w:rsid w:val="6CF156CA"/>
    <w:rsid w:val="6D545E34"/>
    <w:rsid w:val="6D9C28D5"/>
    <w:rsid w:val="6DA53261"/>
    <w:rsid w:val="6DB331BC"/>
    <w:rsid w:val="6DB34098"/>
    <w:rsid w:val="6DB545B6"/>
    <w:rsid w:val="6DE02FB4"/>
    <w:rsid w:val="6E1E4D2E"/>
    <w:rsid w:val="6E4802F4"/>
    <w:rsid w:val="6E4C327A"/>
    <w:rsid w:val="6E514CED"/>
    <w:rsid w:val="6E8B1784"/>
    <w:rsid w:val="6EA168B2"/>
    <w:rsid w:val="6EA63EC8"/>
    <w:rsid w:val="6EB54C11"/>
    <w:rsid w:val="6EB563D5"/>
    <w:rsid w:val="6ED55BE1"/>
    <w:rsid w:val="6ED562B1"/>
    <w:rsid w:val="6ED92677"/>
    <w:rsid w:val="6EE36ECA"/>
    <w:rsid w:val="6EF56020"/>
    <w:rsid w:val="6F0B4148"/>
    <w:rsid w:val="6F225983"/>
    <w:rsid w:val="6F8A58F5"/>
    <w:rsid w:val="6FB41467"/>
    <w:rsid w:val="6FCE13C8"/>
    <w:rsid w:val="6FF1003D"/>
    <w:rsid w:val="6FFC5590"/>
    <w:rsid w:val="70575A6A"/>
    <w:rsid w:val="706D1DD0"/>
    <w:rsid w:val="7070486A"/>
    <w:rsid w:val="707149AA"/>
    <w:rsid w:val="70856B87"/>
    <w:rsid w:val="70983CE4"/>
    <w:rsid w:val="70A66401"/>
    <w:rsid w:val="70AE5C04"/>
    <w:rsid w:val="70B67351"/>
    <w:rsid w:val="70BC134B"/>
    <w:rsid w:val="70D527EE"/>
    <w:rsid w:val="70DF1CC8"/>
    <w:rsid w:val="70E57F00"/>
    <w:rsid w:val="7148395C"/>
    <w:rsid w:val="714E18BE"/>
    <w:rsid w:val="715B5300"/>
    <w:rsid w:val="716608AE"/>
    <w:rsid w:val="71817E25"/>
    <w:rsid w:val="718A185F"/>
    <w:rsid w:val="71923A45"/>
    <w:rsid w:val="71D27F8A"/>
    <w:rsid w:val="72137FC8"/>
    <w:rsid w:val="721904C7"/>
    <w:rsid w:val="72343EE1"/>
    <w:rsid w:val="723E2669"/>
    <w:rsid w:val="72553024"/>
    <w:rsid w:val="72A476A5"/>
    <w:rsid w:val="72B8422D"/>
    <w:rsid w:val="72FB4660"/>
    <w:rsid w:val="73104006"/>
    <w:rsid w:val="73122968"/>
    <w:rsid w:val="731F5D5E"/>
    <w:rsid w:val="73542064"/>
    <w:rsid w:val="735470C4"/>
    <w:rsid w:val="735F2F58"/>
    <w:rsid w:val="73995969"/>
    <w:rsid w:val="73C51AD5"/>
    <w:rsid w:val="73C93721"/>
    <w:rsid w:val="73E72D35"/>
    <w:rsid w:val="741E4179"/>
    <w:rsid w:val="741E793C"/>
    <w:rsid w:val="74454BD7"/>
    <w:rsid w:val="74515CAA"/>
    <w:rsid w:val="745E3944"/>
    <w:rsid w:val="74932A0C"/>
    <w:rsid w:val="75040D90"/>
    <w:rsid w:val="75227685"/>
    <w:rsid w:val="75640BD1"/>
    <w:rsid w:val="756F3322"/>
    <w:rsid w:val="75AE57F7"/>
    <w:rsid w:val="75C75250"/>
    <w:rsid w:val="75CE42C0"/>
    <w:rsid w:val="75F50F12"/>
    <w:rsid w:val="76092C01"/>
    <w:rsid w:val="761A665C"/>
    <w:rsid w:val="7635099D"/>
    <w:rsid w:val="76353532"/>
    <w:rsid w:val="765F31DF"/>
    <w:rsid w:val="768A7D0B"/>
    <w:rsid w:val="76CF56CF"/>
    <w:rsid w:val="76D37959"/>
    <w:rsid w:val="76FA1D0B"/>
    <w:rsid w:val="776115E9"/>
    <w:rsid w:val="77762421"/>
    <w:rsid w:val="777966CE"/>
    <w:rsid w:val="77860A42"/>
    <w:rsid w:val="7787307A"/>
    <w:rsid w:val="77A318EC"/>
    <w:rsid w:val="77AC2D86"/>
    <w:rsid w:val="77B56B1F"/>
    <w:rsid w:val="780D15A8"/>
    <w:rsid w:val="780F09F4"/>
    <w:rsid w:val="783B6DE3"/>
    <w:rsid w:val="78450BF6"/>
    <w:rsid w:val="78613D47"/>
    <w:rsid w:val="786839AD"/>
    <w:rsid w:val="788D2CF0"/>
    <w:rsid w:val="789E125C"/>
    <w:rsid w:val="78A90480"/>
    <w:rsid w:val="78BC12DE"/>
    <w:rsid w:val="78DD20CE"/>
    <w:rsid w:val="78EA7C80"/>
    <w:rsid w:val="78FB752E"/>
    <w:rsid w:val="790F5C1D"/>
    <w:rsid w:val="791D157A"/>
    <w:rsid w:val="797869AC"/>
    <w:rsid w:val="79892D47"/>
    <w:rsid w:val="798B1047"/>
    <w:rsid w:val="79D265A3"/>
    <w:rsid w:val="79DD228D"/>
    <w:rsid w:val="7A364017"/>
    <w:rsid w:val="7A8265E1"/>
    <w:rsid w:val="7AA44CF5"/>
    <w:rsid w:val="7B17638F"/>
    <w:rsid w:val="7B322A81"/>
    <w:rsid w:val="7B686D42"/>
    <w:rsid w:val="7B841746"/>
    <w:rsid w:val="7B8E68C0"/>
    <w:rsid w:val="7B984123"/>
    <w:rsid w:val="7BB0760A"/>
    <w:rsid w:val="7BD1454E"/>
    <w:rsid w:val="7BF15FCE"/>
    <w:rsid w:val="7BFE5A11"/>
    <w:rsid w:val="7C02383A"/>
    <w:rsid w:val="7C5D0C42"/>
    <w:rsid w:val="7C6C5AC7"/>
    <w:rsid w:val="7C725D5C"/>
    <w:rsid w:val="7C966990"/>
    <w:rsid w:val="7CC43D31"/>
    <w:rsid w:val="7CC6544B"/>
    <w:rsid w:val="7CCB29CD"/>
    <w:rsid w:val="7CF91FAF"/>
    <w:rsid w:val="7D0239FF"/>
    <w:rsid w:val="7D1359BB"/>
    <w:rsid w:val="7D322B22"/>
    <w:rsid w:val="7D3414E6"/>
    <w:rsid w:val="7D44000E"/>
    <w:rsid w:val="7D5E40CD"/>
    <w:rsid w:val="7D617A12"/>
    <w:rsid w:val="7D6C2034"/>
    <w:rsid w:val="7D8C639D"/>
    <w:rsid w:val="7D9263E8"/>
    <w:rsid w:val="7DBB7A27"/>
    <w:rsid w:val="7DCD56F2"/>
    <w:rsid w:val="7DF46AC3"/>
    <w:rsid w:val="7E074859"/>
    <w:rsid w:val="7E6D4A02"/>
    <w:rsid w:val="7E722019"/>
    <w:rsid w:val="7EC20525"/>
    <w:rsid w:val="7ECC4DFB"/>
    <w:rsid w:val="7EE17457"/>
    <w:rsid w:val="7EF22652"/>
    <w:rsid w:val="7F001CE7"/>
    <w:rsid w:val="7F14776B"/>
    <w:rsid w:val="7F451C00"/>
    <w:rsid w:val="7F4818EA"/>
    <w:rsid w:val="7F561141"/>
    <w:rsid w:val="7F5E2D0B"/>
    <w:rsid w:val="7F953CF4"/>
    <w:rsid w:val="7F994E17"/>
    <w:rsid w:val="7FC607B1"/>
    <w:rsid w:val="7FE47E50"/>
    <w:rsid w:val="7FF97D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1"/>
    <w:pPr>
      <w:ind w:left="1152"/>
      <w:outlineLvl w:val="1"/>
    </w:pPr>
    <w:rPr>
      <w:rFonts w:ascii="宋体" w:hAnsi="宋体" w:cs="宋体"/>
      <w:b/>
      <w:bCs/>
      <w:sz w:val="24"/>
      <w:lang w:val="zh-CN" w:bidi="zh-CN"/>
    </w:rPr>
  </w:style>
  <w:style w:type="paragraph" w:styleId="4">
    <w:name w:val="heading 3"/>
    <w:basedOn w:val="1"/>
    <w:next w:val="1"/>
    <w:autoRedefine/>
    <w:qFormat/>
    <w:uiPriority w:val="0"/>
    <w:pPr>
      <w:numPr>
        <w:ilvl w:val="2"/>
        <w:numId w:val="1"/>
      </w:numPr>
      <w:adjustRightInd w:val="0"/>
      <w:snapToGrid w:val="0"/>
      <w:spacing w:line="360" w:lineRule="auto"/>
      <w:ind w:left="607" w:firstLine="361" w:firstLineChars="100"/>
      <w:jc w:val="left"/>
      <w:outlineLvl w:val="2"/>
    </w:pPr>
    <w:rPr>
      <w:b/>
      <w:bCs/>
      <w:kern w:val="0"/>
      <w:sz w:val="30"/>
      <w:szCs w:val="32"/>
    </w:rPr>
  </w:style>
  <w:style w:type="paragraph" w:styleId="5">
    <w:name w:val="heading 4"/>
    <w:basedOn w:val="1"/>
    <w:next w:val="1"/>
    <w:autoRedefine/>
    <w:qFormat/>
    <w:uiPriority w:val="0"/>
    <w:pPr>
      <w:keepNext/>
      <w:keepLines/>
      <w:spacing w:before="76" w:beforeLines="20" w:line="360" w:lineRule="auto"/>
      <w:jc w:val="left"/>
      <w:outlineLvl w:val="3"/>
    </w:pPr>
    <w:rPr>
      <w:rFonts w:eastAsia="黑体"/>
      <w:b/>
      <w:bCs/>
      <w:sz w:val="28"/>
      <w:szCs w:val="28"/>
      <w:lang w:val="zh-CN"/>
    </w:rPr>
  </w:style>
  <w:style w:type="paragraph" w:styleId="6">
    <w:name w:val="heading 6"/>
    <w:basedOn w:val="1"/>
    <w:next w:val="1"/>
    <w:autoRedefine/>
    <w:qFormat/>
    <w:uiPriority w:val="0"/>
    <w:pPr>
      <w:keepNext/>
      <w:keepLines/>
      <w:numPr>
        <w:ilvl w:val="5"/>
        <w:numId w:val="2"/>
      </w:numPr>
      <w:tabs>
        <w:tab w:val="left" w:pos="1152"/>
      </w:tabs>
      <w:spacing w:before="240" w:after="64" w:line="320" w:lineRule="auto"/>
      <w:outlineLvl w:val="5"/>
    </w:pPr>
    <w:rPr>
      <w:rFonts w:ascii="Arial" w:hAnsi="Arial" w:eastAsia="黑体"/>
      <w:b/>
      <w:bCs/>
      <w:sz w:val="24"/>
    </w:rPr>
  </w:style>
  <w:style w:type="paragraph" w:styleId="7">
    <w:name w:val="heading 7"/>
    <w:basedOn w:val="1"/>
    <w:next w:val="1"/>
    <w:autoRedefine/>
    <w:qFormat/>
    <w:uiPriority w:val="0"/>
    <w:pPr>
      <w:keepNext/>
      <w:keepLines/>
      <w:spacing w:before="240" w:after="64" w:line="320" w:lineRule="auto"/>
      <w:outlineLvl w:val="6"/>
    </w:pPr>
    <w:rPr>
      <w:b/>
      <w:bCs/>
      <w:sz w:val="24"/>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8">
    <w:name w:val="List 3"/>
    <w:basedOn w:val="1"/>
    <w:qFormat/>
    <w:uiPriority w:val="0"/>
    <w:pPr>
      <w:ind w:left="100" w:leftChars="400" w:hanging="200" w:hangingChars="200"/>
      <w:contextualSpacing/>
    </w:pPr>
  </w:style>
  <w:style w:type="paragraph" w:styleId="9">
    <w:name w:val="Normal Indent"/>
    <w:basedOn w:val="1"/>
    <w:autoRedefine/>
    <w:qFormat/>
    <w:uiPriority w:val="0"/>
    <w:pPr>
      <w:ind w:firstLine="420" w:firstLineChars="200"/>
    </w:pPr>
  </w:style>
  <w:style w:type="paragraph" w:styleId="10">
    <w:name w:val="caption"/>
    <w:basedOn w:val="1"/>
    <w:next w:val="1"/>
    <w:autoRedefine/>
    <w:qFormat/>
    <w:uiPriority w:val="0"/>
    <w:pPr>
      <w:jc w:val="center"/>
    </w:pPr>
    <w:rPr>
      <w:rFonts w:cs="Arial"/>
      <w:b/>
      <w:kern w:val="0"/>
      <w:sz w:val="24"/>
      <w:lang w:val="zh-CN"/>
    </w:rPr>
  </w:style>
  <w:style w:type="paragraph" w:styleId="11">
    <w:name w:val="annotation text"/>
    <w:basedOn w:val="1"/>
    <w:link w:val="58"/>
    <w:autoRedefine/>
    <w:semiHidden/>
    <w:qFormat/>
    <w:uiPriority w:val="0"/>
    <w:pPr>
      <w:jc w:val="left"/>
    </w:pPr>
    <w:rPr>
      <w:kern w:val="0"/>
      <w:sz w:val="24"/>
      <w:szCs w:val="20"/>
    </w:rPr>
  </w:style>
  <w:style w:type="paragraph" w:styleId="12">
    <w:name w:val="Salutation"/>
    <w:basedOn w:val="1"/>
    <w:next w:val="1"/>
    <w:autoRedefine/>
    <w:qFormat/>
    <w:uiPriority w:val="0"/>
  </w:style>
  <w:style w:type="paragraph" w:styleId="13">
    <w:name w:val="Body Text"/>
    <w:basedOn w:val="1"/>
    <w:next w:val="1"/>
    <w:link w:val="57"/>
    <w:autoRedefine/>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64"/>
    <w:autoRedefine/>
    <w:qFormat/>
    <w:uiPriority w:val="0"/>
    <w:pPr>
      <w:spacing w:after="120"/>
      <w:ind w:left="420" w:leftChars="200"/>
    </w:pPr>
    <w:rPr>
      <w:kern w:val="0"/>
      <w:sz w:val="24"/>
      <w:szCs w:val="20"/>
    </w:rPr>
  </w:style>
  <w:style w:type="paragraph" w:styleId="15">
    <w:name w:val="Body Text Indent 2"/>
    <w:basedOn w:val="1"/>
    <w:next w:val="16"/>
    <w:autoRedefine/>
    <w:unhideWhenUsed/>
    <w:qFormat/>
    <w:uiPriority w:val="99"/>
    <w:pPr>
      <w:spacing w:after="120" w:line="480" w:lineRule="auto"/>
      <w:ind w:left="420" w:leftChars="200"/>
    </w:pPr>
  </w:style>
  <w:style w:type="paragraph" w:styleId="16">
    <w:name w:val="Body Text First Indent 2"/>
    <w:basedOn w:val="14"/>
    <w:next w:val="1"/>
    <w:autoRedefine/>
    <w:unhideWhenUsed/>
    <w:qFormat/>
    <w:uiPriority w:val="99"/>
    <w:pPr>
      <w:ind w:firstLine="420" w:firstLineChars="200"/>
    </w:pPr>
  </w:style>
  <w:style w:type="paragraph" w:styleId="17">
    <w:name w:val="Block Text"/>
    <w:basedOn w:val="1"/>
    <w:unhideWhenUsed/>
    <w:qFormat/>
    <w:uiPriority w:val="99"/>
    <w:pPr>
      <w:spacing w:after="120"/>
      <w:ind w:left="1440" w:leftChars="700" w:right="1440" w:rightChars="700"/>
    </w:pPr>
  </w:style>
  <w:style w:type="paragraph" w:styleId="18">
    <w:name w:val="Plain Text"/>
    <w:basedOn w:val="1"/>
    <w:next w:val="12"/>
    <w:autoRedefine/>
    <w:qFormat/>
    <w:uiPriority w:val="0"/>
    <w:rPr>
      <w:rFonts w:ascii="宋体" w:hAnsi="Courier New"/>
      <w:kern w:val="0"/>
      <w:szCs w:val="21"/>
    </w:rPr>
  </w:style>
  <w:style w:type="paragraph" w:styleId="19">
    <w:name w:val="Date"/>
    <w:basedOn w:val="1"/>
    <w:next w:val="1"/>
    <w:link w:val="53"/>
    <w:autoRedefine/>
    <w:qFormat/>
    <w:uiPriority w:val="0"/>
    <w:pPr>
      <w:ind w:left="100" w:leftChars="2500"/>
    </w:pPr>
    <w:rPr>
      <w:kern w:val="0"/>
      <w:sz w:val="24"/>
      <w:szCs w:val="20"/>
    </w:rPr>
  </w:style>
  <w:style w:type="paragraph" w:styleId="20">
    <w:name w:val="Balloon Text"/>
    <w:basedOn w:val="1"/>
    <w:link w:val="60"/>
    <w:autoRedefine/>
    <w:semiHidden/>
    <w:qFormat/>
    <w:uiPriority w:val="0"/>
    <w:rPr>
      <w:kern w:val="0"/>
      <w:sz w:val="18"/>
      <w:szCs w:val="20"/>
    </w:rPr>
  </w:style>
  <w:style w:type="paragraph" w:styleId="21">
    <w:name w:val="footer"/>
    <w:basedOn w:val="1"/>
    <w:link w:val="52"/>
    <w:autoRedefine/>
    <w:qFormat/>
    <w:uiPriority w:val="99"/>
    <w:pPr>
      <w:tabs>
        <w:tab w:val="center" w:pos="4153"/>
        <w:tab w:val="right" w:pos="8306"/>
      </w:tabs>
      <w:snapToGrid w:val="0"/>
      <w:jc w:val="left"/>
    </w:pPr>
    <w:rPr>
      <w:kern w:val="0"/>
      <w:sz w:val="18"/>
      <w:szCs w:val="20"/>
    </w:rPr>
  </w:style>
  <w:style w:type="paragraph" w:styleId="22">
    <w:name w:val="envelope return"/>
    <w:basedOn w:val="1"/>
    <w:autoRedefine/>
    <w:qFormat/>
    <w:uiPriority w:val="0"/>
    <w:pPr>
      <w:snapToGrid w:val="0"/>
      <w:spacing w:line="480" w:lineRule="exact"/>
    </w:pPr>
    <w:rPr>
      <w:rFonts w:ascii="Arial" w:hAnsi="Arial" w:cs="Arial"/>
    </w:rPr>
  </w:style>
  <w:style w:type="paragraph" w:styleId="23">
    <w:name w:val="header"/>
    <w:basedOn w:val="1"/>
    <w:next w:val="1"/>
    <w:link w:val="62"/>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List"/>
    <w:basedOn w:val="1"/>
    <w:next w:val="1"/>
    <w:autoRedefine/>
    <w:qFormat/>
    <w:uiPriority w:val="0"/>
    <w:pPr>
      <w:ind w:left="200" w:hanging="200" w:hangingChars="200"/>
    </w:pPr>
  </w:style>
  <w:style w:type="paragraph" w:styleId="25">
    <w:name w:val="table of figures"/>
    <w:basedOn w:val="1"/>
    <w:next w:val="1"/>
    <w:autoRedefine/>
    <w:qFormat/>
    <w:uiPriority w:val="0"/>
    <w:pPr>
      <w:ind w:left="200" w:leftChars="200" w:hanging="200" w:hangingChars="200"/>
    </w:pPr>
  </w:style>
  <w:style w:type="paragraph" w:styleId="26">
    <w:name w:val="toc 9"/>
    <w:basedOn w:val="1"/>
    <w:next w:val="1"/>
    <w:autoRedefine/>
    <w:qFormat/>
    <w:uiPriority w:val="0"/>
    <w:pPr>
      <w:widowControl/>
      <w:wordWrap w:val="0"/>
      <w:ind w:left="2975"/>
    </w:pPr>
    <w:rPr>
      <w:szCs w:val="22"/>
    </w:rPr>
  </w:style>
  <w:style w:type="paragraph" w:styleId="27">
    <w:name w:val="Body Text 2"/>
    <w:basedOn w:val="1"/>
    <w:next w:val="1"/>
    <w:autoRedefine/>
    <w:qFormat/>
    <w:uiPriority w:val="0"/>
    <w:pPr>
      <w:spacing w:after="120" w:line="480" w:lineRule="auto"/>
    </w:pPr>
  </w:style>
  <w:style w:type="paragraph" w:styleId="28">
    <w:name w:val="Normal (Web)"/>
    <w:basedOn w:val="1"/>
    <w:link w:val="55"/>
    <w:autoRedefine/>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1"/>
    <w:next w:val="11"/>
    <w:link w:val="61"/>
    <w:autoRedefine/>
    <w:semiHidden/>
    <w:qFormat/>
    <w:uiPriority w:val="0"/>
    <w:rPr>
      <w:b/>
    </w:rPr>
  </w:style>
  <w:style w:type="paragraph" w:styleId="30">
    <w:name w:val="Body Text First Indent"/>
    <w:basedOn w:val="13"/>
    <w:next w:val="1"/>
    <w:autoRedefine/>
    <w:qFormat/>
    <w:uiPriority w:val="0"/>
    <w:pPr>
      <w:spacing w:after="120" w:line="240" w:lineRule="auto"/>
      <w:ind w:firstLine="420" w:firstLineChars="100"/>
    </w:pPr>
    <w:rPr>
      <w:sz w:val="21"/>
      <w:szCs w:val="24"/>
    </w:rPr>
  </w:style>
  <w:style w:type="table" w:styleId="32">
    <w:name w:val="Table Grid"/>
    <w:basedOn w:val="3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0"/>
    <w:rPr>
      <w:rFonts w:hint="default" w:ascii="Calibri" w:hAnsi="Calibri" w:eastAsia="宋体" w:cs="Times New Roman"/>
      <w:b/>
    </w:rPr>
  </w:style>
  <w:style w:type="character" w:styleId="35">
    <w:name w:val="page number"/>
    <w:basedOn w:val="33"/>
    <w:autoRedefine/>
    <w:qFormat/>
    <w:uiPriority w:val="0"/>
  </w:style>
  <w:style w:type="character" w:styleId="36">
    <w:name w:val="Hyperlink"/>
    <w:basedOn w:val="33"/>
    <w:qFormat/>
    <w:uiPriority w:val="0"/>
    <w:rPr>
      <w:color w:val="0000FF"/>
      <w:u w:val="single"/>
    </w:rPr>
  </w:style>
  <w:style w:type="character" w:styleId="37">
    <w:name w:val="annotation reference"/>
    <w:autoRedefine/>
    <w:semiHidden/>
    <w:qFormat/>
    <w:uiPriority w:val="0"/>
    <w:rPr>
      <w:sz w:val="21"/>
    </w:rPr>
  </w:style>
  <w:style w:type="paragraph" w:customStyle="1" w:styleId="38">
    <w:name w:val="xl27"/>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仿宋_GB2312" w:hAnsi="宋体" w:eastAsia="仿宋_GB2312" w:cs="宋体"/>
      <w:color w:val="FF0000"/>
      <w:kern w:val="0"/>
      <w:szCs w:val="21"/>
    </w:rPr>
  </w:style>
  <w:style w:type="paragraph" w:customStyle="1" w:styleId="39">
    <w:name w:val="正文1"/>
    <w:basedOn w:val="1"/>
    <w:autoRedefine/>
    <w:qFormat/>
    <w:uiPriority w:val="0"/>
    <w:pPr>
      <w:ind w:firstLine="480"/>
    </w:pPr>
    <w:rPr>
      <w:rFonts w:cs="Times New Roman"/>
      <w:color w:val="auto"/>
      <w:kern w:val="0"/>
    </w:rPr>
  </w:style>
  <w:style w:type="paragraph" w:customStyle="1" w:styleId="40">
    <w:name w:val="Default1"/>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Body Text First Indent 21"/>
    <w:basedOn w:val="42"/>
    <w:autoRedefine/>
    <w:qFormat/>
    <w:uiPriority w:val="0"/>
    <w:pPr>
      <w:ind w:firstLine="420"/>
    </w:pPr>
    <w:rPr>
      <w:rFonts w:ascii="宋体" w:hAnsi="宋体" w:cs="宋体"/>
    </w:rPr>
  </w:style>
  <w:style w:type="paragraph" w:customStyle="1" w:styleId="42">
    <w:name w:val="Body Text Indent1"/>
    <w:basedOn w:val="1"/>
    <w:autoRedefine/>
    <w:qFormat/>
    <w:uiPriority w:val="0"/>
    <w:pPr>
      <w:spacing w:after="120"/>
      <w:ind w:left="420" w:leftChars="200"/>
    </w:pPr>
  </w:style>
  <w:style w:type="paragraph" w:customStyle="1" w:styleId="43">
    <w:name w:val="Default"/>
    <w:basedOn w:val="44"/>
    <w:next w:val="15"/>
    <w:autoRedefine/>
    <w:qFormat/>
    <w:uiPriority w:val="0"/>
    <w:pPr>
      <w:autoSpaceDE w:val="0"/>
      <w:autoSpaceDN w:val="0"/>
      <w:adjustRightInd w:val="0"/>
    </w:pPr>
    <w:rPr>
      <w:rFonts w:ascii="宋体" w:hAnsi="Calibri" w:cs="Calibri"/>
      <w:sz w:val="24"/>
      <w:szCs w:val="22"/>
    </w:rPr>
  </w:style>
  <w:style w:type="paragraph" w:customStyle="1" w:styleId="44">
    <w:name w:val="标题2"/>
    <w:basedOn w:val="1"/>
    <w:next w:val="1"/>
    <w:autoRedefine/>
    <w:qFormat/>
    <w:uiPriority w:val="0"/>
    <w:pPr>
      <w:autoSpaceDE w:val="0"/>
      <w:autoSpaceDN w:val="0"/>
      <w:snapToGrid w:val="0"/>
      <w:spacing w:line="590" w:lineRule="atLeast"/>
      <w:jc w:val="center"/>
    </w:pPr>
    <w:rPr>
      <w:rFonts w:eastAsia="方正楷体_GBK"/>
      <w:snapToGrid w:val="0"/>
      <w:kern w:val="0"/>
      <w:sz w:val="32"/>
    </w:rPr>
  </w:style>
  <w:style w:type="paragraph" w:customStyle="1" w:styleId="45">
    <w:name w:val="文本"/>
    <w:basedOn w:val="1"/>
    <w:next w:val="1"/>
    <w:autoRedefine/>
    <w:qFormat/>
    <w:uiPriority w:val="0"/>
    <w:pPr>
      <w:spacing w:line="360" w:lineRule="auto"/>
    </w:pPr>
  </w:style>
  <w:style w:type="paragraph" w:customStyle="1" w:styleId="46">
    <w:name w:val="1正文段落"/>
    <w:basedOn w:val="1"/>
    <w:autoRedefine/>
    <w:qFormat/>
    <w:uiPriority w:val="0"/>
    <w:pPr>
      <w:spacing w:line="360" w:lineRule="auto"/>
      <w:ind w:firstLine="480" w:firstLineChars="200"/>
      <w:jc w:val="left"/>
    </w:pPr>
    <w:rPr>
      <w:snapToGrid w:val="0"/>
      <w:kern w:val="0"/>
      <w:sz w:val="24"/>
      <w:lang w:val="zh-CN"/>
    </w:rPr>
  </w:style>
  <w:style w:type="paragraph" w:customStyle="1" w:styleId="47">
    <w:name w:val="xl23"/>
    <w:basedOn w:val="1"/>
    <w:next w:val="1"/>
    <w:autoRedefine/>
    <w:qFormat/>
    <w:uiPriority w:val="0"/>
    <w:pPr>
      <w:widowControl/>
      <w:spacing w:before="100" w:beforeAutospacing="1" w:after="100" w:afterAutospacing="1"/>
      <w:jc w:val="center"/>
    </w:pPr>
    <w:rPr>
      <w:rFonts w:ascii="Arial Unicode MS" w:hAnsi="Arial Unicode MS"/>
      <w:kern w:val="0"/>
      <w:sz w:val="24"/>
    </w:rPr>
  </w:style>
  <w:style w:type="paragraph" w:customStyle="1" w:styleId="48">
    <w:name w:val="表格"/>
    <w:basedOn w:val="25"/>
    <w:next w:val="1"/>
    <w:link w:val="49"/>
    <w:autoRedefine/>
    <w:qFormat/>
    <w:uiPriority w:val="0"/>
    <w:pPr>
      <w:adjustRightInd w:val="0"/>
      <w:snapToGrid w:val="0"/>
      <w:spacing w:beforeLines="10" w:afterLines="10" w:line="259" w:lineRule="auto"/>
      <w:jc w:val="center"/>
    </w:pPr>
    <w:rPr>
      <w:rFonts w:ascii="宋体"/>
      <w:kern w:val="0"/>
      <w:szCs w:val="20"/>
    </w:rPr>
  </w:style>
  <w:style w:type="character" w:customStyle="1" w:styleId="49">
    <w:name w:val="表格 Char"/>
    <w:link w:val="48"/>
    <w:autoRedefine/>
    <w:qFormat/>
    <w:uiPriority w:val="0"/>
    <w:rPr>
      <w:rFonts w:ascii="宋体"/>
      <w:sz w:val="21"/>
    </w:rPr>
  </w:style>
  <w:style w:type="paragraph" w:customStyle="1" w:styleId="50">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52">
    <w:name w:val="页脚 Char"/>
    <w:link w:val="21"/>
    <w:autoRedefine/>
    <w:qFormat/>
    <w:uiPriority w:val="99"/>
    <w:rPr>
      <w:sz w:val="18"/>
    </w:rPr>
  </w:style>
  <w:style w:type="character" w:customStyle="1" w:styleId="53">
    <w:name w:val="日期 Char"/>
    <w:link w:val="19"/>
    <w:autoRedefine/>
    <w:qFormat/>
    <w:uiPriority w:val="0"/>
    <w:rPr>
      <w:rFonts w:ascii="Times New Roman" w:hAnsi="Times New Roman" w:eastAsia="宋体"/>
      <w:sz w:val="24"/>
    </w:rPr>
  </w:style>
  <w:style w:type="character" w:customStyle="1" w:styleId="54">
    <w:name w:val="页脚 字符"/>
    <w:basedOn w:val="33"/>
    <w:autoRedefine/>
    <w:qFormat/>
    <w:uiPriority w:val="99"/>
  </w:style>
  <w:style w:type="character" w:customStyle="1" w:styleId="55">
    <w:name w:val="普通(网站) Char"/>
    <w:link w:val="28"/>
    <w:autoRedefine/>
    <w:qFormat/>
    <w:uiPriority w:val="0"/>
    <w:rPr>
      <w:rFonts w:ascii="宋体" w:hAnsi="宋体" w:eastAsia="宋体"/>
      <w:sz w:val="24"/>
    </w:rPr>
  </w:style>
  <w:style w:type="character" w:customStyle="1" w:styleId="56">
    <w:name w:val="正文文本 字符1"/>
    <w:autoRedefine/>
    <w:semiHidden/>
    <w:qFormat/>
    <w:uiPriority w:val="0"/>
    <w:rPr>
      <w:rFonts w:ascii="Times New Roman" w:hAnsi="Times New Roman" w:eastAsia="宋体"/>
      <w:sz w:val="24"/>
    </w:rPr>
  </w:style>
  <w:style w:type="character" w:customStyle="1" w:styleId="57">
    <w:name w:val="正文文本 Char"/>
    <w:link w:val="13"/>
    <w:autoRedefine/>
    <w:qFormat/>
    <w:uiPriority w:val="0"/>
    <w:rPr>
      <w:sz w:val="18"/>
    </w:rPr>
  </w:style>
  <w:style w:type="character" w:customStyle="1" w:styleId="58">
    <w:name w:val="批注文字 Char"/>
    <w:link w:val="11"/>
    <w:autoRedefine/>
    <w:qFormat/>
    <w:uiPriority w:val="0"/>
    <w:rPr>
      <w:rFonts w:ascii="Times New Roman" w:hAnsi="Times New Roman" w:eastAsia="宋体"/>
      <w:sz w:val="24"/>
    </w:rPr>
  </w:style>
  <w:style w:type="character" w:customStyle="1" w:styleId="59">
    <w:name w:val="日期 字符"/>
    <w:autoRedefine/>
    <w:semiHidden/>
    <w:qFormat/>
    <w:uiPriority w:val="0"/>
    <w:rPr>
      <w:rFonts w:ascii="Times New Roman" w:hAnsi="Times New Roman" w:eastAsia="宋体"/>
      <w:sz w:val="24"/>
    </w:rPr>
  </w:style>
  <w:style w:type="character" w:customStyle="1" w:styleId="60">
    <w:name w:val="批注框文本 Char"/>
    <w:link w:val="20"/>
    <w:autoRedefine/>
    <w:semiHidden/>
    <w:qFormat/>
    <w:uiPriority w:val="0"/>
    <w:rPr>
      <w:rFonts w:ascii="Times New Roman" w:hAnsi="Times New Roman" w:eastAsia="宋体"/>
      <w:sz w:val="18"/>
    </w:rPr>
  </w:style>
  <w:style w:type="character" w:customStyle="1" w:styleId="61">
    <w:name w:val="批注主题 Char"/>
    <w:link w:val="29"/>
    <w:autoRedefine/>
    <w:semiHidden/>
    <w:qFormat/>
    <w:uiPriority w:val="0"/>
    <w:rPr>
      <w:rFonts w:ascii="Times New Roman" w:hAnsi="Times New Roman" w:eastAsia="宋体"/>
      <w:b/>
      <w:kern w:val="2"/>
      <w:sz w:val="24"/>
    </w:rPr>
  </w:style>
  <w:style w:type="character" w:customStyle="1" w:styleId="62">
    <w:name w:val="页眉 Char"/>
    <w:link w:val="23"/>
    <w:autoRedefine/>
    <w:qFormat/>
    <w:uiPriority w:val="0"/>
    <w:rPr>
      <w:sz w:val="18"/>
    </w:rPr>
  </w:style>
  <w:style w:type="character" w:customStyle="1" w:styleId="63">
    <w:name w:val="批注文字 字符1"/>
    <w:autoRedefine/>
    <w:semiHidden/>
    <w:qFormat/>
    <w:uiPriority w:val="0"/>
    <w:rPr>
      <w:rFonts w:ascii="Times New Roman" w:hAnsi="Times New Roman" w:eastAsia="宋体"/>
      <w:sz w:val="24"/>
    </w:rPr>
  </w:style>
  <w:style w:type="character" w:customStyle="1" w:styleId="64">
    <w:name w:val="正文文本缩进 Char"/>
    <w:link w:val="14"/>
    <w:autoRedefine/>
    <w:semiHidden/>
    <w:qFormat/>
    <w:uiPriority w:val="0"/>
    <w:rPr>
      <w:rFonts w:ascii="Times New Roman" w:hAnsi="Times New Roman" w:eastAsia="宋体"/>
      <w:sz w:val="24"/>
    </w:rPr>
  </w:style>
  <w:style w:type="paragraph" w:customStyle="1" w:styleId="65">
    <w:name w:val="表"/>
    <w:next w:val="1"/>
    <w:autoRedefine/>
    <w:qFormat/>
    <w:uiPriority w:val="0"/>
    <w:pPr>
      <w:pBdr>
        <w:between w:val="dashSmallGap" w:color="666699" w:sz="4" w:space="1"/>
      </w:pBdr>
      <w:adjustRightInd w:val="0"/>
      <w:snapToGrid w:val="0"/>
      <w:spacing w:line="120" w:lineRule="atLeast"/>
      <w:jc w:val="center"/>
      <w:textAlignment w:val="center"/>
    </w:pPr>
    <w:rPr>
      <w:rFonts w:ascii="仿宋_GB2312" w:hAnsi="宋体" w:eastAsia="仿宋_GB2312" w:cs="Times New Roman"/>
      <w:sz w:val="24"/>
      <w:szCs w:val="24"/>
      <w:lang w:val="en-US" w:eastAsia="zh-CN" w:bidi="ar-SA"/>
    </w:rPr>
  </w:style>
  <w:style w:type="paragraph" w:customStyle="1" w:styleId="66">
    <w:name w:val="Table Paragraph"/>
    <w:basedOn w:val="1"/>
    <w:autoRedefine/>
    <w:qFormat/>
    <w:uiPriority w:val="0"/>
  </w:style>
  <w:style w:type="paragraph" w:customStyle="1" w:styleId="67">
    <w:name w:val="正文2"/>
    <w:basedOn w:val="1"/>
    <w:autoRedefine/>
    <w:qFormat/>
    <w:uiPriority w:val="0"/>
    <w:pPr>
      <w:spacing w:line="360" w:lineRule="auto"/>
      <w:ind w:firstLine="480" w:firstLineChars="200"/>
      <w:jc w:val="left"/>
    </w:pPr>
    <w:rPr>
      <w:kern w:val="0"/>
      <w:sz w:val="24"/>
      <w:szCs w:val="20"/>
    </w:rPr>
  </w:style>
  <w:style w:type="paragraph" w:customStyle="1" w:styleId="68">
    <w:name w:val="表格内容自定"/>
    <w:basedOn w:val="1"/>
    <w:autoRedefine/>
    <w:qFormat/>
    <w:uiPriority w:val="0"/>
    <w:pPr>
      <w:spacing w:line="280" w:lineRule="exact"/>
      <w:jc w:val="center"/>
    </w:pPr>
    <w:rPr>
      <w:kern w:val="0"/>
      <w:sz w:val="18"/>
      <w:szCs w:val="21"/>
    </w:rPr>
  </w:style>
  <w:style w:type="paragraph" w:customStyle="1" w:styleId="69">
    <w:name w:val="表格样式"/>
    <w:basedOn w:val="1"/>
    <w:autoRedefine/>
    <w:qFormat/>
    <w:uiPriority w:val="0"/>
    <w:pPr>
      <w:widowControl/>
      <w:adjustRightInd w:val="0"/>
      <w:snapToGrid w:val="0"/>
      <w:spacing w:line="360" w:lineRule="auto"/>
      <w:jc w:val="center"/>
    </w:pPr>
    <w:rPr>
      <w:szCs w:val="20"/>
    </w:rPr>
  </w:style>
  <w:style w:type="paragraph" w:styleId="70">
    <w:name w:val="List Paragraph"/>
    <w:basedOn w:val="1"/>
    <w:autoRedefine/>
    <w:qFormat/>
    <w:uiPriority w:val="1"/>
    <w:pPr>
      <w:ind w:left="240" w:firstLine="480"/>
    </w:pPr>
    <w:rPr>
      <w:rFonts w:ascii="宋体" w:hAnsi="宋体" w:cs="宋体"/>
      <w:lang w:val="zh-CN" w:bidi="zh-CN"/>
    </w:rPr>
  </w:style>
  <w:style w:type="paragraph" w:customStyle="1" w:styleId="71">
    <w:name w:val="报告书正文"/>
    <w:basedOn w:val="1"/>
    <w:autoRedefine/>
    <w:qFormat/>
    <w:uiPriority w:val="0"/>
    <w:pPr>
      <w:adjustRightInd w:val="0"/>
      <w:spacing w:line="360" w:lineRule="auto"/>
      <w:ind w:firstLine="200" w:firstLineChars="200"/>
    </w:pPr>
    <w:rPr>
      <w:sz w:val="24"/>
    </w:rPr>
  </w:style>
  <w:style w:type="paragraph" w:customStyle="1" w:styleId="72">
    <w:name w:val="正本文字"/>
    <w:basedOn w:val="1"/>
    <w:autoRedefine/>
    <w:qFormat/>
    <w:uiPriority w:val="0"/>
    <w:pPr>
      <w:adjustRightInd w:val="0"/>
      <w:snapToGrid w:val="0"/>
      <w:spacing w:line="360" w:lineRule="auto"/>
      <w:ind w:firstLine="480" w:firstLineChars="200"/>
      <w:jc w:val="left"/>
    </w:pPr>
    <w:rPr>
      <w:kern w:val="18"/>
      <w:sz w:val="24"/>
      <w:szCs w:val="20"/>
    </w:rPr>
  </w:style>
  <w:style w:type="paragraph" w:customStyle="1" w:styleId="73">
    <w:name w:val="正文(首行缩进)"/>
    <w:basedOn w:val="1"/>
    <w:autoRedefine/>
    <w:qFormat/>
    <w:uiPriority w:val="0"/>
    <w:pPr>
      <w:spacing w:line="360" w:lineRule="auto"/>
      <w:ind w:firstLine="510"/>
    </w:pPr>
    <w:rPr>
      <w:rFonts w:ascii="宋体" w:hAnsi="宋体"/>
      <w:snapToGrid w:val="0"/>
      <w:kern w:val="0"/>
      <w:sz w:val="24"/>
    </w:rPr>
  </w:style>
  <w:style w:type="paragraph" w:customStyle="1" w:styleId="74">
    <w:name w:val="表中文字"/>
    <w:basedOn w:val="1"/>
    <w:autoRedefine/>
    <w:qFormat/>
    <w:uiPriority w:val="0"/>
    <w:pPr>
      <w:autoSpaceDE w:val="0"/>
      <w:autoSpaceDN w:val="0"/>
      <w:adjustRightInd w:val="0"/>
      <w:snapToGrid w:val="0"/>
      <w:spacing w:line="400" w:lineRule="exact"/>
      <w:ind w:firstLine="601"/>
      <w:jc w:val="center"/>
      <w:textAlignment w:val="baseline"/>
    </w:pPr>
    <w:rPr>
      <w:rFonts w:ascii="宋体" w:eastAsia="楷体_GB2312"/>
      <w:spacing w:val="8"/>
      <w:kern w:val="0"/>
      <w:sz w:val="24"/>
      <w:szCs w:val="20"/>
    </w:rPr>
  </w:style>
  <w:style w:type="character" w:customStyle="1" w:styleId="75">
    <w:name w:val="font01"/>
    <w:autoRedefine/>
    <w:qFormat/>
    <w:uiPriority w:val="0"/>
    <w:rPr>
      <w:rFonts w:ascii="font-weight : 400" w:hAnsi="font-weight : 400" w:eastAsia="font-weight : 400" w:cs="font-weight : 400"/>
      <w:color w:val="000000"/>
      <w:sz w:val="22"/>
      <w:szCs w:val="22"/>
      <w:u w:val="none"/>
    </w:rPr>
  </w:style>
  <w:style w:type="paragraph" w:customStyle="1" w:styleId="76">
    <w:name w:val="表头"/>
    <w:basedOn w:val="9"/>
    <w:next w:val="1"/>
    <w:autoRedefine/>
    <w:qFormat/>
    <w:uiPriority w:val="0"/>
    <w:pPr>
      <w:spacing w:before="120" w:beforeLines="50" w:after="120" w:afterLines="50"/>
      <w:jc w:val="center"/>
    </w:pPr>
    <w:rPr>
      <w:rFonts w:eastAsia="黑体"/>
    </w:rPr>
  </w:style>
  <w:style w:type="paragraph" w:customStyle="1" w:styleId="77">
    <w:name w:val="Body text|1"/>
    <w:basedOn w:val="1"/>
    <w:autoRedefine/>
    <w:qFormat/>
    <w:uiPriority w:val="0"/>
    <w:pPr>
      <w:spacing w:line="403" w:lineRule="auto"/>
      <w:ind w:firstLine="400"/>
    </w:pPr>
    <w:rPr>
      <w:rFonts w:ascii="宋体" w:hAnsi="宋体" w:cs="宋体"/>
      <w:lang w:val="zh-TW" w:eastAsia="zh-TW" w:bidi="zh-TW"/>
    </w:rPr>
  </w:style>
  <w:style w:type="paragraph" w:customStyle="1" w:styleId="78">
    <w:name w:val="Other|1"/>
    <w:basedOn w:val="1"/>
    <w:autoRedefine/>
    <w:qFormat/>
    <w:uiPriority w:val="0"/>
    <w:pPr>
      <w:jc w:val="center"/>
    </w:pPr>
    <w:rPr>
      <w:rFonts w:ascii="宋体" w:hAnsi="宋体" w:cs="宋体"/>
      <w:sz w:val="20"/>
      <w:szCs w:val="20"/>
      <w:lang w:val="zh-TW" w:eastAsia="zh-TW" w:bidi="zh-TW"/>
    </w:rPr>
  </w:style>
  <w:style w:type="paragraph" w:customStyle="1" w:styleId="79">
    <w:name w:val="！正文"/>
    <w:basedOn w:val="1"/>
    <w:autoRedefine/>
    <w:qFormat/>
    <w:uiPriority w:val="0"/>
    <w:pPr>
      <w:spacing w:line="360" w:lineRule="auto"/>
      <w:ind w:firstLine="200" w:firstLineChars="200"/>
    </w:pPr>
    <w:rPr>
      <w:sz w:val="24"/>
      <w:szCs w:val="22"/>
    </w:rPr>
  </w:style>
  <w:style w:type="paragraph" w:customStyle="1" w:styleId="80">
    <w:name w:val="正文文本缩进1"/>
    <w:basedOn w:val="1"/>
    <w:autoRedefine/>
    <w:qFormat/>
    <w:uiPriority w:val="0"/>
    <w:pPr>
      <w:spacing w:after="120"/>
      <w:ind w:left="420" w:leftChars="200"/>
    </w:pPr>
  </w:style>
  <w:style w:type="paragraph" w:customStyle="1" w:styleId="81">
    <w:name w:val="标号正文"/>
    <w:basedOn w:val="1"/>
    <w:next w:val="1"/>
    <w:autoRedefine/>
    <w:qFormat/>
    <w:uiPriority w:val="99"/>
    <w:pPr>
      <w:tabs>
        <w:tab w:val="left" w:pos="1540"/>
      </w:tabs>
      <w:overflowPunct w:val="0"/>
      <w:snapToGrid w:val="0"/>
      <w:spacing w:line="360" w:lineRule="auto"/>
      <w:ind w:firstLine="1040"/>
      <w:jc w:val="left"/>
    </w:pPr>
    <w:rPr>
      <w:rFonts w:ascii="Arial" w:hAnsi="Arial"/>
      <w:sz w:val="24"/>
      <w:szCs w:val="20"/>
    </w:rPr>
  </w:style>
  <w:style w:type="paragraph" w:customStyle="1" w:styleId="82">
    <w:name w:val="表格文字"/>
    <w:basedOn w:val="13"/>
    <w:autoRedefine/>
    <w:qFormat/>
    <w:uiPriority w:val="0"/>
    <w:pPr>
      <w:jc w:val="center"/>
    </w:pPr>
    <w:rPr>
      <w:rFonts w:ascii="仿宋_GB2312" w:hAnsi="Arial Black" w:eastAsia="仿宋_GB2312"/>
      <w:kern w:val="44"/>
      <w:lang w:val="zh-CN"/>
    </w:rPr>
  </w:style>
  <w:style w:type="paragraph" w:customStyle="1" w:styleId="83">
    <w:name w:val="样式 报告书正文 + 小三 加粗 首行缩进:  0 厘米 行距: 固定值 25 磅"/>
    <w:basedOn w:val="1"/>
    <w:autoRedefine/>
    <w:qFormat/>
    <w:uiPriority w:val="0"/>
    <w:pPr>
      <w:adjustRightInd w:val="0"/>
      <w:snapToGrid w:val="0"/>
      <w:spacing w:line="500" w:lineRule="exact"/>
      <w:jc w:val="left"/>
      <w:textAlignment w:val="baseline"/>
    </w:pPr>
    <w:rPr>
      <w:rFonts w:cs="宋体"/>
      <w:b/>
      <w:bCs/>
      <w:kern w:val="0"/>
      <w:sz w:val="28"/>
      <w:szCs w:val="20"/>
    </w:rPr>
  </w:style>
  <w:style w:type="paragraph" w:customStyle="1" w:styleId="84">
    <w:name w:val="表格 32"/>
    <w:basedOn w:val="1"/>
    <w:autoRedefine/>
    <w:qFormat/>
    <w:uiPriority w:val="0"/>
    <w:pPr>
      <w:widowControl/>
      <w:autoSpaceDE w:val="0"/>
      <w:autoSpaceDN w:val="0"/>
      <w:adjustRightInd w:val="0"/>
      <w:snapToGrid w:val="0"/>
      <w:spacing w:line="360" w:lineRule="auto"/>
      <w:jc w:val="center"/>
      <w:textAlignment w:val="baseline"/>
    </w:pPr>
    <w:rPr>
      <w:rFonts w:eastAsia="楷体_GB2312" w:cs="黑体"/>
      <w:kern w:val="0"/>
      <w:sz w:val="24"/>
    </w:rPr>
  </w:style>
  <w:style w:type="paragraph" w:customStyle="1" w:styleId="85">
    <w:name w:val="列出段落1"/>
    <w:basedOn w:val="1"/>
    <w:autoRedefine/>
    <w:qFormat/>
    <w:uiPriority w:val="34"/>
    <w:pPr>
      <w:widowControl/>
      <w:adjustRightInd w:val="0"/>
      <w:snapToGrid w:val="0"/>
      <w:spacing w:line="360" w:lineRule="auto"/>
      <w:ind w:left="720"/>
      <w:contextualSpacing/>
      <w:jc w:val="left"/>
    </w:pPr>
    <w:rPr>
      <w:rFonts w:cs="宋体"/>
      <w:kern w:val="0"/>
      <w:sz w:val="24"/>
    </w:rPr>
  </w:style>
  <w:style w:type="paragraph" w:customStyle="1" w:styleId="86">
    <w:name w:val="表格内容"/>
    <w:basedOn w:val="70"/>
    <w:next w:val="1"/>
    <w:autoRedefine/>
    <w:qFormat/>
    <w:uiPriority w:val="0"/>
    <w:pPr>
      <w:adjustRightInd w:val="0"/>
      <w:jc w:val="center"/>
      <w:textAlignment w:val="baseline"/>
    </w:pPr>
    <w:rPr>
      <w:szCs w:val="21"/>
    </w:rPr>
  </w:style>
  <w:style w:type="paragraph" w:customStyle="1" w:styleId="87">
    <w:name w:val="1正文"/>
    <w:basedOn w:val="1"/>
    <w:autoRedefine/>
    <w:qFormat/>
    <w:uiPriority w:val="0"/>
    <w:pPr>
      <w:ind w:firstLine="200"/>
    </w:pPr>
    <w:rPr>
      <w:szCs w:val="20"/>
    </w:rPr>
  </w:style>
  <w:style w:type="paragraph" w:customStyle="1" w:styleId="88">
    <w:name w:val="111表头"/>
    <w:basedOn w:val="1"/>
    <w:autoRedefine/>
    <w:qFormat/>
    <w:uiPriority w:val="0"/>
    <w:pPr>
      <w:tabs>
        <w:tab w:val="left" w:pos="600"/>
      </w:tabs>
      <w:spacing w:line="400" w:lineRule="exact"/>
      <w:jc w:val="center"/>
    </w:pPr>
    <w:rPr>
      <w:b/>
    </w:rPr>
  </w:style>
  <w:style w:type="paragraph" w:customStyle="1" w:styleId="89">
    <w:name w:val="_Style 13"/>
    <w:autoRedefine/>
    <w:qFormat/>
    <w:uiPriority w:val="0"/>
    <w:rPr>
      <w:rFonts w:ascii="宋体" w:hAnsi="宋体" w:eastAsia="宋体" w:cs="宋体"/>
      <w:sz w:val="24"/>
      <w:szCs w:val="24"/>
      <w:lang w:val="en-US" w:eastAsia="zh-CN" w:bidi="ar-SA"/>
    </w:rPr>
  </w:style>
  <w:style w:type="paragraph" w:customStyle="1" w:styleId="90">
    <w:name w:val="表格标题"/>
    <w:basedOn w:val="1"/>
    <w:next w:val="86"/>
    <w:autoRedefine/>
    <w:qFormat/>
    <w:uiPriority w:val="0"/>
    <w:pPr>
      <w:keepLines/>
      <w:spacing w:line="360" w:lineRule="auto"/>
      <w:jc w:val="center"/>
    </w:pPr>
    <w:rPr>
      <w:b/>
    </w:rPr>
  </w:style>
  <w:style w:type="paragraph" w:customStyle="1" w:styleId="91">
    <w:name w:val="p0"/>
    <w:basedOn w:val="1"/>
    <w:autoRedefine/>
    <w:qFormat/>
    <w:uiPriority w:val="0"/>
    <w:pPr>
      <w:widowControl/>
      <w:jc w:val="left"/>
    </w:pPr>
    <w:rPr>
      <w:rFonts w:ascii="宋体" w:hAnsi="宋体"/>
      <w:kern w:val="0"/>
      <w:sz w:val="24"/>
      <w:szCs w:val="20"/>
    </w:rPr>
  </w:style>
  <w:style w:type="paragraph" w:customStyle="1" w:styleId="92">
    <w:name w:val="A正文"/>
    <w:basedOn w:val="1"/>
    <w:autoRedefine/>
    <w:qFormat/>
    <w:uiPriority w:val="0"/>
    <w:pPr>
      <w:spacing w:line="360" w:lineRule="auto"/>
      <w:ind w:firstLine="480" w:firstLineChars="200"/>
    </w:pPr>
    <w:rPr>
      <w:kern w:val="0"/>
      <w:sz w:val="24"/>
    </w:rPr>
  </w:style>
  <w:style w:type="paragraph" w:customStyle="1" w:styleId="93">
    <w:name w:val="表格内文字"/>
    <w:basedOn w:val="1"/>
    <w:autoRedefine/>
    <w:qFormat/>
    <w:uiPriority w:val="0"/>
    <w:pPr>
      <w:adjustRightInd w:val="0"/>
      <w:snapToGrid w:val="0"/>
      <w:jc w:val="center"/>
    </w:pPr>
    <w:rPr>
      <w:rFonts w:hint="eastAsia"/>
    </w:rPr>
  </w:style>
  <w:style w:type="paragraph" w:customStyle="1" w:styleId="94">
    <w:name w:val="环表头"/>
    <w:basedOn w:val="1"/>
    <w:autoRedefine/>
    <w:qFormat/>
    <w:uiPriority w:val="0"/>
    <w:pPr>
      <w:spacing w:line="480" w:lineRule="exact"/>
      <w:jc w:val="center"/>
    </w:pPr>
    <w:rPr>
      <w:rFonts w:hAnsi="宋体"/>
      <w:b/>
      <w:iCs/>
      <w:snapToGrid w:val="0"/>
      <w:color w:val="000000"/>
      <w:szCs w:val="21"/>
    </w:rPr>
  </w:style>
  <w:style w:type="paragraph" w:customStyle="1" w:styleId="95">
    <w:name w:val="+正文"/>
    <w:basedOn w:val="1"/>
    <w:autoRedefine/>
    <w:qFormat/>
    <w:uiPriority w:val="0"/>
    <w:pPr>
      <w:spacing w:line="360" w:lineRule="auto"/>
      <w:ind w:firstLine="200" w:firstLineChars="200"/>
    </w:pPr>
    <w:rPr>
      <w:sz w:val="24"/>
      <w:szCs w:val="28"/>
    </w:rPr>
  </w:style>
  <w:style w:type="paragraph" w:customStyle="1" w:styleId="96">
    <w:name w:val="正1"/>
    <w:basedOn w:val="1"/>
    <w:autoRedefine/>
    <w:qFormat/>
    <w:uiPriority w:val="0"/>
    <w:pPr>
      <w:spacing w:line="360" w:lineRule="auto"/>
      <w:ind w:firstLine="200" w:firstLineChars="200"/>
      <w:jc w:val="left"/>
    </w:pPr>
    <w:rPr>
      <w:rFonts w:ascii="Calibri" w:hAnsi="Calibri" w:eastAsia="楷体_GB2312"/>
      <w:sz w:val="24"/>
    </w:rPr>
  </w:style>
  <w:style w:type="paragraph" w:customStyle="1" w:styleId="97">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8">
    <w:name w:val="正文_1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
    <w:name w:val="表标题"/>
    <w:basedOn w:val="1"/>
    <w:autoRedefine/>
    <w:qFormat/>
    <w:uiPriority w:val="0"/>
    <w:pPr>
      <w:jc w:val="center"/>
    </w:pPr>
    <w:rPr>
      <w:b/>
      <w:bCs/>
      <w:kern w:val="0"/>
      <w:szCs w:val="20"/>
    </w:rPr>
  </w:style>
  <w:style w:type="paragraph" w:customStyle="1" w:styleId="100">
    <w:name w:val="表头、图号"/>
    <w:basedOn w:val="1"/>
    <w:next w:val="1"/>
    <w:autoRedefine/>
    <w:qFormat/>
    <w:uiPriority w:val="0"/>
    <w:pPr>
      <w:adjustRightInd w:val="0"/>
      <w:snapToGrid w:val="0"/>
      <w:spacing w:before="20" w:beforeLines="20" w:after="20" w:afterLines="20" w:line="312" w:lineRule="auto"/>
      <w:jc w:val="center"/>
    </w:pPr>
    <w:rPr>
      <w:b/>
    </w:rPr>
  </w:style>
  <w:style w:type="paragraph" w:customStyle="1" w:styleId="101">
    <w:name w:val="li_正文"/>
    <w:basedOn w:val="1"/>
    <w:autoRedefine/>
    <w:qFormat/>
    <w:uiPriority w:val="0"/>
    <w:pPr>
      <w:tabs>
        <w:tab w:val="left" w:pos="2340"/>
        <w:tab w:val="left" w:pos="4320"/>
      </w:tabs>
      <w:ind w:firstLine="530" w:firstLineChars="200"/>
      <w:jc w:val="left"/>
    </w:pPr>
    <w:rPr>
      <w:rFonts w:ascii="Calibri" w:hAnsi="Calibri"/>
      <w:sz w:val="28"/>
      <w:szCs w:val="28"/>
    </w:rPr>
  </w:style>
  <w:style w:type="table" w:customStyle="1" w:styleId="102">
    <w:name w:val="Table Normal"/>
    <w:autoRedefine/>
    <w:unhideWhenUsed/>
    <w:qFormat/>
    <w:uiPriority w:val="0"/>
    <w:tblPr>
      <w:tblCellMar>
        <w:top w:w="0" w:type="dxa"/>
        <w:left w:w="0" w:type="dxa"/>
        <w:bottom w:w="0" w:type="dxa"/>
        <w:right w:w="0" w:type="dxa"/>
      </w:tblCellMar>
    </w:tblPr>
  </w:style>
  <w:style w:type="paragraph" w:customStyle="1" w:styleId="103">
    <w:name w:val="表文字"/>
    <w:basedOn w:val="1"/>
    <w:autoRedefine/>
    <w:qFormat/>
    <w:uiPriority w:val="99"/>
    <w:pPr>
      <w:widowControl/>
      <w:jc w:val="center"/>
    </w:pPr>
    <w:rPr>
      <w:kern w:val="0"/>
      <w:szCs w:val="21"/>
    </w:rPr>
  </w:style>
  <w:style w:type="paragraph" w:customStyle="1" w:styleId="104">
    <w:name w:val="表格正文"/>
    <w:basedOn w:val="9"/>
    <w:next w:val="1"/>
    <w:autoRedefine/>
    <w:qFormat/>
    <w:uiPriority w:val="0"/>
    <w:pPr>
      <w:widowControl/>
      <w:spacing w:line="360" w:lineRule="exact"/>
      <w:ind w:firstLine="0" w:firstLineChars="0"/>
      <w:jc w:val="center"/>
    </w:pPr>
    <w:rPr>
      <w:sz w:val="20"/>
    </w:rPr>
  </w:style>
  <w:style w:type="paragraph" w:styleId="105">
    <w:name w:val="No Spacing"/>
    <w:autoRedefine/>
    <w:qFormat/>
    <w:uiPriority w:val="0"/>
    <w:pPr>
      <w:widowControl w:val="0"/>
      <w:jc w:val="both"/>
    </w:pPr>
    <w:rPr>
      <w:rFonts w:asciiTheme="minorHAnsi" w:hAnsiTheme="minorHAnsi" w:eastAsiaTheme="minorEastAsia" w:cstheme="minorBidi"/>
      <w:kern w:val="2"/>
      <w:sz w:val="24"/>
      <w:szCs w:val="22"/>
      <w:lang w:val="en-US" w:eastAsia="zh-CN" w:bidi="ar-SA"/>
    </w:rPr>
  </w:style>
  <w:style w:type="table" w:customStyle="1" w:styleId="106">
    <w:name w:val="网格型1"/>
    <w:basedOn w:val="31"/>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7">
    <w:name w:val="Table Text"/>
    <w:basedOn w:val="1"/>
    <w:autoRedefine/>
    <w:semiHidden/>
    <w:qFormat/>
    <w:uiPriority w:val="0"/>
    <w:rPr>
      <w:rFonts w:ascii="宋体" w:hAnsi="宋体" w:eastAsia="宋体" w:cs="宋体"/>
      <w:sz w:val="22"/>
      <w:szCs w:val="22"/>
      <w:lang w:val="en-US" w:eastAsia="en-US" w:bidi="ar-SA"/>
    </w:rPr>
  </w:style>
  <w:style w:type="paragraph" w:customStyle="1" w:styleId="108">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09">
    <w:name w:val="表格-小五"/>
    <w:qFormat/>
    <w:uiPriority w:val="0"/>
    <w:pPr>
      <w:adjustRightInd w:val="0"/>
      <w:snapToGrid w:val="0"/>
      <w:spacing w:line="240" w:lineRule="auto"/>
      <w:jc w:val="center"/>
      <w:textAlignment w:val="center"/>
    </w:pPr>
    <w:rPr>
      <w:rFonts w:ascii="Times New Roman" w:hAnsi="Times New Roman" w:eastAsia="宋体" w:cs="Times New Roman"/>
      <w:color w:val="auto"/>
      <w:sz w:val="18"/>
      <w:szCs w:val="21"/>
    </w:rPr>
  </w:style>
  <w:style w:type="paragraph" w:customStyle="1" w:styleId="110">
    <w:name w:val="简单回函地址"/>
    <w:basedOn w:val="1"/>
    <w:qFormat/>
    <w:uiPriority w:val="0"/>
    <w:pPr>
      <w:keepNext/>
      <w:keepLines/>
      <w:snapToGrid w:val="0"/>
      <w:spacing w:line="480" w:lineRule="exact"/>
      <w:ind w:firstLine="480" w:firstLineChars="200"/>
    </w:pPr>
    <w:rPr>
      <w:sz w:val="24"/>
      <w:szCs w:val="20"/>
    </w:rPr>
  </w:style>
  <w:style w:type="paragraph" w:customStyle="1" w:styleId="111">
    <w:name w:val="正式文本"/>
    <w:basedOn w:val="1"/>
    <w:qFormat/>
    <w:uiPriority w:val="0"/>
    <w:pPr>
      <w:adjustRightInd w:val="0"/>
      <w:snapToGrid w:val="0"/>
      <w:spacing w:line="360" w:lineRule="auto"/>
      <w:ind w:firstLine="420" w:firstLineChars="200"/>
      <w:jc w:val="left"/>
    </w:pPr>
    <w:rPr>
      <w:bCs/>
      <w:szCs w:val="21"/>
    </w:rPr>
  </w:style>
  <w:style w:type="paragraph" w:customStyle="1" w:styleId="112">
    <w:name w:val="表2内容"/>
    <w:basedOn w:val="1"/>
    <w:qFormat/>
    <w:uiPriority w:val="0"/>
    <w:pPr>
      <w:snapToGrid w:val="0"/>
      <w:jc w:val="center"/>
    </w:pPr>
    <w:rPr>
      <w:kern w:val="0"/>
      <w:sz w:val="18"/>
    </w:rPr>
  </w:style>
  <w:style w:type="paragraph" w:customStyle="1" w:styleId="113">
    <w:name w:val="表头-编号"/>
    <w:next w:val="114"/>
    <w:qFormat/>
    <w:uiPriority w:val="0"/>
    <w:pPr>
      <w:numPr>
        <w:ilvl w:val="0"/>
        <w:numId w:val="3"/>
      </w:numPr>
      <w:spacing w:before="20" w:beforeLines="20" w:after="20" w:afterLines="20" w:line="240" w:lineRule="auto"/>
      <w:ind w:left="0" w:firstLine="0"/>
      <w:jc w:val="center"/>
    </w:pPr>
    <w:rPr>
      <w:rFonts w:ascii="Times New Roman" w:hAnsi="Times New Roman" w:eastAsia="宋体" w:cs="Times New Roman"/>
      <w:b/>
      <w:sz w:val="21"/>
      <w:szCs w:val="24"/>
    </w:rPr>
  </w:style>
  <w:style w:type="paragraph" w:customStyle="1" w:styleId="114">
    <w:name w:val="表格-五号"/>
    <w:qFormat/>
    <w:uiPriority w:val="0"/>
    <w:pPr>
      <w:adjustRightInd w:val="0"/>
      <w:snapToGrid w:val="0"/>
      <w:spacing w:line="240" w:lineRule="auto"/>
      <w:jc w:val="center"/>
      <w:textAlignment w:val="center"/>
    </w:pPr>
    <w:rPr>
      <w:rFonts w:ascii="Times New Roman" w:hAnsi="Times New Roman" w:eastAsia="宋体" w:cs="Times New Roman"/>
      <w:color w:val="auto"/>
      <w:sz w:val="21"/>
      <w:szCs w:val="24"/>
    </w:rPr>
  </w:style>
  <w:style w:type="paragraph" w:customStyle="1" w:styleId="115">
    <w:name w:val="表格-宋体小五"/>
    <w:qFormat/>
    <w:uiPriority w:val="0"/>
    <w:pPr>
      <w:adjustRightInd w:val="0"/>
      <w:snapToGrid w:val="0"/>
      <w:spacing w:line="240" w:lineRule="auto"/>
      <w:jc w:val="center"/>
    </w:pPr>
    <w:rPr>
      <w:rFonts w:ascii="Times New Roman" w:hAnsi="Times New Roman" w:eastAsia="宋体" w:cs="Times New Roman"/>
      <w:color w:val="auto"/>
      <w:sz w:val="18"/>
      <w:szCs w:val="21"/>
    </w:rPr>
  </w:style>
  <w:style w:type="paragraph" w:customStyle="1" w:styleId="116">
    <w:name w:val="表格文字2"/>
    <w:basedOn w:val="1"/>
    <w:qFormat/>
    <w:uiPriority w:val="0"/>
    <w:pPr>
      <w:adjustRightInd w:val="0"/>
      <w:spacing w:before="60"/>
      <w:jc w:val="center"/>
      <w:textAlignment w:val="baseline"/>
    </w:pPr>
    <w:rPr>
      <w:rFonts w:ascii="宋体"/>
      <w:kern w:val="0"/>
      <w:sz w:val="24"/>
      <w:szCs w:val="20"/>
    </w:rPr>
  </w:style>
  <w:style w:type="paragraph" w:customStyle="1" w:styleId="117">
    <w:name w:val="_Style 1"/>
    <w:qFormat/>
    <w:uiPriority w:val="1"/>
    <w:pPr>
      <w:adjustRightInd w:val="0"/>
      <w:snapToGrid w:val="0"/>
      <w:spacing w:line="480" w:lineRule="exact"/>
      <w:ind w:firstLine="480" w:firstLineChars="200"/>
    </w:pPr>
    <w:rPr>
      <w:rFonts w:ascii="Times New Roman" w:hAnsi="Times New Roman"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7.png"/><Relationship Id="rId37" Type="http://schemas.openxmlformats.org/officeDocument/2006/relationships/image" Target="media/image26.emf"/><Relationship Id="rId36" Type="http://schemas.openxmlformats.org/officeDocument/2006/relationships/image" Target="media/image25.emf"/><Relationship Id="rId35" Type="http://schemas.openxmlformats.org/officeDocument/2006/relationships/image" Target="media/image24.emf"/><Relationship Id="rId34" Type="http://schemas.openxmlformats.org/officeDocument/2006/relationships/image" Target="media/image23.emf"/><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emf"/><Relationship Id="rId30" Type="http://schemas.openxmlformats.org/officeDocument/2006/relationships/image" Target="media/image19.emf"/><Relationship Id="rId3" Type="http://schemas.openxmlformats.org/officeDocument/2006/relationships/footer" Target="footer1.xml"/><Relationship Id="rId29" Type="http://schemas.openxmlformats.org/officeDocument/2006/relationships/image" Target="media/image18.emf"/><Relationship Id="rId28" Type="http://schemas.openxmlformats.org/officeDocument/2006/relationships/image" Target="media/image17.emf"/><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wmf"/><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60</Pages>
  <Words>10291</Words>
  <Characters>11188</Characters>
  <Lines>365</Lines>
  <Paragraphs>103</Paragraphs>
  <TotalTime>7</TotalTime>
  <ScaleCrop>false</ScaleCrop>
  <LinksUpToDate>false</LinksUpToDate>
  <CharactersWithSpaces>11331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三生万物</cp:lastModifiedBy>
  <cp:lastPrinted>2022-08-15T07:32:00Z</cp:lastPrinted>
  <dcterms:modified xsi:type="dcterms:W3CDTF">2026-02-28T06:52:42Z</dcterms:modified>
  <dc:title>附件2</dc:title>
  <cp:revision>231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1178400027_cloud</vt:lpwstr>
  </property>
  <property fmtid="{D5CDD505-2E9C-101B-9397-08002B2CF9AE}" pid="4" name="ICV">
    <vt:lpwstr>574999B4B7E94343B79C5D707CC17570_13</vt:lpwstr>
  </property>
  <property fmtid="{D5CDD505-2E9C-101B-9397-08002B2CF9AE}" pid="5" name="KSOTemplateDocerSaveRecord">
    <vt:lpwstr>eyJoZGlkIjoiODlhZmY0MDU3YmNhYjcwYTRhNjYyYjQyNmNiOWI0NjUiLCJ1c2VySWQiOiI4Njg3MzU3MzIifQ==</vt:lpwstr>
  </property>
</Properties>
</file>