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C711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明强小学 2026 年春学期教务工作计划</w:t>
      </w:r>
    </w:p>
    <w:p w14:paraId="1A622EF5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8B72B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一、指导思想</w:t>
      </w:r>
    </w:p>
    <w:p w14:paraId="153EA5D8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乘势笃行开新局，聚力深耕提质量。2026 年春季，我校教务工作将在学校领导的正确领导下，以创建义务教育优质均衡县、推进 “五大行动” 实验区建设、加快教联体建设为核心抓手，持续深入贯彻 “双减” 政策与新课改理念，坚守五育并举根本方向，以提升教学质量、培育学生综合素养为目标。扎实做好控辍保学工作，强化师资配置与专业发展，规范教学常规与课程实施，抓实心理健康教育与课后服务，统筹做好全国义务教育质量监测准备工作，推动思政教育、体育教育、特色教育深度融合，切实减轻学生学业与心理负担，促进学生德智体美劳全面发展，助力学校教育教学工作向优质化、均衡化、特色化迈进。</w:t>
      </w:r>
    </w:p>
    <w:p w14:paraId="77B22F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二、工作目标</w:t>
      </w:r>
    </w:p>
    <w:p w14:paraId="14C6B395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全力做好义务教育优质均衡县创建筹备，优化师资、规范课程、完善功能室建设，制定大班额化解方案，为 2026 年 5 月全国义务教育质量监测做好全方位准备。</w:t>
      </w:r>
    </w:p>
    <w:p w14:paraId="30DE17C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持续推进 “五大行动” 实验区建设，开足开齐国家课程，强化思政课一体化与 “大思政课” 建设，提升班主任专业素养，规范团队建设与爱国主义教育。</w:t>
      </w:r>
    </w:p>
    <w:p w14:paraId="000811BC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扎实做好控辍保学工作，健全信息台账，跟踪学生去向，确保适龄儿童少年不失学辍学；加快教联体建设，建立健全工作机制，推动校家社协同育人落地见效。</w:t>
      </w:r>
    </w:p>
    <w:p w14:paraId="3F42585D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深化教师专业发展工作，依托教研、培训、竞赛等形式，更新教学理念，提升教学能力，确保各学科专职教师授课，夯实师资队伍建设基础。</w:t>
      </w:r>
    </w:p>
    <w:p w14:paraId="0E14A895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抓实教学常规管理，严格执行课程方案，规范课堂教学行为，做好教案、作业、听课记录等常态化检查，优化教学评价与反馈机制。</w:t>
      </w:r>
    </w:p>
    <w:p w14:paraId="4F61A1F8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全面落实学生身心健康教育，保障每天不少于 2 小时综合体育锻炼时间，规范心理健康教育课程与辅导工作，抓实心理摸排与干预，杜绝开学考试，减轻学生身心负担。</w:t>
      </w:r>
    </w:p>
    <w:p w14:paraId="63A2648C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7.规范课后服务实施，严格遵守 “五个严禁” 要求，提升课后服务质量，按时完成相关材料备案，让课后服务成为减负提质的重要支撑。</w:t>
      </w:r>
    </w:p>
    <w:p w14:paraId="75025A40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8.丰富校园特色活动与学科活动，持续打造阅读、英语、数学、校园足球等特色项目，弘扬中华优秀传统文化，增强学生实践能力与团队协作精神。</w:t>
      </w:r>
    </w:p>
    <w:p w14:paraId="17F7CBF7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9.严格落实考试、作业、睡眠管理要求，实行弹性作业验收机制，科学安排教学活动，营造轻松、有序的校园教学氛围。</w:t>
      </w:r>
    </w:p>
    <w:p w14:paraId="6DC67D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三、工作措施</w:t>
      </w:r>
    </w:p>
    <w:p w14:paraId="1FBF2F6A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（一）攻坚优质均衡创建，做好质量监测准备</w:t>
      </w:r>
    </w:p>
    <w:p w14:paraId="313CFB8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1.优化师资配置管理，按照优质均衡创建要求，确保各学科均由专职教师授课，合理调整教师任课安排，明确各学科教学岗位职责，提升学科教学专业性。</w:t>
      </w:r>
    </w:p>
    <w:p w14:paraId="03439805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2.严格执行课程方案，对照国家课程标准，开齐开足各年级、各学科课程，杜绝随意增减课时、挤占非主科课程现象，规范课堂教学行为，提升课堂教学规范性。</w:t>
      </w:r>
    </w:p>
    <w:p w14:paraId="09DB0E9C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3.完善功能室与硬件建设，对现有功能室进行全面排查，针对短板问题挖潜整合校内资源，完善功能室配套设施与使用管理。</w:t>
      </w:r>
    </w:p>
    <w:p w14:paraId="41BEC2BC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4.制定专项化解方案，对校内存在的大班额问题进行精准摸排，结合学生学籍、班级规模等实际情况，科学制定大班额化解实施方案，明确时间节点与落实举措。</w:t>
      </w:r>
    </w:p>
    <w:p w14:paraId="15D17350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5.做好质量监测筹备，成立全国义务教育质量监测工作专班，明确工作职责，围绕监测学科与内容开展专项教学研讨与学情分析，组织教师开展监测相关业务培训，确保监测工作顺利开展。</w:t>
      </w:r>
    </w:p>
    <w:p w14:paraId="18155986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（二）推进五大行动建设，夯实教育教学根基</w:t>
      </w:r>
    </w:p>
    <w:p w14:paraId="557F4137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1.规范国家课程实施，重点保障道德与法治、体育与健康、艺术、劳动、综合实践、信息科技等课程的开足开齐开好，安排专人对课程实施情况进行日常督查，确保课程落实到位。</w:t>
      </w:r>
    </w:p>
    <w:p w14:paraId="4A9D89A2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2.强化思政教育建设，推进思政课一体化建设，整合校内思政教育资源，打造 “大思政课” 教学体系，将思政教育融入各学科教学、校园活动与日常管理，实现全员、全程、全方位育人。</w:t>
      </w:r>
    </w:p>
    <w:p w14:paraId="3EC4A335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3.提升班主任专业素养，围绕班级管理、家校沟通、学生德育等内容设置竞赛环节，搭建班主任交流学习平台，提升班级管理专业能力。</w:t>
      </w:r>
    </w:p>
    <w:p w14:paraId="163E705B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4.规范校园团队建设，依托少先队、班级集体等组织，开展形式多样的爱国主义教育活动，通过主题班会、国旗下讲话、红色研学等形式，厚植学生爱国情怀，增强集体主义精神。</w:t>
      </w:r>
    </w:p>
    <w:p w14:paraId="3D8EE49A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5.深化体育教育改革，贯彻落实安徽省体质强健计划相关精神，完善大课间活动设计，丰富体育课程内容，组织校内体育赛事与课外体育活动，切实保障义务教育阶段学生每天综合体育锻炼时间不少于 2 个小时，同时持续做好体育场馆对外开放工作，发挥场馆育人与服务社会双重功能。</w:t>
      </w:r>
    </w:p>
    <w:p w14:paraId="18524E04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（三）抓实控辍保学，加快教联体建设</w:t>
      </w:r>
    </w:p>
    <w:p w14:paraId="7E780578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1.健全控辍保学工作机制，认真做好控辍保学信息台账建设，保持与当地公安等部门的常态化联系，及时更新台账信息，确保信息准确无误、动态管理。</w:t>
      </w:r>
    </w:p>
    <w:p w14:paraId="3E61FC21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2.做好学生去向跟踪，重点关注报名中职学校的学生，安排专人全程跟踪其入学就读情况，建立跟踪台账，杜绝因工作失误造成适龄儿童少年失学辍学。</w:t>
      </w:r>
    </w:p>
    <w:p w14:paraId="63902E18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3.落实教联体建设要求，认真执行《金寨县校家社协同育人 “教联体” 工作实施方案》，协同属地政府、各相关部门全面推进教联体建设，建立健全教联体日常工作机制。</w:t>
      </w:r>
    </w:p>
    <w:p w14:paraId="5C912BF8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4.强化教联体工作落实，将校家社协同育人纳入学校发展规划，明确专人负责教联体日常对接与工作推进，制定具体工作举措，定期开展协同育人活动，确保各项工作落地见效。</w:t>
      </w:r>
    </w:p>
    <w:p w14:paraId="46959C6C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（四）加强教师专业发展，提升队伍教学能力</w:t>
      </w:r>
    </w:p>
    <w:p w14:paraId="23DB7F0F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1.抓实教育理论学习，开学初组织教师再次深入学习 2022 版各科新课程标准，结合优质均衡创建、“五大行动” 建设要求开展专题讲座与自主学习活动，结合教学案例深化教师对课程理念的理解与应用。</w:t>
      </w:r>
    </w:p>
    <w:p w14:paraId="74958D05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开展主题教研活动，各教研组定期围绕课堂教学难点、课程实施要点、质量监测考点开展专题研讨，通过集体备课、观摩教学、同课异构等形式，推动教师将理论与教学实践结合，提升教学设计与课堂管理能力。</w:t>
      </w:r>
    </w:p>
    <w:p w14:paraId="5606976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3.发挥骨干引领作用，鼓励骨干教师通过示范课、专题讲座、一对一指导等方式，帮助青年教师提升教学技能；同时组织教师参与各级各类教学竞赛与培训，拓宽教学视野。</w:t>
      </w:r>
    </w:p>
    <w:p w14:paraId="19E395CA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4.强化教学技能训练，持续安排教师粉笔字、信息化教学等基本功训练，提升教师教学实操能力，适应现代化教学需求，为优质课堂教学提供保障。</w:t>
      </w:r>
    </w:p>
    <w:p w14:paraId="1DF9F401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（五）精细教学常规管理，提升教学管理效能</w:t>
      </w:r>
    </w:p>
    <w:p w14:paraId="7998B8E5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1.严格常规检查落实，继续执行教学常规月度检查制度，重点检查教案撰写、作业设计与批改、听课记录等教学材料，及时发现教学中存在的问题，反馈并督促教师整改，确保教学各环节规范有序。</w:t>
      </w:r>
    </w:p>
    <w:p w14:paraId="7C0D4C57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2.规范教学行为管理，加强日常巡课与课堂教学督查，杜绝迟到、早退、随意调课等现象，要求教师严格按照课程标准开展教学，注重课堂互动与学生参与，提升课堂教学效率。</w:t>
      </w:r>
    </w:p>
    <w:p w14:paraId="3F86D8E6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3.优化作业与考试管理，严格禁止组织任何形式的 “开学考试”“集中测试”，科学设计作业内容与量，实行寒假作业缓交期限与弹性作业验收机制，切实减轻学生学业负担；规范校内考试安排，注重考试结果的分析与应用，为教学改进提供依据。</w:t>
      </w:r>
    </w:p>
    <w:p w14:paraId="190CDD85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4.做好教学资料管理，及时收集、整理各学科教学计划、教研记录、学生评价等资料，建立健全教学资料档案，为优质均衡创建与教学质量提升提供数据支撑。</w:t>
      </w:r>
    </w:p>
    <w:p w14:paraId="7BA9B7A2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）规范课后服务实施，提升服务育人质量</w:t>
      </w:r>
    </w:p>
    <w:p w14:paraId="226B2411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1.强化政策学习落实，组织全体教职工重新学习课后服务相关文件要求，严格遵守教育部 “五个严禁” 规定，杜绝扩大服务范围、强制学生参加、增加课业负担、乱收费等违规行为。</w:t>
      </w:r>
    </w:p>
    <w:p w14:paraId="49D17202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2.优化课后服务设计，结合学生年龄特点、兴趣爱好与学科需求，设计多样化的课后服务内容，兼顾作业辅导与特色社团活动，让课后服务成为拓展学生素养、减轻家长负担的重要载体。</w:t>
      </w:r>
    </w:p>
    <w:p w14:paraId="0F91CBDB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3.加强课后服务管理，安排专人负责课后服务的组织与督查，做好服务过程中的学生安全管理、师资调配与质量评价，定期收集学生与家长的意见建议，持续提升课后服务质量。</w:t>
      </w:r>
    </w:p>
    <w:p w14:paraId="48084965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）打造校园特色项目，丰富文化育人内涵</w:t>
      </w:r>
    </w:p>
    <w:p w14:paraId="1B38A02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1.深化特色学科活动，持续建构学校阅读文化，组织阅读展示活动、评选 “阅读之星”，开展诗词大赛等诵读活动，提升学生语文素养；打造英语优势项目，开展英语单项练习与竞赛，化解教学薄弱点；组织数学口算、计算竞赛，夯实学生数学基础。</w:t>
      </w:r>
    </w:p>
    <w:p w14:paraId="4D7CD0C0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丰富校园文化活动，依托科技周、文化节等载体，开展形式多样的校园文化活动，弘扬中华优秀传统文化，激发学生创造力与表现欲；持续擦亮校园足球、艺术等品牌优势，通过专业训练与各类比赛，提升学生特色素养，在高位上再创佳绩。</w:t>
      </w:r>
    </w:p>
    <w:p w14:paraId="5DC72372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3.加强实践育人环节，组织开展研学旅行、劳动实践等校外实践活动，增加学生的社会实践经验，拓宽学生视野，培养学生的实践能力与社会责任感，推动五育并举落地见效。</w:t>
      </w:r>
    </w:p>
    <w:p w14:paraId="2588B0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四、工作安排</w:t>
      </w:r>
    </w:p>
    <w:p w14:paraId="3E36D29F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本学期各项教务工作严格按照学校 2026 年春学期教务处工作行事历推进，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围绕优质均衡创建、“五大行动” 建设、教联体建设、控辍保学、质量监测准备等核心工作，明确时间节点、落实工作责任，狠抓各项举措落地见效，确保本学期教育教学工作高质量完成。</w:t>
      </w:r>
    </w:p>
    <w:p w14:paraId="12B32751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F9403C2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C58CE-35C3-44A2-846F-2EC3F7A6D6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ABAA273-5712-491A-8CAA-AED8B1ADE8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1B2B8CB-5A6B-437C-9F73-0AE9A5A8AB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DE517B7-E9BE-4182-B886-0CD9EE9AC3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7A43"/>
    <w:rsid w:val="5952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6703d82-7f0e-4457-8d2c-814539791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4280</Words>
  <Characters>4437</Characters>
  <Lines>0</Lines>
  <Paragraphs>0</Paragraphs>
  <TotalTime>29</TotalTime>
  <ScaleCrop>false</ScaleCrop>
  <LinksUpToDate>false</LinksUpToDate>
  <CharactersWithSpaces>4571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2026-03-06T00:21:00Z</dcterms:created>
  <dc:creator>时光漫溯</dc:creator>
  <cp:lastModifiedBy>时光漫溯</cp:lastModifiedBy>
  <dcterms:modified xsi:type="dcterms:W3CDTF">2026-03-06T00:56:10Z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462EE1B5663D431D89308C11C0261547_11</vt:lpwstr>
  </property>
  <property fmtid="{D5CDD505-2E9C-101B-9397-08002B2CF9AE}" pid="4" name="KSOTemplateDocerSaveRecord">
    <vt:lpwstr>eyJoZGlkIjoiM2JkMmMwYWI1YWZjODZiYjhiZTM1Yzc1NGM0ZWY0MTgiLCJ1c2VySWQiOiI2Mzc0Mzg5OTIifQ==</vt:lpwstr>
  </property>
</Properties>
</file>