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500" w:lineRule="exact"/>
        <w:ind w:firstLine="300" w:firstLineChars="100"/>
        <w:jc w:val="left"/>
        <w:rPr>
          <w:rFonts w:ascii="黑体" w:hAnsi="黑体" w:eastAsia="黑体" w:cs="黑体"/>
          <w:sz w:val="30"/>
          <w:szCs w:val="30"/>
        </w:rPr>
      </w:pPr>
      <w:bookmarkStart w:id="0" w:name="_GoBack"/>
      <w:bookmarkEnd w:id="0"/>
    </w:p>
    <w:p>
      <w:pPr>
        <w:pStyle w:val="6"/>
        <w:ind w:firstLine="600"/>
        <w:jc w:val="center"/>
      </w:pPr>
      <w:r>
        <w:rPr>
          <w:rFonts w:hint="eastAsia" w:ascii="黑体" w:hAnsi="黑体" w:eastAsia="黑体" w:cs="黑体"/>
          <w:sz w:val="30"/>
          <w:szCs w:val="30"/>
        </w:rPr>
        <w:t>六安市民办非企业单位评估指标及评分细则（试行）</w:t>
      </w:r>
    </w:p>
    <w:tbl>
      <w:tblPr>
        <w:tblStyle w:val="4"/>
        <w:tblW w:w="14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237"/>
        <w:gridCol w:w="1297"/>
        <w:gridCol w:w="790"/>
        <w:gridCol w:w="1338"/>
        <w:gridCol w:w="5189"/>
        <w:gridCol w:w="994"/>
        <w:gridCol w:w="1256"/>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241" w:type="dxa"/>
            <w:vAlign w:val="center"/>
          </w:tcPr>
          <w:p>
            <w:pPr>
              <w:widowControl/>
              <w:jc w:val="center"/>
              <w:textAlignment w:val="center"/>
              <w:rPr>
                <w:rFonts w:ascii="宋体"/>
                <w:color w:val="000000" w:themeColor="text1"/>
                <w:sz w:val="18"/>
              </w:rPr>
            </w:pPr>
            <w:r>
              <w:rPr>
                <w:rFonts w:hint="eastAsia" w:ascii="宋体" w:hAnsi="宋体" w:cs="宋体"/>
                <w:b/>
                <w:color w:val="000000" w:themeColor="text1"/>
                <w:kern w:val="0"/>
                <w:sz w:val="24"/>
              </w:rPr>
              <w:t>一级指标</w:t>
            </w:r>
          </w:p>
        </w:tc>
        <w:tc>
          <w:tcPr>
            <w:tcW w:w="1237" w:type="dxa"/>
            <w:vAlign w:val="center"/>
          </w:tcPr>
          <w:p>
            <w:pPr>
              <w:widowControl/>
              <w:jc w:val="center"/>
              <w:textAlignment w:val="center"/>
              <w:rPr>
                <w:rFonts w:ascii="宋体"/>
                <w:color w:val="000000" w:themeColor="text1"/>
                <w:sz w:val="18"/>
              </w:rPr>
            </w:pPr>
            <w:r>
              <w:rPr>
                <w:rFonts w:hint="eastAsia" w:ascii="宋体" w:hAnsi="宋体" w:cs="宋体"/>
                <w:b/>
                <w:color w:val="000000" w:themeColor="text1"/>
                <w:kern w:val="0"/>
                <w:sz w:val="24"/>
              </w:rPr>
              <w:t>二级指标</w:t>
            </w:r>
          </w:p>
        </w:tc>
        <w:tc>
          <w:tcPr>
            <w:tcW w:w="1297" w:type="dxa"/>
            <w:vAlign w:val="center"/>
          </w:tcPr>
          <w:p>
            <w:pPr>
              <w:widowControl/>
              <w:jc w:val="center"/>
              <w:textAlignment w:val="center"/>
              <w:rPr>
                <w:rFonts w:ascii="宋体"/>
                <w:color w:val="000000" w:themeColor="text1"/>
                <w:sz w:val="18"/>
              </w:rPr>
            </w:pPr>
            <w:r>
              <w:rPr>
                <w:rFonts w:hint="eastAsia" w:ascii="宋体" w:hAnsi="宋体" w:cs="宋体"/>
                <w:b/>
                <w:color w:val="000000" w:themeColor="text1"/>
                <w:kern w:val="0"/>
                <w:sz w:val="24"/>
              </w:rPr>
              <w:t>三级指标</w:t>
            </w:r>
          </w:p>
        </w:tc>
        <w:tc>
          <w:tcPr>
            <w:tcW w:w="790" w:type="dxa"/>
            <w:vAlign w:val="center"/>
          </w:tcPr>
          <w:p>
            <w:pPr>
              <w:widowControl/>
              <w:jc w:val="center"/>
              <w:textAlignment w:val="center"/>
              <w:rPr>
                <w:rFonts w:ascii="宋体"/>
                <w:color w:val="000000" w:themeColor="text1"/>
                <w:sz w:val="18"/>
              </w:rPr>
            </w:pPr>
            <w:r>
              <w:rPr>
                <w:rFonts w:hint="eastAsia" w:ascii="宋体" w:hAnsi="宋体" w:cs="宋体"/>
                <w:b/>
                <w:color w:val="000000" w:themeColor="text1"/>
                <w:kern w:val="0"/>
                <w:sz w:val="24"/>
              </w:rPr>
              <w:t>序号</w:t>
            </w:r>
          </w:p>
        </w:tc>
        <w:tc>
          <w:tcPr>
            <w:tcW w:w="1338" w:type="dxa"/>
            <w:vAlign w:val="center"/>
          </w:tcPr>
          <w:p>
            <w:pPr>
              <w:widowControl/>
              <w:jc w:val="center"/>
              <w:textAlignment w:val="center"/>
              <w:rPr>
                <w:rFonts w:ascii="宋体"/>
                <w:color w:val="000000" w:themeColor="text1"/>
                <w:sz w:val="18"/>
              </w:rPr>
            </w:pPr>
            <w:r>
              <w:rPr>
                <w:rFonts w:hint="eastAsia" w:ascii="宋体" w:hAnsi="宋体" w:cs="宋体"/>
                <w:b/>
                <w:color w:val="000000" w:themeColor="text1"/>
                <w:kern w:val="0"/>
                <w:sz w:val="24"/>
              </w:rPr>
              <w:t>四级指标</w:t>
            </w:r>
          </w:p>
        </w:tc>
        <w:tc>
          <w:tcPr>
            <w:tcW w:w="5189" w:type="dxa"/>
            <w:vAlign w:val="center"/>
          </w:tcPr>
          <w:p>
            <w:pPr>
              <w:widowControl/>
              <w:jc w:val="center"/>
              <w:textAlignment w:val="center"/>
              <w:rPr>
                <w:rFonts w:ascii="宋体"/>
                <w:color w:val="000000" w:themeColor="text1"/>
                <w:sz w:val="18"/>
              </w:rPr>
            </w:pPr>
            <w:r>
              <w:rPr>
                <w:rFonts w:hint="eastAsia" w:ascii="宋体" w:hAnsi="宋体" w:cs="宋体"/>
                <w:b/>
                <w:color w:val="000000" w:themeColor="text1"/>
                <w:kern w:val="0"/>
                <w:sz w:val="24"/>
              </w:rPr>
              <w:t>五级指标</w:t>
            </w:r>
          </w:p>
        </w:tc>
        <w:tc>
          <w:tcPr>
            <w:tcW w:w="994" w:type="dxa"/>
            <w:vAlign w:val="center"/>
          </w:tcPr>
          <w:p>
            <w:pPr>
              <w:widowControl/>
              <w:jc w:val="center"/>
              <w:textAlignment w:val="center"/>
              <w:rPr>
                <w:rFonts w:ascii="宋体"/>
                <w:color w:val="000000" w:themeColor="text1"/>
                <w:sz w:val="18"/>
              </w:rPr>
            </w:pPr>
            <w:r>
              <w:rPr>
                <w:rFonts w:hint="eastAsia" w:ascii="宋体" w:hAnsi="宋体" w:cs="宋体"/>
                <w:b/>
                <w:color w:val="000000" w:themeColor="text1"/>
                <w:kern w:val="0"/>
                <w:sz w:val="24"/>
              </w:rPr>
              <w:t>自评分</w:t>
            </w:r>
          </w:p>
        </w:tc>
        <w:tc>
          <w:tcPr>
            <w:tcW w:w="1256" w:type="dxa"/>
            <w:vAlign w:val="center"/>
          </w:tcPr>
          <w:p>
            <w:pPr>
              <w:widowControl/>
              <w:jc w:val="center"/>
              <w:textAlignment w:val="center"/>
              <w:rPr>
                <w:rFonts w:ascii="宋体"/>
                <w:color w:val="000000" w:themeColor="text1"/>
                <w:sz w:val="18"/>
              </w:rPr>
            </w:pPr>
            <w:r>
              <w:rPr>
                <w:rFonts w:hint="eastAsia" w:ascii="宋体" w:hAnsi="宋体" w:cs="宋体"/>
                <w:b/>
                <w:color w:val="000000" w:themeColor="text1"/>
                <w:kern w:val="0"/>
                <w:sz w:val="24"/>
              </w:rPr>
              <w:t>专家评分</w:t>
            </w:r>
          </w:p>
        </w:tc>
        <w:tc>
          <w:tcPr>
            <w:tcW w:w="1298" w:type="dxa"/>
            <w:vAlign w:val="center"/>
          </w:tcPr>
          <w:p>
            <w:pPr>
              <w:widowControl/>
              <w:jc w:val="center"/>
              <w:textAlignment w:val="center"/>
              <w:rPr>
                <w:rFonts w:ascii="宋体" w:hAnsi="宋体" w:cs="宋体"/>
                <w:b/>
                <w:color w:val="000000" w:themeColor="text1"/>
                <w:kern w:val="0"/>
                <w:sz w:val="24"/>
              </w:rPr>
            </w:pPr>
            <w:r>
              <w:rPr>
                <w:rFonts w:hint="eastAsia" w:ascii="宋体" w:hAnsi="宋体" w:cs="宋体"/>
                <w:b/>
                <w:color w:val="000000" w:themeColor="text1"/>
                <w:kern w:val="0"/>
                <w:sz w:val="24"/>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1" w:type="dxa"/>
            <w:vMerge w:val="restart"/>
            <w:vAlign w:val="center"/>
          </w:tcPr>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基础条件（100分）</w:t>
            </w: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基础条件（100分）</w:t>
            </w: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基础条件（100分）</w:t>
            </w: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基础条件（100分）</w:t>
            </w: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color w:val="000000" w:themeColor="text1"/>
                <w:sz w:val="18"/>
              </w:rPr>
            </w:pPr>
          </w:p>
        </w:tc>
        <w:tc>
          <w:tcPr>
            <w:tcW w:w="1237" w:type="dxa"/>
            <w:vMerge w:val="restart"/>
            <w:vAlign w:val="center"/>
          </w:tcPr>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法人资格（35分）</w:t>
            </w: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color w:val="000000" w:themeColor="text1"/>
                <w:sz w:val="18"/>
              </w:rPr>
            </w:pPr>
            <w:r>
              <w:rPr>
                <w:rFonts w:hint="eastAsia" w:ascii="宋体" w:hAnsi="宋体" w:cs="宋体"/>
                <w:color w:val="000000" w:themeColor="text1"/>
                <w:kern w:val="0"/>
                <w:sz w:val="24"/>
              </w:rPr>
              <w:t>法人资格（35分）</w:t>
            </w:r>
          </w:p>
        </w:tc>
        <w:tc>
          <w:tcPr>
            <w:tcW w:w="1297" w:type="dxa"/>
            <w:vMerge w:val="restart"/>
            <w:vAlign w:val="center"/>
          </w:tcPr>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color w:val="000000" w:themeColor="text1"/>
                <w:sz w:val="18"/>
              </w:rPr>
            </w:pPr>
            <w:r>
              <w:rPr>
                <w:rFonts w:hint="eastAsia" w:ascii="宋体" w:hAnsi="宋体" w:cs="宋体"/>
                <w:color w:val="000000" w:themeColor="text1"/>
                <w:kern w:val="0"/>
                <w:sz w:val="24"/>
              </w:rPr>
              <w:t>法定资格</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（10分）</w:t>
            </w:r>
          </w:p>
        </w:tc>
        <w:tc>
          <w:tcPr>
            <w:tcW w:w="790" w:type="dxa"/>
            <w:vAlign w:val="center"/>
          </w:tcPr>
          <w:p>
            <w:pPr>
              <w:widowControl/>
              <w:jc w:val="center"/>
              <w:textAlignment w:val="center"/>
              <w:rPr>
                <w:rFonts w:ascii="宋体"/>
                <w:color w:val="000000" w:themeColor="text1"/>
                <w:sz w:val="18"/>
              </w:rPr>
            </w:pPr>
            <w:r>
              <w:rPr>
                <w:rFonts w:hint="eastAsia" w:ascii="宋体" w:hAnsi="宋体" w:cs="宋体"/>
                <w:color w:val="000000" w:themeColor="text1"/>
                <w:kern w:val="0"/>
                <w:sz w:val="24"/>
              </w:rPr>
              <w:t>1</w:t>
            </w:r>
          </w:p>
        </w:tc>
        <w:tc>
          <w:tcPr>
            <w:tcW w:w="1338" w:type="dxa"/>
            <w:vAlign w:val="center"/>
          </w:tcPr>
          <w:p>
            <w:pPr>
              <w:widowControl/>
              <w:jc w:val="center"/>
              <w:textAlignment w:val="center"/>
              <w:rPr>
                <w:rFonts w:ascii="宋体"/>
                <w:color w:val="000000" w:themeColor="text1"/>
                <w:sz w:val="18"/>
              </w:rPr>
            </w:pPr>
            <w:r>
              <w:rPr>
                <w:rFonts w:hint="eastAsia" w:ascii="宋体" w:hAnsi="宋体" w:cs="宋体"/>
                <w:color w:val="000000" w:themeColor="text1"/>
                <w:kern w:val="0"/>
                <w:sz w:val="24"/>
              </w:rPr>
              <w:t>名称牌匾</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（3分）</w:t>
            </w:r>
          </w:p>
        </w:tc>
        <w:tc>
          <w:tcPr>
            <w:tcW w:w="5189" w:type="dxa"/>
            <w:vAlign w:val="center"/>
          </w:tcPr>
          <w:p>
            <w:pPr>
              <w:widowControl/>
              <w:jc w:val="left"/>
              <w:textAlignment w:val="center"/>
              <w:rPr>
                <w:rFonts w:ascii="宋体"/>
                <w:color w:val="000000" w:themeColor="text1"/>
                <w:sz w:val="24"/>
              </w:rPr>
            </w:pPr>
            <w:r>
              <w:rPr>
                <w:rFonts w:hint="eastAsia" w:ascii="宋体" w:hAnsi="宋体" w:cs="宋体"/>
                <w:color w:val="000000" w:themeColor="text1"/>
                <w:kern w:val="0"/>
                <w:sz w:val="24"/>
              </w:rPr>
              <w:t>□名称牌匾悬挂于办公场所外或门厅处（3分）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□名称牌匾悬挂于办公场所内（1分）                                                      □未悬挂名称牌匾（0分）</w:t>
            </w:r>
          </w:p>
        </w:tc>
        <w:tc>
          <w:tcPr>
            <w:tcW w:w="994" w:type="dxa"/>
            <w:vAlign w:val="center"/>
          </w:tcPr>
          <w:p>
            <w:pPr>
              <w:rPr>
                <w:rFonts w:ascii="宋体"/>
                <w:color w:val="000000" w:themeColor="text1"/>
                <w:sz w:val="18"/>
              </w:rPr>
            </w:pPr>
          </w:p>
        </w:tc>
        <w:tc>
          <w:tcPr>
            <w:tcW w:w="1256" w:type="dxa"/>
            <w:vAlign w:val="center"/>
          </w:tcPr>
          <w:p>
            <w:pPr>
              <w:rPr>
                <w:rFonts w:ascii="宋体"/>
                <w:color w:val="000000" w:themeColor="text1"/>
                <w:sz w:val="18"/>
              </w:rPr>
            </w:pPr>
          </w:p>
        </w:tc>
        <w:tc>
          <w:tcPr>
            <w:tcW w:w="1298" w:type="dxa"/>
            <w:vAlign w:val="center"/>
          </w:tcPr>
          <w:p>
            <w:pPr>
              <w:rPr>
                <w:rFonts w:ascii="宋体"/>
                <w:color w:val="000000" w:themeColor="text1"/>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1241" w:type="dxa"/>
            <w:vMerge w:val="continue"/>
          </w:tcPr>
          <w:p>
            <w:pPr>
              <w:pStyle w:val="6"/>
              <w:rPr>
                <w:color w:val="000000" w:themeColor="text1"/>
                <w:szCs w:val="18"/>
              </w:rPr>
            </w:pPr>
          </w:p>
        </w:tc>
        <w:tc>
          <w:tcPr>
            <w:tcW w:w="1237" w:type="dxa"/>
            <w:vMerge w:val="continue"/>
          </w:tcPr>
          <w:p>
            <w:pPr>
              <w:pStyle w:val="6"/>
              <w:rPr>
                <w:color w:val="000000" w:themeColor="text1"/>
                <w:szCs w:val="18"/>
              </w:rPr>
            </w:pPr>
          </w:p>
        </w:tc>
        <w:tc>
          <w:tcPr>
            <w:tcW w:w="1297" w:type="dxa"/>
            <w:vMerge w:val="continue"/>
          </w:tcPr>
          <w:p>
            <w:pPr>
              <w:pStyle w:val="6"/>
              <w:rPr>
                <w:color w:val="000000" w:themeColor="text1"/>
                <w:szCs w:val="18"/>
              </w:rPr>
            </w:pPr>
          </w:p>
        </w:tc>
        <w:tc>
          <w:tcPr>
            <w:tcW w:w="790" w:type="dxa"/>
            <w:vAlign w:val="center"/>
          </w:tcPr>
          <w:p>
            <w:pPr>
              <w:widowControl/>
              <w:jc w:val="center"/>
              <w:textAlignment w:val="center"/>
              <w:rPr>
                <w:rFonts w:ascii="宋体"/>
                <w:color w:val="000000" w:themeColor="text1"/>
                <w:sz w:val="18"/>
              </w:rPr>
            </w:pPr>
            <w:r>
              <w:rPr>
                <w:rFonts w:hint="eastAsia" w:ascii="宋体" w:hAnsi="宋体" w:cs="宋体"/>
                <w:color w:val="000000" w:themeColor="text1"/>
                <w:kern w:val="0"/>
                <w:sz w:val="24"/>
              </w:rPr>
              <w:t>2</w:t>
            </w:r>
          </w:p>
        </w:tc>
        <w:tc>
          <w:tcPr>
            <w:tcW w:w="1338" w:type="dxa"/>
            <w:vAlign w:val="center"/>
          </w:tcPr>
          <w:p>
            <w:pPr>
              <w:widowControl/>
              <w:jc w:val="center"/>
              <w:textAlignment w:val="center"/>
              <w:rPr>
                <w:rFonts w:ascii="宋体"/>
                <w:color w:val="000000" w:themeColor="text1"/>
                <w:sz w:val="18"/>
              </w:rPr>
            </w:pPr>
            <w:r>
              <w:rPr>
                <w:rFonts w:hint="eastAsia" w:ascii="宋体" w:hAnsi="宋体" w:cs="宋体"/>
                <w:color w:val="000000" w:themeColor="text1"/>
                <w:kern w:val="0"/>
                <w:sz w:val="24"/>
              </w:rPr>
              <w:t>登记证书</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正本</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（5分）</w:t>
            </w:r>
          </w:p>
        </w:tc>
        <w:tc>
          <w:tcPr>
            <w:tcW w:w="5189" w:type="dxa"/>
            <w:vAlign w:val="center"/>
          </w:tcPr>
          <w:p>
            <w:pPr>
              <w:widowControl/>
              <w:jc w:val="left"/>
              <w:textAlignment w:val="center"/>
              <w:rPr>
                <w:rFonts w:ascii="宋体"/>
                <w:color w:val="000000" w:themeColor="text1"/>
                <w:sz w:val="24"/>
              </w:rPr>
            </w:pPr>
            <w:r>
              <w:rPr>
                <w:rFonts w:hint="eastAsia" w:ascii="宋体" w:hAnsi="宋体" w:cs="宋体"/>
                <w:color w:val="000000" w:themeColor="text1"/>
                <w:kern w:val="0"/>
                <w:sz w:val="24"/>
              </w:rPr>
              <w:t>□登记证书正本有专人保管，且证书正本悬挂于办公场所，使用规范（5分）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□登记证书正本无专人保管，证书正本未悬挂于门办公场所，或未规范使用（0分）  </w:t>
            </w:r>
          </w:p>
        </w:tc>
        <w:tc>
          <w:tcPr>
            <w:tcW w:w="994" w:type="dxa"/>
            <w:vAlign w:val="center"/>
          </w:tcPr>
          <w:p>
            <w:pPr>
              <w:rPr>
                <w:rFonts w:ascii="宋体"/>
                <w:color w:val="000000" w:themeColor="text1"/>
                <w:sz w:val="18"/>
              </w:rPr>
            </w:pPr>
          </w:p>
        </w:tc>
        <w:tc>
          <w:tcPr>
            <w:tcW w:w="1256" w:type="dxa"/>
            <w:vAlign w:val="center"/>
          </w:tcPr>
          <w:p>
            <w:pPr>
              <w:rPr>
                <w:rFonts w:ascii="宋体"/>
                <w:color w:val="000000" w:themeColor="text1"/>
                <w:sz w:val="18"/>
              </w:rPr>
            </w:pPr>
          </w:p>
        </w:tc>
        <w:tc>
          <w:tcPr>
            <w:tcW w:w="1298" w:type="dxa"/>
            <w:vAlign w:val="center"/>
          </w:tcPr>
          <w:p>
            <w:pPr>
              <w:rPr>
                <w:rFonts w:ascii="宋体"/>
                <w:color w:val="000000" w:themeColor="text1"/>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241" w:type="dxa"/>
            <w:vMerge w:val="continue"/>
          </w:tcPr>
          <w:p>
            <w:pPr>
              <w:pStyle w:val="6"/>
              <w:rPr>
                <w:color w:val="000000" w:themeColor="text1"/>
                <w:szCs w:val="18"/>
              </w:rPr>
            </w:pPr>
          </w:p>
        </w:tc>
        <w:tc>
          <w:tcPr>
            <w:tcW w:w="1237" w:type="dxa"/>
            <w:vMerge w:val="continue"/>
          </w:tcPr>
          <w:p>
            <w:pPr>
              <w:pStyle w:val="6"/>
              <w:rPr>
                <w:color w:val="000000" w:themeColor="text1"/>
                <w:szCs w:val="18"/>
              </w:rPr>
            </w:pPr>
          </w:p>
        </w:tc>
        <w:tc>
          <w:tcPr>
            <w:tcW w:w="1297" w:type="dxa"/>
            <w:vMerge w:val="continue"/>
          </w:tcPr>
          <w:p>
            <w:pPr>
              <w:pStyle w:val="6"/>
              <w:rPr>
                <w:color w:val="000000" w:themeColor="text1"/>
                <w:szCs w:val="18"/>
              </w:rPr>
            </w:pPr>
          </w:p>
        </w:tc>
        <w:tc>
          <w:tcPr>
            <w:tcW w:w="790" w:type="dxa"/>
            <w:vAlign w:val="center"/>
          </w:tcPr>
          <w:p>
            <w:pPr>
              <w:widowControl/>
              <w:jc w:val="center"/>
              <w:textAlignment w:val="center"/>
              <w:rPr>
                <w:rFonts w:ascii="宋体"/>
                <w:color w:val="000000" w:themeColor="text1"/>
                <w:sz w:val="18"/>
              </w:rPr>
            </w:pPr>
            <w:r>
              <w:rPr>
                <w:rFonts w:hint="eastAsia" w:ascii="宋体" w:hAnsi="宋体" w:cs="宋体"/>
                <w:color w:val="000000" w:themeColor="text1"/>
                <w:kern w:val="0"/>
                <w:sz w:val="24"/>
              </w:rPr>
              <w:t>3</w:t>
            </w:r>
          </w:p>
        </w:tc>
        <w:tc>
          <w:tcPr>
            <w:tcW w:w="1338" w:type="dxa"/>
            <w:vAlign w:val="center"/>
          </w:tcPr>
          <w:p>
            <w:pPr>
              <w:widowControl/>
              <w:jc w:val="center"/>
              <w:textAlignment w:val="center"/>
              <w:rPr>
                <w:rFonts w:ascii="宋体"/>
                <w:color w:val="000000" w:themeColor="text1"/>
                <w:sz w:val="18"/>
              </w:rPr>
            </w:pPr>
            <w:r>
              <w:rPr>
                <w:rFonts w:hint="eastAsia" w:ascii="宋体" w:hAnsi="宋体" w:cs="宋体"/>
                <w:color w:val="000000" w:themeColor="text1"/>
                <w:kern w:val="0"/>
                <w:sz w:val="24"/>
              </w:rPr>
              <w:t>单位印章                     (2分)</w:t>
            </w:r>
          </w:p>
        </w:tc>
        <w:tc>
          <w:tcPr>
            <w:tcW w:w="5189" w:type="dxa"/>
            <w:vAlign w:val="center"/>
          </w:tcPr>
          <w:p>
            <w:pPr>
              <w:widowControl/>
              <w:jc w:val="left"/>
              <w:textAlignment w:val="center"/>
              <w:rPr>
                <w:rFonts w:ascii="宋体"/>
                <w:color w:val="000000" w:themeColor="text1"/>
                <w:sz w:val="24"/>
              </w:rPr>
            </w:pPr>
            <w:r>
              <w:rPr>
                <w:rFonts w:hint="eastAsia" w:ascii="宋体" w:hAnsi="宋体" w:cs="宋体"/>
                <w:color w:val="000000" w:themeColor="text1"/>
                <w:kern w:val="0"/>
                <w:sz w:val="24"/>
              </w:rPr>
              <w:t>□有公章、财务专用章(2分)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□无公章或财务专用章(0分)</w:t>
            </w:r>
          </w:p>
        </w:tc>
        <w:tc>
          <w:tcPr>
            <w:tcW w:w="994" w:type="dxa"/>
            <w:vAlign w:val="center"/>
          </w:tcPr>
          <w:p>
            <w:pPr>
              <w:rPr>
                <w:rFonts w:ascii="宋体"/>
                <w:color w:val="000000" w:themeColor="text1"/>
                <w:sz w:val="18"/>
              </w:rPr>
            </w:pPr>
          </w:p>
        </w:tc>
        <w:tc>
          <w:tcPr>
            <w:tcW w:w="1256" w:type="dxa"/>
            <w:vAlign w:val="center"/>
          </w:tcPr>
          <w:p>
            <w:pPr>
              <w:rPr>
                <w:rFonts w:ascii="宋体"/>
                <w:color w:val="000000" w:themeColor="text1"/>
                <w:sz w:val="18"/>
              </w:rPr>
            </w:pPr>
          </w:p>
        </w:tc>
        <w:tc>
          <w:tcPr>
            <w:tcW w:w="1298" w:type="dxa"/>
            <w:vAlign w:val="center"/>
          </w:tcPr>
          <w:p>
            <w:pPr>
              <w:rPr>
                <w:rFonts w:ascii="宋体"/>
                <w:color w:val="000000" w:themeColor="text1"/>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241" w:type="dxa"/>
            <w:vMerge w:val="continue"/>
          </w:tcPr>
          <w:p>
            <w:pPr>
              <w:pStyle w:val="6"/>
              <w:rPr>
                <w:color w:val="000000" w:themeColor="text1"/>
                <w:szCs w:val="18"/>
              </w:rPr>
            </w:pPr>
          </w:p>
        </w:tc>
        <w:tc>
          <w:tcPr>
            <w:tcW w:w="1237" w:type="dxa"/>
            <w:vMerge w:val="continue"/>
            <w:vAlign w:val="center"/>
          </w:tcPr>
          <w:p>
            <w:pPr>
              <w:jc w:val="center"/>
              <w:rPr>
                <w:rFonts w:ascii="宋体"/>
                <w:color w:val="000000" w:themeColor="text1"/>
                <w:sz w:val="18"/>
              </w:rPr>
            </w:pPr>
          </w:p>
        </w:tc>
        <w:tc>
          <w:tcPr>
            <w:tcW w:w="1297" w:type="dxa"/>
            <w:vMerge w:val="restart"/>
            <w:vAlign w:val="center"/>
          </w:tcPr>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办公条件</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（10分）</w:t>
            </w: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color w:val="000000" w:themeColor="text1"/>
                <w:sz w:val="18"/>
              </w:rPr>
            </w:pPr>
          </w:p>
        </w:tc>
        <w:tc>
          <w:tcPr>
            <w:tcW w:w="790" w:type="dxa"/>
            <w:vAlign w:val="center"/>
          </w:tcPr>
          <w:p>
            <w:pPr>
              <w:widowControl/>
              <w:jc w:val="center"/>
              <w:textAlignment w:val="center"/>
              <w:rPr>
                <w:rFonts w:ascii="宋体"/>
                <w:color w:val="000000" w:themeColor="text1"/>
                <w:sz w:val="18"/>
              </w:rPr>
            </w:pPr>
            <w:r>
              <w:rPr>
                <w:rFonts w:hint="eastAsia" w:ascii="宋体" w:hAnsi="宋体" w:cs="宋体"/>
                <w:color w:val="000000" w:themeColor="text1"/>
                <w:kern w:val="0"/>
                <w:sz w:val="24"/>
              </w:rPr>
              <w:t>4</w:t>
            </w:r>
          </w:p>
        </w:tc>
        <w:tc>
          <w:tcPr>
            <w:tcW w:w="1338" w:type="dxa"/>
            <w:vAlign w:val="center"/>
          </w:tcPr>
          <w:p>
            <w:pPr>
              <w:widowControl/>
              <w:jc w:val="center"/>
              <w:textAlignment w:val="center"/>
              <w:rPr>
                <w:rFonts w:ascii="宋体"/>
                <w:color w:val="000000" w:themeColor="text1"/>
                <w:sz w:val="18"/>
              </w:rPr>
            </w:pPr>
            <w:r>
              <w:rPr>
                <w:rFonts w:hint="eastAsia" w:ascii="宋体" w:hAnsi="宋体" w:cs="宋体"/>
                <w:color w:val="000000" w:themeColor="text1"/>
                <w:kern w:val="0"/>
                <w:sz w:val="24"/>
              </w:rPr>
              <w:t>办公面积           （5分）</w:t>
            </w:r>
          </w:p>
        </w:tc>
        <w:tc>
          <w:tcPr>
            <w:tcW w:w="5189" w:type="dxa"/>
            <w:vAlign w:val="center"/>
          </w:tcPr>
          <w:p>
            <w:pPr>
              <w:widowControl/>
              <w:jc w:val="left"/>
              <w:textAlignment w:val="center"/>
              <w:rPr>
                <w:rFonts w:ascii="宋体"/>
                <w:color w:val="000000" w:themeColor="text1"/>
                <w:sz w:val="24"/>
              </w:rPr>
            </w:pPr>
            <w:r>
              <w:rPr>
                <w:rFonts w:hint="eastAsia" w:ascii="宋体" w:hAnsi="宋体" w:cs="宋体"/>
                <w:color w:val="000000" w:themeColor="text1"/>
                <w:kern w:val="0"/>
                <w:sz w:val="24"/>
              </w:rPr>
              <w:t>□办公面积150平米及以上(5分)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□办公面积100平米及以上(3分)                                                                                                   □办公面积100平米以下(2分)                                                             □无办公场所（0分）</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1241" w:type="dxa"/>
            <w:vMerge w:val="continue"/>
          </w:tcPr>
          <w:p>
            <w:pPr>
              <w:pStyle w:val="6"/>
              <w:rPr>
                <w:color w:val="000000" w:themeColor="text1"/>
                <w:szCs w:val="18"/>
              </w:rPr>
            </w:pPr>
          </w:p>
        </w:tc>
        <w:tc>
          <w:tcPr>
            <w:tcW w:w="1237" w:type="dxa"/>
            <w:vMerge w:val="continue"/>
          </w:tcPr>
          <w:p>
            <w:pPr>
              <w:pStyle w:val="6"/>
              <w:rPr>
                <w:color w:val="000000" w:themeColor="text1"/>
                <w:szCs w:val="18"/>
              </w:rPr>
            </w:pPr>
          </w:p>
        </w:tc>
        <w:tc>
          <w:tcPr>
            <w:tcW w:w="1297" w:type="dxa"/>
            <w:vMerge w:val="continue"/>
          </w:tcPr>
          <w:p>
            <w:pPr>
              <w:pStyle w:val="6"/>
              <w:rPr>
                <w:color w:val="000000" w:themeColor="text1"/>
                <w:szCs w:val="18"/>
              </w:rPr>
            </w:pPr>
          </w:p>
        </w:tc>
        <w:tc>
          <w:tcPr>
            <w:tcW w:w="790" w:type="dxa"/>
            <w:vAlign w:val="center"/>
          </w:tcPr>
          <w:p>
            <w:pPr>
              <w:widowControl/>
              <w:jc w:val="center"/>
              <w:textAlignment w:val="center"/>
              <w:rPr>
                <w:rFonts w:ascii="宋体"/>
                <w:color w:val="000000" w:themeColor="text1"/>
                <w:sz w:val="18"/>
              </w:rPr>
            </w:pPr>
            <w:r>
              <w:rPr>
                <w:rFonts w:hint="eastAsia" w:ascii="宋体" w:hAnsi="宋体" w:cs="宋体"/>
                <w:color w:val="000000" w:themeColor="text1"/>
                <w:kern w:val="0"/>
                <w:sz w:val="24"/>
              </w:rPr>
              <w:t>5</w:t>
            </w:r>
          </w:p>
        </w:tc>
        <w:tc>
          <w:tcPr>
            <w:tcW w:w="1338" w:type="dxa"/>
            <w:vAlign w:val="center"/>
          </w:tcPr>
          <w:p>
            <w:pPr>
              <w:widowControl/>
              <w:jc w:val="center"/>
              <w:textAlignment w:val="center"/>
              <w:rPr>
                <w:rFonts w:ascii="宋体"/>
                <w:color w:val="000000" w:themeColor="text1"/>
                <w:sz w:val="18"/>
              </w:rPr>
            </w:pPr>
            <w:r>
              <w:rPr>
                <w:rFonts w:hint="eastAsia" w:ascii="宋体" w:hAnsi="宋体" w:cs="宋体"/>
                <w:color w:val="000000" w:themeColor="text1"/>
                <w:kern w:val="0"/>
                <w:sz w:val="24"/>
              </w:rPr>
              <w:t>办公用房        （3分）</w:t>
            </w:r>
          </w:p>
        </w:tc>
        <w:tc>
          <w:tcPr>
            <w:tcW w:w="5189" w:type="dxa"/>
            <w:vAlign w:val="center"/>
          </w:tcPr>
          <w:p>
            <w:pPr>
              <w:widowControl/>
              <w:jc w:val="left"/>
              <w:textAlignment w:val="center"/>
              <w:rPr>
                <w:rFonts w:ascii="宋体"/>
                <w:color w:val="000000" w:themeColor="text1"/>
                <w:sz w:val="24"/>
              </w:rPr>
            </w:pPr>
            <w:r>
              <w:rPr>
                <w:rFonts w:hint="eastAsia" w:ascii="宋体" w:hAnsi="宋体" w:cs="宋体"/>
                <w:color w:val="000000" w:themeColor="text1"/>
                <w:kern w:val="0"/>
                <w:sz w:val="24"/>
              </w:rPr>
              <w:t>□自有产权，能提供产权证明；租赁，提供租赁合同；无偿使用，且独立办公(2分)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□与其他单位合署办公或其他情况(0分)</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pPr>
              <w:pStyle w:val="6"/>
              <w:ind w:firstLine="0" w:firstLineChars="0"/>
              <w:rPr>
                <w:color w:val="000000" w:themeColor="text1"/>
                <w:szCs w:val="18"/>
              </w:rPr>
            </w:pPr>
          </w:p>
        </w:tc>
        <w:tc>
          <w:tcPr>
            <w:tcW w:w="1237" w:type="dxa"/>
            <w:vMerge w:val="continue"/>
          </w:tcPr>
          <w:p>
            <w:pPr>
              <w:pStyle w:val="6"/>
              <w:ind w:firstLine="0" w:firstLineChars="0"/>
              <w:rPr>
                <w:color w:val="000000" w:themeColor="text1"/>
                <w:szCs w:val="18"/>
              </w:rPr>
            </w:pPr>
          </w:p>
        </w:tc>
        <w:tc>
          <w:tcPr>
            <w:tcW w:w="1297" w:type="dxa"/>
            <w:vMerge w:val="continue"/>
          </w:tcPr>
          <w:p>
            <w:pPr>
              <w:pStyle w:val="6"/>
              <w:rPr>
                <w:color w:val="000000" w:themeColor="text1"/>
                <w:szCs w:val="18"/>
              </w:rPr>
            </w:pPr>
          </w:p>
        </w:tc>
        <w:tc>
          <w:tcPr>
            <w:tcW w:w="790" w:type="dxa"/>
            <w:vAlign w:val="center"/>
          </w:tcPr>
          <w:p>
            <w:pPr>
              <w:widowControl/>
              <w:jc w:val="center"/>
              <w:textAlignment w:val="center"/>
              <w:rPr>
                <w:rFonts w:ascii="宋体"/>
                <w:color w:val="000000" w:themeColor="text1"/>
                <w:sz w:val="18"/>
              </w:rPr>
            </w:pPr>
            <w:r>
              <w:rPr>
                <w:rFonts w:hint="eastAsia" w:ascii="宋体" w:hAnsi="宋体" w:cs="宋体"/>
                <w:color w:val="000000" w:themeColor="text1"/>
                <w:kern w:val="0"/>
                <w:sz w:val="24"/>
              </w:rPr>
              <w:t>6</w:t>
            </w:r>
          </w:p>
        </w:tc>
        <w:tc>
          <w:tcPr>
            <w:tcW w:w="1338" w:type="dxa"/>
            <w:vAlign w:val="center"/>
          </w:tcPr>
          <w:p>
            <w:pPr>
              <w:widowControl/>
              <w:jc w:val="center"/>
              <w:textAlignment w:val="center"/>
              <w:rPr>
                <w:rFonts w:ascii="宋体"/>
                <w:color w:val="000000" w:themeColor="text1"/>
                <w:sz w:val="18"/>
              </w:rPr>
            </w:pPr>
            <w:r>
              <w:rPr>
                <w:rFonts w:hint="eastAsia" w:ascii="宋体" w:hAnsi="宋体" w:cs="宋体"/>
                <w:color w:val="000000" w:themeColor="text1"/>
                <w:kern w:val="0"/>
                <w:sz w:val="24"/>
              </w:rPr>
              <w:t>办公设备</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（2分）</w:t>
            </w:r>
          </w:p>
        </w:tc>
        <w:tc>
          <w:tcPr>
            <w:tcW w:w="5189" w:type="dxa"/>
            <w:vAlign w:val="center"/>
          </w:tcPr>
          <w:p>
            <w:pPr>
              <w:widowControl/>
              <w:jc w:val="left"/>
              <w:textAlignment w:val="center"/>
              <w:rPr>
                <w:rFonts w:ascii="宋体"/>
                <w:color w:val="000000" w:themeColor="text1"/>
                <w:sz w:val="24"/>
              </w:rPr>
            </w:pPr>
            <w:r>
              <w:rPr>
                <w:rFonts w:hint="eastAsia" w:ascii="宋体" w:hAnsi="宋体" w:cs="宋体"/>
                <w:color w:val="000000" w:themeColor="text1"/>
                <w:kern w:val="0"/>
                <w:sz w:val="24"/>
              </w:rPr>
              <w:t xml:space="preserve">□有电脑、打印机、复印机等办公设备（3分）                                                                                                                            </w:t>
            </w:r>
            <w:r>
              <w:rPr>
                <w:rFonts w:hint="eastAsia" w:ascii="宋体" w:hAnsi="宋体" w:cs="宋体"/>
                <w:b/>
                <w:color w:val="000000" w:themeColor="text1"/>
                <w:kern w:val="0"/>
                <w:sz w:val="24"/>
              </w:rPr>
              <w:t>注：每专职工作人员必须有一台电脑，否则此项不得分；其余每样1分</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pPr>
              <w:pStyle w:val="6"/>
              <w:ind w:firstLine="0" w:firstLineChars="0"/>
              <w:rPr>
                <w:color w:val="000000" w:themeColor="text1"/>
                <w:szCs w:val="18"/>
              </w:rPr>
            </w:pPr>
          </w:p>
        </w:tc>
        <w:tc>
          <w:tcPr>
            <w:tcW w:w="1237" w:type="dxa"/>
            <w:vMerge w:val="continue"/>
            <w:vAlign w:val="center"/>
          </w:tcPr>
          <w:p>
            <w:pPr>
              <w:widowControl/>
              <w:jc w:val="center"/>
              <w:textAlignment w:val="center"/>
              <w:rPr>
                <w:rFonts w:ascii="宋体"/>
                <w:color w:val="000000" w:themeColor="text1"/>
                <w:sz w:val="18"/>
              </w:rPr>
            </w:pPr>
          </w:p>
        </w:tc>
        <w:tc>
          <w:tcPr>
            <w:tcW w:w="1297" w:type="dxa"/>
            <w:vMerge w:val="restart"/>
            <w:vAlign w:val="center"/>
          </w:tcPr>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法定代表人</w:t>
            </w: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（15分）</w:t>
            </w:r>
          </w:p>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color w:val="000000" w:themeColor="text1"/>
                <w:sz w:val="18"/>
              </w:rPr>
            </w:pPr>
          </w:p>
        </w:tc>
        <w:tc>
          <w:tcPr>
            <w:tcW w:w="790" w:type="dxa"/>
            <w:vAlign w:val="center"/>
          </w:tcPr>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7</w:t>
            </w:r>
          </w:p>
        </w:tc>
        <w:tc>
          <w:tcPr>
            <w:tcW w:w="1338" w:type="dxa"/>
            <w:vAlign w:val="center"/>
          </w:tcPr>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任职条件</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（5分）</w:t>
            </w:r>
          </w:p>
        </w:tc>
        <w:tc>
          <w:tcPr>
            <w:tcW w:w="5189" w:type="dxa"/>
            <w:vAlign w:val="center"/>
          </w:tcPr>
          <w:p>
            <w:pPr>
              <w:widowControl/>
              <w:jc w:val="left"/>
              <w:textAlignment w:val="center"/>
              <w:rPr>
                <w:rFonts w:ascii="宋体" w:hAnsi="宋体" w:cs="宋体"/>
                <w:color w:val="000000" w:themeColor="text1"/>
                <w:kern w:val="0"/>
                <w:sz w:val="24"/>
              </w:rPr>
            </w:pPr>
            <w:r>
              <w:rPr>
                <w:rStyle w:val="8"/>
                <w:rFonts w:hint="default"/>
                <w:color w:val="000000" w:themeColor="text1"/>
              </w:rPr>
              <w:t>出现下列任何一种情况，此项不得分：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□无民事行为能力或者限制民事行为能力的；</w:t>
            </w:r>
          </w:p>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□正在被执行刑罚或者正在被执行刑事强制措施的；</w:t>
            </w:r>
          </w:p>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□正在被公安机关或者国家安全机关通缉的；</w:t>
            </w:r>
          </w:p>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□因犯罪被判处刑罚，执行期满未逾3年，或者因犯罪被判处剥夺政治权利，执行期满未逾5年的；</w:t>
            </w:r>
          </w:p>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□担任因违法被撤销登记的社会组织的法定代表人，自该单位被撤销登记之日起未逾3年的；</w:t>
            </w:r>
          </w:p>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□非中国内地居民的；</w:t>
            </w:r>
          </w:p>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□法律、法规规定不得担任法定代表人的其他情形。</w:t>
            </w:r>
          </w:p>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□应符合相关文件规定，不得超龄。</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1" w:type="dxa"/>
            <w:vMerge w:val="continue"/>
          </w:tcPr>
          <w:p>
            <w:pPr>
              <w:pStyle w:val="6"/>
              <w:ind w:firstLine="0" w:firstLineChars="0"/>
              <w:rPr>
                <w:color w:val="000000" w:themeColor="text1"/>
                <w:szCs w:val="18"/>
              </w:rPr>
            </w:pPr>
          </w:p>
        </w:tc>
        <w:tc>
          <w:tcPr>
            <w:tcW w:w="1237" w:type="dxa"/>
            <w:vMerge w:val="continue"/>
          </w:tcPr>
          <w:p>
            <w:pPr>
              <w:pStyle w:val="6"/>
              <w:ind w:firstLine="0" w:firstLineChars="0"/>
              <w:rPr>
                <w:color w:val="000000" w:themeColor="text1"/>
                <w:szCs w:val="18"/>
              </w:rPr>
            </w:pPr>
          </w:p>
        </w:tc>
        <w:tc>
          <w:tcPr>
            <w:tcW w:w="1297" w:type="dxa"/>
            <w:vMerge w:val="continue"/>
          </w:tcPr>
          <w:p>
            <w:pPr>
              <w:pStyle w:val="6"/>
              <w:rPr>
                <w:color w:val="000000" w:themeColor="text1"/>
                <w:szCs w:val="18"/>
              </w:rPr>
            </w:pP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8</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产生与变更程序 （10分）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b/>
                <w:color w:val="000000" w:themeColor="text1"/>
                <w:kern w:val="0"/>
                <w:sz w:val="24"/>
              </w:rPr>
              <w:t>法定代表人产生程序:</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□法定代表人按章程规定选举产生（5分）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□法定代表人未按章程规定选举产生(0分)</w:t>
            </w:r>
            <w:r>
              <w:rPr>
                <w:rFonts w:hint="eastAsia" w:ascii="宋体" w:hAnsi="宋体" w:cs="宋体"/>
                <w:color w:val="000000" w:themeColor="text1"/>
                <w:kern w:val="0"/>
                <w:sz w:val="24"/>
              </w:rPr>
              <w:br w:type="textWrapping"/>
            </w:r>
            <w:r>
              <w:rPr>
                <w:rStyle w:val="7"/>
                <w:rFonts w:hint="default"/>
                <w:color w:val="000000" w:themeColor="text1"/>
              </w:rPr>
              <w:t>法定代表人变更程序:</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□法定代表人按章程规定进行变更（5分）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□法定代表人未按章程规定进行变更（0分）                                                                                                           </w:t>
            </w:r>
            <w:r>
              <w:rPr>
                <w:rStyle w:val="7"/>
                <w:rFonts w:hint="default"/>
                <w:color w:val="000000" w:themeColor="text1"/>
              </w:rPr>
              <w:t>注：若法定代表人未发生变更，其变更程序得满分</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241" w:type="dxa"/>
            <w:vMerge w:val="continue"/>
          </w:tcPr>
          <w:p>
            <w:pPr>
              <w:pStyle w:val="6"/>
              <w:ind w:firstLine="0" w:firstLineChars="0"/>
              <w:rPr>
                <w:color w:val="000000" w:themeColor="text1"/>
                <w:szCs w:val="18"/>
              </w:rPr>
            </w:pPr>
          </w:p>
        </w:tc>
        <w:tc>
          <w:tcPr>
            <w:tcW w:w="1237" w:type="dxa"/>
            <w:vMerge w:val="restart"/>
            <w:vAlign w:val="center"/>
          </w:tcPr>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登记和备案</w:t>
            </w: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（30分）</w:t>
            </w: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登记和备案</w:t>
            </w:r>
          </w:p>
          <w:p>
            <w:pPr>
              <w:widowControl/>
              <w:jc w:val="center"/>
              <w:textAlignment w:val="center"/>
              <w:rPr>
                <w:rFonts w:ascii="宋体"/>
                <w:color w:val="000000" w:themeColor="text1"/>
                <w:sz w:val="18"/>
              </w:rPr>
            </w:pPr>
            <w:r>
              <w:rPr>
                <w:rFonts w:hint="eastAsia" w:ascii="宋体" w:hAnsi="宋体" w:cs="宋体"/>
                <w:color w:val="000000" w:themeColor="text1"/>
                <w:kern w:val="0"/>
                <w:sz w:val="24"/>
              </w:rPr>
              <w:t xml:space="preserve">（30分）    </w:t>
            </w:r>
          </w:p>
        </w:tc>
        <w:tc>
          <w:tcPr>
            <w:tcW w:w="1297" w:type="dxa"/>
            <w:vMerge w:val="restart"/>
            <w:vAlign w:val="center"/>
          </w:tcPr>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变更登记</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（20分）</w:t>
            </w: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color w:val="000000" w:themeColor="text1"/>
                <w:sz w:val="18"/>
              </w:rPr>
            </w:pP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9</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变更事项        （15分）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□机构名称、业务范围、住所、注册资金、法定代表人、业务主管单位等变更，按规定办理变更登记手续（15分）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□机构名称、业务范围、住所、注册资金、法定代表人、业务主管单位等变更，但未按规定办理变更登记手续，少一项扣5分</w:t>
            </w:r>
            <w:r>
              <w:rPr>
                <w:rFonts w:hint="eastAsia" w:ascii="宋体" w:hAnsi="宋体" w:cs="宋体"/>
                <w:color w:val="000000" w:themeColor="text1"/>
                <w:kern w:val="0"/>
                <w:sz w:val="24"/>
              </w:rPr>
              <w:br w:type="textWrapping"/>
            </w:r>
            <w:r>
              <w:rPr>
                <w:rFonts w:hint="eastAsia" w:ascii="宋体" w:hAnsi="宋体" w:cs="宋体"/>
                <w:b/>
                <w:color w:val="000000" w:themeColor="text1"/>
                <w:kern w:val="0"/>
                <w:sz w:val="24"/>
              </w:rPr>
              <w:t>注：变更应当自业务主管单位同意之日起30日内，直接登记的自变更事项发生之日起30日内，向登记管理机关申请变更登记，正在办理过程中视为按规定办理。超时办理变更手续，每一项扣2分。</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pPr>
              <w:pStyle w:val="6"/>
              <w:ind w:firstLine="0" w:firstLineChars="0"/>
              <w:rPr>
                <w:color w:val="000000" w:themeColor="text1"/>
                <w:szCs w:val="18"/>
              </w:rPr>
            </w:pPr>
          </w:p>
        </w:tc>
        <w:tc>
          <w:tcPr>
            <w:tcW w:w="1237" w:type="dxa"/>
            <w:vMerge w:val="continue"/>
          </w:tcPr>
          <w:p>
            <w:pPr>
              <w:pStyle w:val="6"/>
              <w:ind w:firstLine="0" w:firstLineChars="0"/>
              <w:rPr>
                <w:color w:val="000000" w:themeColor="text1"/>
                <w:szCs w:val="18"/>
              </w:rPr>
            </w:pPr>
          </w:p>
        </w:tc>
        <w:tc>
          <w:tcPr>
            <w:tcW w:w="1297" w:type="dxa"/>
            <w:vMerge w:val="continue"/>
          </w:tcPr>
          <w:p>
            <w:pPr>
              <w:pStyle w:val="6"/>
              <w:rPr>
                <w:color w:val="000000" w:themeColor="text1"/>
                <w:szCs w:val="18"/>
              </w:rPr>
            </w:pP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10</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表决程序         （5分）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□理事长、监事长、副理事长或部门负责人等若发生变更，按章程规定履行表决程序（5）</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□理事长、监事长、副理事长或部门负责人等发生变更，未按章程规定履行表决程序，少一项扣2分，扣完为止</w:t>
            </w:r>
            <w:r>
              <w:rPr>
                <w:rFonts w:hint="eastAsia" w:ascii="宋体" w:hAnsi="宋体" w:cs="宋体"/>
                <w:color w:val="000000" w:themeColor="text1"/>
                <w:kern w:val="0"/>
                <w:sz w:val="24"/>
              </w:rPr>
              <w:br w:type="textWrapping"/>
            </w:r>
            <w:r>
              <w:rPr>
                <w:rFonts w:hint="eastAsia" w:ascii="宋体" w:hAnsi="宋体" w:cs="宋体"/>
                <w:b/>
                <w:color w:val="000000" w:themeColor="text1"/>
                <w:kern w:val="0"/>
                <w:sz w:val="24"/>
              </w:rPr>
              <w:t>注：若未发生变更此项得满分。</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41" w:type="dxa"/>
            <w:vMerge w:val="continue"/>
          </w:tcPr>
          <w:p>
            <w:pPr>
              <w:pStyle w:val="6"/>
              <w:ind w:firstLine="0" w:firstLineChars="0"/>
              <w:rPr>
                <w:color w:val="000000" w:themeColor="text1"/>
                <w:szCs w:val="18"/>
              </w:rPr>
            </w:pPr>
          </w:p>
        </w:tc>
        <w:tc>
          <w:tcPr>
            <w:tcW w:w="1237" w:type="dxa"/>
            <w:vMerge w:val="continue"/>
          </w:tcPr>
          <w:p>
            <w:pPr>
              <w:pStyle w:val="6"/>
              <w:ind w:firstLine="0" w:firstLineChars="0"/>
              <w:rPr>
                <w:color w:val="000000" w:themeColor="text1"/>
                <w:szCs w:val="18"/>
              </w:rPr>
            </w:pPr>
          </w:p>
        </w:tc>
        <w:tc>
          <w:tcPr>
            <w:tcW w:w="1297" w:type="dxa"/>
          </w:tcPr>
          <w:p>
            <w:pPr>
              <w:pStyle w:val="6"/>
              <w:ind w:firstLine="0" w:firstLineChars="0"/>
              <w:jc w:val="center"/>
              <w:rPr>
                <w:color w:val="000000" w:themeColor="text1"/>
                <w:sz w:val="24"/>
                <w:szCs w:val="24"/>
              </w:rPr>
            </w:pPr>
          </w:p>
          <w:p>
            <w:pPr>
              <w:pStyle w:val="6"/>
              <w:ind w:firstLine="0" w:firstLineChars="0"/>
              <w:jc w:val="center"/>
              <w:rPr>
                <w:color w:val="000000" w:themeColor="text1"/>
                <w:sz w:val="24"/>
                <w:szCs w:val="24"/>
              </w:rPr>
            </w:pPr>
          </w:p>
          <w:p>
            <w:pPr>
              <w:pStyle w:val="6"/>
              <w:ind w:firstLine="0" w:firstLineChars="0"/>
              <w:jc w:val="center"/>
              <w:rPr>
                <w:color w:val="000000" w:themeColor="text1"/>
                <w:sz w:val="24"/>
                <w:szCs w:val="24"/>
              </w:rPr>
            </w:pPr>
          </w:p>
          <w:p>
            <w:pPr>
              <w:pStyle w:val="6"/>
              <w:ind w:firstLine="0" w:firstLineChars="0"/>
              <w:jc w:val="center"/>
              <w:rPr>
                <w:color w:val="000000" w:themeColor="text1"/>
                <w:sz w:val="24"/>
                <w:szCs w:val="24"/>
              </w:rPr>
            </w:pPr>
          </w:p>
          <w:p>
            <w:pPr>
              <w:pStyle w:val="6"/>
              <w:ind w:firstLine="0" w:firstLineChars="0"/>
              <w:jc w:val="center"/>
              <w:rPr>
                <w:color w:val="000000" w:themeColor="text1"/>
                <w:sz w:val="24"/>
                <w:szCs w:val="24"/>
              </w:rPr>
            </w:pPr>
          </w:p>
          <w:p>
            <w:pPr>
              <w:pStyle w:val="6"/>
              <w:ind w:firstLine="0" w:firstLineChars="0"/>
              <w:rPr>
                <w:color w:val="000000" w:themeColor="text1"/>
                <w:sz w:val="24"/>
                <w:szCs w:val="24"/>
              </w:rPr>
            </w:pPr>
          </w:p>
          <w:p>
            <w:pPr>
              <w:pStyle w:val="6"/>
              <w:ind w:firstLine="0" w:firstLineChars="0"/>
              <w:jc w:val="center"/>
              <w:rPr>
                <w:color w:val="000000" w:themeColor="text1"/>
                <w:sz w:val="24"/>
                <w:szCs w:val="24"/>
              </w:rPr>
            </w:pPr>
          </w:p>
          <w:p>
            <w:pPr>
              <w:pStyle w:val="6"/>
              <w:ind w:firstLine="0" w:firstLineChars="0"/>
              <w:jc w:val="center"/>
              <w:rPr>
                <w:color w:val="000000" w:themeColor="text1"/>
                <w:sz w:val="24"/>
                <w:szCs w:val="24"/>
              </w:rPr>
            </w:pPr>
            <w:r>
              <w:rPr>
                <w:rFonts w:hint="eastAsia"/>
                <w:color w:val="000000" w:themeColor="text1"/>
                <w:sz w:val="24"/>
                <w:szCs w:val="24"/>
              </w:rPr>
              <w:t>备案           （10分）</w:t>
            </w:r>
          </w:p>
          <w:p>
            <w:pPr>
              <w:pStyle w:val="6"/>
              <w:ind w:firstLine="0" w:firstLineChars="0"/>
              <w:jc w:val="center"/>
              <w:rPr>
                <w:color w:val="000000" w:themeColor="text1"/>
                <w:sz w:val="24"/>
                <w:szCs w:val="24"/>
              </w:rPr>
            </w:pPr>
          </w:p>
          <w:p>
            <w:pPr>
              <w:pStyle w:val="6"/>
              <w:ind w:firstLine="0" w:firstLineChars="0"/>
              <w:jc w:val="center"/>
              <w:rPr>
                <w:color w:val="000000" w:themeColor="text1"/>
                <w:sz w:val="24"/>
                <w:szCs w:val="24"/>
              </w:rPr>
            </w:pPr>
          </w:p>
          <w:p>
            <w:pPr>
              <w:pStyle w:val="6"/>
              <w:ind w:firstLine="0" w:firstLineChars="0"/>
              <w:jc w:val="center"/>
              <w:rPr>
                <w:color w:val="000000" w:themeColor="text1"/>
                <w:szCs w:val="18"/>
              </w:rPr>
            </w:pP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11</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备案内容                      （10分）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b/>
                <w:color w:val="000000" w:themeColor="text1"/>
                <w:kern w:val="0"/>
                <w:sz w:val="24"/>
              </w:rPr>
              <w:t>到届备案：</w:t>
            </w:r>
            <w:r>
              <w:rPr>
                <w:rFonts w:hint="eastAsia" w:ascii="宋体" w:hAnsi="宋体" w:cs="宋体"/>
                <w:color w:val="000000" w:themeColor="text1"/>
                <w:kern w:val="0"/>
                <w:sz w:val="24"/>
              </w:rPr>
              <w:t>□理事长、监事等备案按规定办理（5分）                                                                                          □理事长、监事等未备案或备案内容不完整，少一项扣2分</w:t>
            </w:r>
          </w:p>
          <w:p>
            <w:pPr>
              <w:widowControl/>
              <w:jc w:val="left"/>
              <w:textAlignment w:val="center"/>
              <w:rPr>
                <w:rFonts w:ascii="宋体" w:hAnsi="宋体" w:cs="宋体"/>
                <w:color w:val="000000" w:themeColor="text1"/>
                <w:kern w:val="0"/>
                <w:sz w:val="24"/>
              </w:rPr>
            </w:pPr>
            <w:r>
              <w:rPr>
                <w:rFonts w:hint="eastAsia" w:ascii="宋体" w:hAnsi="宋体" w:cs="宋体"/>
                <w:b/>
                <w:color w:val="000000" w:themeColor="text1"/>
                <w:kern w:val="0"/>
                <w:sz w:val="24"/>
              </w:rPr>
              <w:t>内设机构备案：</w:t>
            </w:r>
            <w:r>
              <w:rPr>
                <w:rFonts w:hint="eastAsia" w:ascii="宋体" w:hAnsi="宋体" w:cs="宋体"/>
                <w:color w:val="000000" w:themeColor="text1"/>
                <w:kern w:val="0"/>
                <w:sz w:val="24"/>
              </w:rPr>
              <w:t>□理事长、监事、印章、银行账户等备案按规定办理（5分）</w:t>
            </w:r>
          </w:p>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□理事长、监事、印章、银行账户等未备案或备案内容不完整，少一项扣2分</w:t>
            </w:r>
            <w:r>
              <w:rPr>
                <w:rFonts w:hint="eastAsia" w:ascii="宋体" w:hAnsi="宋体" w:cs="宋体"/>
                <w:color w:val="000000" w:themeColor="text1"/>
                <w:kern w:val="0"/>
                <w:sz w:val="24"/>
              </w:rPr>
              <w:br w:type="textWrapping"/>
            </w:r>
            <w:r>
              <w:rPr>
                <w:rFonts w:hint="eastAsia" w:ascii="宋体" w:hAnsi="宋体" w:cs="宋体"/>
                <w:b/>
                <w:color w:val="000000" w:themeColor="text1"/>
                <w:kern w:val="0"/>
                <w:sz w:val="24"/>
              </w:rPr>
              <w:t>重大及涉外事项备案：</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□全部重大事项备案（5分）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□存在重大事项不备案（0分）</w:t>
            </w:r>
            <w:r>
              <w:rPr>
                <w:rFonts w:hint="eastAsia" w:ascii="宋体" w:hAnsi="宋体" w:cs="宋体"/>
                <w:color w:val="000000" w:themeColor="text1"/>
                <w:kern w:val="0"/>
                <w:sz w:val="24"/>
              </w:rPr>
              <w:br w:type="textWrapping"/>
            </w:r>
            <w:r>
              <w:rPr>
                <w:rFonts w:hint="eastAsia" w:ascii="宋体" w:hAnsi="宋体" w:cs="宋体"/>
                <w:b/>
                <w:color w:val="000000" w:themeColor="text1"/>
                <w:kern w:val="0"/>
                <w:sz w:val="24"/>
              </w:rPr>
              <w:t>注：重大事项包括组团出国（境）考察、境内外学术/业务交流、重大投资项目等。</w:t>
            </w:r>
            <w:r>
              <w:rPr>
                <w:rFonts w:hint="eastAsia" w:ascii="宋体" w:hAnsi="宋体" w:cs="宋体"/>
                <w:b/>
                <w:color w:val="000000" w:themeColor="text1"/>
                <w:kern w:val="0"/>
                <w:sz w:val="24"/>
              </w:rPr>
              <w:br w:type="textWrapping"/>
            </w:r>
            <w:r>
              <w:rPr>
                <w:rFonts w:hint="eastAsia" w:ascii="宋体" w:hAnsi="宋体" w:cs="宋体"/>
                <w:b/>
                <w:color w:val="000000" w:themeColor="text1"/>
                <w:kern w:val="0"/>
                <w:sz w:val="24"/>
              </w:rPr>
              <w:t xml:space="preserve">若无发生换届、重大事项相关内容，则到届备案和重大事项备案不扣分。                           </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pPr>
              <w:pStyle w:val="6"/>
              <w:ind w:firstLine="0" w:firstLineChars="0"/>
              <w:rPr>
                <w:color w:val="000000" w:themeColor="text1"/>
                <w:szCs w:val="18"/>
              </w:rPr>
            </w:pPr>
          </w:p>
        </w:tc>
        <w:tc>
          <w:tcPr>
            <w:tcW w:w="1237" w:type="dxa"/>
            <w:vMerge w:val="restart"/>
            <w:vAlign w:val="center"/>
          </w:tcPr>
          <w:p>
            <w:pPr>
              <w:widowControl/>
              <w:jc w:val="center"/>
              <w:textAlignment w:val="center"/>
              <w:rPr>
                <w:rFonts w:ascii="宋体"/>
                <w:color w:val="000000" w:themeColor="text1"/>
                <w:sz w:val="18"/>
              </w:rPr>
            </w:pPr>
            <w:r>
              <w:rPr>
                <w:rFonts w:hint="eastAsia" w:ascii="宋体" w:hAnsi="宋体" w:cs="宋体"/>
                <w:color w:val="000000" w:themeColor="text1"/>
                <w:kern w:val="0"/>
                <w:sz w:val="24"/>
              </w:rPr>
              <w:t>年度检查（15分）</w:t>
            </w:r>
          </w:p>
        </w:tc>
        <w:tc>
          <w:tcPr>
            <w:tcW w:w="1297" w:type="dxa"/>
            <w:vAlign w:val="center"/>
          </w:tcPr>
          <w:p>
            <w:pPr>
              <w:widowControl/>
              <w:jc w:val="center"/>
              <w:textAlignment w:val="center"/>
              <w:rPr>
                <w:rFonts w:ascii="宋体"/>
                <w:color w:val="000000" w:themeColor="text1"/>
                <w:sz w:val="18"/>
              </w:rPr>
            </w:pPr>
            <w:r>
              <w:rPr>
                <w:rFonts w:hint="eastAsia" w:ascii="宋体" w:hAnsi="宋体" w:cs="宋体"/>
                <w:color w:val="000000" w:themeColor="text1"/>
                <w:kern w:val="0"/>
                <w:sz w:val="24"/>
              </w:rPr>
              <w:t>年检时间</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（5分）</w:t>
            </w: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12</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按时年检</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（5分）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□在规定时间内向登记管理机关报送年检材料（5分）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□未按时向登记管理机关报送年检材料（0分）</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pPr>
              <w:pStyle w:val="6"/>
              <w:ind w:firstLine="0" w:firstLineChars="0"/>
              <w:rPr>
                <w:color w:val="000000" w:themeColor="text1"/>
                <w:szCs w:val="18"/>
              </w:rPr>
            </w:pPr>
          </w:p>
        </w:tc>
        <w:tc>
          <w:tcPr>
            <w:tcW w:w="1237" w:type="dxa"/>
            <w:vMerge w:val="continue"/>
          </w:tcPr>
          <w:p>
            <w:pPr>
              <w:pStyle w:val="6"/>
              <w:ind w:firstLine="0" w:firstLineChars="0"/>
              <w:rPr>
                <w:color w:val="000000" w:themeColor="text1"/>
                <w:szCs w:val="18"/>
              </w:rPr>
            </w:pPr>
          </w:p>
        </w:tc>
        <w:tc>
          <w:tcPr>
            <w:tcW w:w="1297" w:type="dxa"/>
            <w:vAlign w:val="center"/>
          </w:tcPr>
          <w:p>
            <w:pPr>
              <w:widowControl/>
              <w:jc w:val="center"/>
              <w:textAlignment w:val="center"/>
              <w:rPr>
                <w:rFonts w:ascii="宋体"/>
                <w:color w:val="000000" w:themeColor="text1"/>
                <w:sz w:val="18"/>
              </w:rPr>
            </w:pPr>
            <w:r>
              <w:rPr>
                <w:rFonts w:hint="eastAsia" w:ascii="宋体" w:hAnsi="宋体" w:cs="宋体"/>
                <w:color w:val="000000" w:themeColor="text1"/>
                <w:kern w:val="0"/>
                <w:sz w:val="24"/>
              </w:rPr>
              <w:t>年检结论</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（10分）</w:t>
            </w: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13</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 xml:space="preserve">近两年年检结论 （10分）     </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 xml:space="preserve">□连续两年年年检合格（10分）                                  </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□两年内存在年检基本合格的情况（5分）</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pPr>
              <w:pStyle w:val="6"/>
              <w:ind w:firstLine="0" w:firstLineChars="0"/>
              <w:rPr>
                <w:color w:val="000000" w:themeColor="text1"/>
                <w:szCs w:val="18"/>
              </w:rPr>
            </w:pPr>
          </w:p>
        </w:tc>
        <w:tc>
          <w:tcPr>
            <w:tcW w:w="1237" w:type="dxa"/>
            <w:vMerge w:val="restart"/>
            <w:vAlign w:val="center"/>
          </w:tcPr>
          <w:p>
            <w:pPr>
              <w:widowControl/>
              <w:jc w:val="center"/>
              <w:textAlignment w:val="center"/>
              <w:rPr>
                <w:rFonts w:ascii="宋体" w:hAnsi="宋体" w:cs="宋体"/>
                <w:color w:val="000000" w:themeColor="text1"/>
                <w:kern w:val="0"/>
                <w:sz w:val="24"/>
              </w:rPr>
            </w:pPr>
          </w:p>
          <w:p>
            <w:pPr>
              <w:widowControl/>
              <w:jc w:val="center"/>
              <w:textAlignment w:val="center"/>
              <w:rPr>
                <w:rFonts w:ascii="宋体"/>
                <w:color w:val="000000" w:themeColor="text1"/>
                <w:sz w:val="18"/>
              </w:rPr>
            </w:pPr>
            <w:r>
              <w:rPr>
                <w:rFonts w:hint="eastAsia" w:ascii="宋体" w:hAnsi="宋体" w:cs="宋体"/>
                <w:color w:val="000000" w:themeColor="text1"/>
                <w:kern w:val="0"/>
                <w:sz w:val="24"/>
              </w:rPr>
              <w:t>信息公开（20分）</w:t>
            </w:r>
          </w:p>
        </w:tc>
        <w:tc>
          <w:tcPr>
            <w:tcW w:w="1297" w:type="dxa"/>
            <w:vMerge w:val="restart"/>
            <w:vAlign w:val="center"/>
          </w:tcPr>
          <w:p>
            <w:pPr>
              <w:widowControl/>
              <w:jc w:val="center"/>
              <w:textAlignment w:val="center"/>
              <w:rPr>
                <w:rFonts w:ascii="宋体"/>
                <w:color w:val="000000" w:themeColor="text1"/>
                <w:sz w:val="18"/>
              </w:rPr>
            </w:pPr>
            <w:r>
              <w:rPr>
                <w:rFonts w:hint="eastAsia" w:ascii="宋体" w:hAnsi="宋体" w:cs="宋体"/>
                <w:color w:val="000000" w:themeColor="text1"/>
                <w:kern w:val="0"/>
                <w:sz w:val="24"/>
              </w:rPr>
              <w:t>信息公开  制度</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(5分)</w:t>
            </w: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14</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常规信息公开制度        (3分)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□建立信息公开制度并有效执行(3分)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□未建立信息公开制度或执行效果不佳(0分)</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pPr>
              <w:pStyle w:val="6"/>
              <w:ind w:firstLine="0" w:firstLineChars="0"/>
              <w:rPr>
                <w:color w:val="000000" w:themeColor="text1"/>
                <w:szCs w:val="18"/>
              </w:rPr>
            </w:pPr>
          </w:p>
        </w:tc>
        <w:tc>
          <w:tcPr>
            <w:tcW w:w="1237" w:type="dxa"/>
            <w:vMerge w:val="continue"/>
          </w:tcPr>
          <w:p>
            <w:pPr>
              <w:pStyle w:val="6"/>
              <w:ind w:firstLine="0" w:firstLineChars="0"/>
              <w:rPr>
                <w:color w:val="000000" w:themeColor="text1"/>
                <w:szCs w:val="18"/>
              </w:rPr>
            </w:pPr>
          </w:p>
        </w:tc>
        <w:tc>
          <w:tcPr>
            <w:tcW w:w="1297" w:type="dxa"/>
            <w:vMerge w:val="continue"/>
          </w:tcPr>
          <w:p>
            <w:pPr>
              <w:pStyle w:val="6"/>
              <w:rPr>
                <w:color w:val="000000" w:themeColor="text1"/>
                <w:szCs w:val="18"/>
              </w:rPr>
            </w:pP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15</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建立新闻发言人制度          (2分)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 xml:space="preserve">□建立新闻发言人制度 (2分)                                                   □未建立新闻发言人制度(0分)                                                                                                                                   </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pPr>
              <w:pStyle w:val="6"/>
              <w:ind w:firstLine="0" w:firstLineChars="0"/>
              <w:rPr>
                <w:color w:val="000000" w:themeColor="text1"/>
                <w:szCs w:val="18"/>
              </w:rPr>
            </w:pPr>
          </w:p>
        </w:tc>
        <w:tc>
          <w:tcPr>
            <w:tcW w:w="1237" w:type="dxa"/>
            <w:vMerge w:val="continue"/>
            <w:vAlign w:val="center"/>
          </w:tcPr>
          <w:p>
            <w:pPr>
              <w:widowControl/>
              <w:jc w:val="center"/>
              <w:textAlignment w:val="center"/>
              <w:rPr>
                <w:rFonts w:ascii="宋体"/>
                <w:color w:val="000000" w:themeColor="text1"/>
                <w:sz w:val="18"/>
              </w:rPr>
            </w:pPr>
          </w:p>
        </w:tc>
        <w:tc>
          <w:tcPr>
            <w:tcW w:w="1297" w:type="dxa"/>
            <w:vMerge w:val="restart"/>
            <w:vAlign w:val="center"/>
          </w:tcPr>
          <w:p>
            <w:pPr>
              <w:widowControl/>
              <w:jc w:val="center"/>
              <w:textAlignment w:val="center"/>
              <w:rPr>
                <w:rFonts w:ascii="宋体"/>
                <w:color w:val="000000" w:themeColor="text1"/>
                <w:sz w:val="18"/>
              </w:rPr>
            </w:pPr>
            <w:r>
              <w:rPr>
                <w:rFonts w:hint="eastAsia" w:ascii="宋体" w:hAnsi="宋体" w:cs="宋体"/>
                <w:color w:val="000000" w:themeColor="text1"/>
                <w:kern w:val="0"/>
                <w:sz w:val="24"/>
              </w:rPr>
              <w:t>信息公开  内容   （10分）</w:t>
            </w: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16</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基础信息</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（2分）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□公开单位登记信息、地址、联系方式等（2分）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□公开单位部分基本信息（1分）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□未公开单位基本信息（0分）</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pPr>
              <w:pStyle w:val="6"/>
              <w:ind w:firstLine="0" w:firstLineChars="0"/>
              <w:rPr>
                <w:color w:val="000000" w:themeColor="text1"/>
                <w:szCs w:val="18"/>
              </w:rPr>
            </w:pPr>
          </w:p>
        </w:tc>
        <w:tc>
          <w:tcPr>
            <w:tcW w:w="1237" w:type="dxa"/>
            <w:vMerge w:val="continue"/>
          </w:tcPr>
          <w:p>
            <w:pPr>
              <w:pStyle w:val="6"/>
              <w:ind w:firstLine="0" w:firstLineChars="0"/>
              <w:rPr>
                <w:color w:val="000000" w:themeColor="text1"/>
                <w:szCs w:val="18"/>
              </w:rPr>
            </w:pPr>
          </w:p>
        </w:tc>
        <w:tc>
          <w:tcPr>
            <w:tcW w:w="1297" w:type="dxa"/>
            <w:vMerge w:val="continue"/>
          </w:tcPr>
          <w:p>
            <w:pPr>
              <w:pStyle w:val="6"/>
              <w:rPr>
                <w:color w:val="000000" w:themeColor="text1"/>
                <w:szCs w:val="18"/>
              </w:rPr>
            </w:pP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17</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日常管理信息      （4分）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□公开收费标准、重大活动信息（4分）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□仅公开一项（2分）                                                                     □未公开收费标准、重大活动信息（0分）</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241" w:type="dxa"/>
            <w:vMerge w:val="continue"/>
          </w:tcPr>
          <w:p>
            <w:pPr>
              <w:pStyle w:val="6"/>
              <w:ind w:firstLine="0" w:firstLineChars="0"/>
              <w:rPr>
                <w:color w:val="000000" w:themeColor="text1"/>
                <w:szCs w:val="18"/>
              </w:rPr>
            </w:pPr>
          </w:p>
        </w:tc>
        <w:tc>
          <w:tcPr>
            <w:tcW w:w="1237" w:type="dxa"/>
            <w:vMerge w:val="continue"/>
          </w:tcPr>
          <w:p>
            <w:pPr>
              <w:pStyle w:val="6"/>
              <w:ind w:firstLine="0" w:firstLineChars="0"/>
              <w:rPr>
                <w:color w:val="000000" w:themeColor="text1"/>
                <w:szCs w:val="18"/>
              </w:rPr>
            </w:pPr>
          </w:p>
        </w:tc>
        <w:tc>
          <w:tcPr>
            <w:tcW w:w="1297" w:type="dxa"/>
            <w:vMerge w:val="continue"/>
          </w:tcPr>
          <w:p>
            <w:pPr>
              <w:pStyle w:val="6"/>
              <w:rPr>
                <w:color w:val="000000" w:themeColor="text1"/>
                <w:szCs w:val="18"/>
              </w:rPr>
            </w:pP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18</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财务信息</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（4分）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□公开捐赠情况及年度财务会计报告（4分）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□未公开捐赠信息或年度财务会计报告（0分）</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241" w:type="dxa"/>
            <w:vMerge w:val="continue"/>
          </w:tcPr>
          <w:p>
            <w:pPr>
              <w:pStyle w:val="6"/>
              <w:ind w:firstLine="0" w:firstLineChars="0"/>
              <w:rPr>
                <w:color w:val="000000" w:themeColor="text1"/>
                <w:szCs w:val="18"/>
              </w:rPr>
            </w:pPr>
          </w:p>
        </w:tc>
        <w:tc>
          <w:tcPr>
            <w:tcW w:w="1237" w:type="dxa"/>
            <w:vMerge w:val="continue"/>
          </w:tcPr>
          <w:p>
            <w:pPr>
              <w:pStyle w:val="6"/>
              <w:ind w:firstLine="0" w:firstLineChars="0"/>
              <w:rPr>
                <w:color w:val="000000" w:themeColor="text1"/>
                <w:szCs w:val="18"/>
              </w:rPr>
            </w:pPr>
          </w:p>
        </w:tc>
        <w:tc>
          <w:tcPr>
            <w:tcW w:w="1297" w:type="dxa"/>
          </w:tcPr>
          <w:p>
            <w:pPr>
              <w:pStyle w:val="6"/>
              <w:ind w:firstLine="0" w:firstLineChars="0"/>
              <w:jc w:val="center"/>
              <w:rPr>
                <w:color w:val="000000" w:themeColor="text1"/>
                <w:sz w:val="24"/>
                <w:szCs w:val="24"/>
              </w:rPr>
            </w:pPr>
          </w:p>
          <w:p>
            <w:pPr>
              <w:pStyle w:val="6"/>
              <w:ind w:firstLine="0" w:firstLineChars="0"/>
              <w:jc w:val="center"/>
              <w:rPr>
                <w:color w:val="000000" w:themeColor="text1"/>
                <w:sz w:val="24"/>
                <w:szCs w:val="24"/>
              </w:rPr>
            </w:pPr>
          </w:p>
          <w:p>
            <w:pPr>
              <w:pStyle w:val="6"/>
              <w:ind w:firstLine="0" w:firstLineChars="0"/>
              <w:jc w:val="center"/>
              <w:rPr>
                <w:color w:val="000000" w:themeColor="text1"/>
                <w:sz w:val="24"/>
                <w:szCs w:val="24"/>
              </w:rPr>
            </w:pPr>
            <w:r>
              <w:rPr>
                <w:rFonts w:hint="eastAsia"/>
                <w:color w:val="000000" w:themeColor="text1"/>
                <w:sz w:val="24"/>
                <w:szCs w:val="24"/>
              </w:rPr>
              <w:t>信息公开  方式</w:t>
            </w:r>
          </w:p>
          <w:p>
            <w:pPr>
              <w:pStyle w:val="6"/>
              <w:ind w:firstLine="0" w:firstLineChars="0"/>
              <w:jc w:val="center"/>
              <w:rPr>
                <w:color w:val="000000" w:themeColor="text1"/>
                <w:szCs w:val="18"/>
              </w:rPr>
            </w:pPr>
            <w:r>
              <w:rPr>
                <w:rFonts w:hint="eastAsia"/>
                <w:color w:val="000000" w:themeColor="text1"/>
                <w:sz w:val="24"/>
                <w:szCs w:val="24"/>
              </w:rPr>
              <w:t>（5分）</w:t>
            </w: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19</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公开方式        （5分）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□信息公开方式多样，公开范围能够覆盖组织活动地域（5分）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□信息公开方式单一，或公开范围未能完全覆盖组织活动地域（3分）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□信息未公开，不能满足信息公开的要求（0分）</w:t>
            </w:r>
            <w:r>
              <w:rPr>
                <w:rFonts w:hint="eastAsia" w:ascii="宋体" w:hAnsi="宋体" w:cs="宋体"/>
                <w:color w:val="000000" w:themeColor="text1"/>
                <w:kern w:val="0"/>
                <w:sz w:val="24"/>
              </w:rPr>
              <w:br w:type="textWrapping"/>
            </w:r>
            <w:r>
              <w:rPr>
                <w:rFonts w:hint="eastAsia" w:ascii="宋体" w:hAnsi="宋体" w:cs="宋体"/>
                <w:b/>
                <w:color w:val="000000" w:themeColor="text1"/>
                <w:kern w:val="0"/>
                <w:sz w:val="24"/>
              </w:rPr>
              <w:t>注：信息公开方式主要包括网站、报刊、广播电视、公众号等。</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restart"/>
            <w:vAlign w:val="center"/>
          </w:tcPr>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党建工作（100分）</w:t>
            </w: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党建工作（100分）</w:t>
            </w: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党建工作（100分）</w:t>
            </w: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党建工作（100分）</w:t>
            </w: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color w:val="000000" w:themeColor="text1"/>
                <w:sz w:val="18"/>
              </w:rPr>
            </w:pPr>
            <w:r>
              <w:rPr>
                <w:rFonts w:hint="eastAsia" w:ascii="宋体" w:hAnsi="宋体" w:cs="宋体"/>
                <w:color w:val="000000" w:themeColor="text1"/>
                <w:kern w:val="0"/>
                <w:sz w:val="24"/>
              </w:rPr>
              <w:t>党建工作（100分）</w:t>
            </w:r>
          </w:p>
        </w:tc>
        <w:tc>
          <w:tcPr>
            <w:tcW w:w="1237" w:type="dxa"/>
            <w:vMerge w:val="restart"/>
            <w:vAlign w:val="center"/>
          </w:tcPr>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 xml:space="preserve">党的组织和工作覆盖 </w:t>
            </w:r>
          </w:p>
          <w:p>
            <w:pPr>
              <w:widowControl/>
              <w:jc w:val="center"/>
              <w:textAlignment w:val="center"/>
              <w:rPr>
                <w:rFonts w:ascii="宋体"/>
                <w:color w:val="000000" w:themeColor="text1"/>
                <w:sz w:val="18"/>
              </w:rPr>
            </w:pPr>
            <w:r>
              <w:rPr>
                <w:rFonts w:hint="eastAsia" w:ascii="宋体" w:hAnsi="宋体" w:cs="宋体"/>
                <w:color w:val="000000" w:themeColor="text1"/>
                <w:kern w:val="0"/>
                <w:sz w:val="24"/>
              </w:rPr>
              <w:t xml:space="preserve"> （30分）</w:t>
            </w:r>
          </w:p>
        </w:tc>
        <w:tc>
          <w:tcPr>
            <w:tcW w:w="1297" w:type="dxa"/>
            <w:vMerge w:val="restart"/>
            <w:vAlign w:val="center"/>
          </w:tcPr>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color w:val="000000" w:themeColor="text1"/>
                <w:sz w:val="18"/>
              </w:rPr>
            </w:pPr>
            <w:r>
              <w:rPr>
                <w:rFonts w:hint="eastAsia" w:ascii="宋体" w:hAnsi="宋体" w:cs="宋体"/>
                <w:color w:val="000000" w:themeColor="text1"/>
                <w:kern w:val="0"/>
                <w:sz w:val="24"/>
              </w:rPr>
              <w:t>两个覆盖（30分）</w:t>
            </w: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20</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写入章程              (7分)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□按《关于在社会组织章程增加党的建设和社会主义核心价值观有关内容的通知》（皖民管函〔2018〕313号）要求，将党建工作及社会主义核心价值观内容写入章程（7分）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□未将党建工作及社会主义核心价值观内容写入章程（0分）</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pPr>
              <w:pStyle w:val="6"/>
              <w:ind w:firstLine="0" w:firstLineChars="0"/>
              <w:rPr>
                <w:color w:val="000000" w:themeColor="text1"/>
                <w:szCs w:val="18"/>
              </w:rPr>
            </w:pPr>
          </w:p>
        </w:tc>
        <w:tc>
          <w:tcPr>
            <w:tcW w:w="1237" w:type="dxa"/>
            <w:vMerge w:val="continue"/>
          </w:tcPr>
          <w:p>
            <w:pPr>
              <w:pStyle w:val="6"/>
              <w:ind w:firstLine="0" w:firstLineChars="0"/>
              <w:rPr>
                <w:color w:val="000000" w:themeColor="text1"/>
                <w:szCs w:val="18"/>
              </w:rPr>
            </w:pPr>
          </w:p>
        </w:tc>
        <w:tc>
          <w:tcPr>
            <w:tcW w:w="1297" w:type="dxa"/>
            <w:vMerge w:val="continue"/>
          </w:tcPr>
          <w:p>
            <w:pPr>
              <w:pStyle w:val="6"/>
              <w:rPr>
                <w:color w:val="000000" w:themeColor="text1"/>
                <w:szCs w:val="18"/>
              </w:rPr>
            </w:pP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21</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党的组织覆盖             （20分）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□单独设立党组织（20分）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□党员不足3名，但建立了联合党组织（18分）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□党员不足3名或没有党员，但通过党建工作指导员开展党的工作和活动（10分）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□未设立党组织，并且未通过党建工作指导员等方式开展党的工作和活动（0分）                                    </w:t>
            </w:r>
            <w:r>
              <w:rPr>
                <w:rStyle w:val="7"/>
                <w:rFonts w:hint="default"/>
                <w:color w:val="000000" w:themeColor="text1"/>
              </w:rPr>
              <w:t>注：指该社会组织工作人员和主要负责人中的党员</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pPr>
              <w:pStyle w:val="6"/>
              <w:ind w:firstLine="0" w:firstLineChars="0"/>
              <w:rPr>
                <w:color w:val="000000" w:themeColor="text1"/>
                <w:szCs w:val="18"/>
              </w:rPr>
            </w:pPr>
          </w:p>
        </w:tc>
        <w:tc>
          <w:tcPr>
            <w:tcW w:w="1237" w:type="dxa"/>
            <w:vMerge w:val="continue"/>
          </w:tcPr>
          <w:p>
            <w:pPr>
              <w:pStyle w:val="6"/>
              <w:ind w:firstLine="0" w:firstLineChars="0"/>
              <w:rPr>
                <w:color w:val="000000" w:themeColor="text1"/>
                <w:szCs w:val="18"/>
              </w:rPr>
            </w:pPr>
          </w:p>
        </w:tc>
        <w:tc>
          <w:tcPr>
            <w:tcW w:w="1297" w:type="dxa"/>
            <w:vMerge w:val="continue"/>
          </w:tcPr>
          <w:p>
            <w:pPr>
              <w:pStyle w:val="6"/>
              <w:rPr>
                <w:color w:val="000000" w:themeColor="text1"/>
                <w:szCs w:val="18"/>
              </w:rPr>
            </w:pP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22</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工青妇建设             (3分)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□设立工青妇组织，并按规定开展活动（3分）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□未设立工青妇组织（0分）                                                              </w:t>
            </w:r>
            <w:r>
              <w:rPr>
                <w:rStyle w:val="7"/>
                <w:rFonts w:hint="default"/>
                <w:color w:val="000000" w:themeColor="text1"/>
              </w:rPr>
              <w:t>注：设立工青妇一项1分；若工作人员数未达到建立要求不扣分。</w:t>
            </w:r>
          </w:p>
        </w:tc>
        <w:tc>
          <w:tcPr>
            <w:tcW w:w="994" w:type="dxa"/>
          </w:tcPr>
          <w:p>
            <w:pPr>
              <w:pStyle w:val="6"/>
              <w:ind w:firstLine="0" w:firstLineChars="0"/>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pPr>
              <w:pStyle w:val="6"/>
              <w:ind w:firstLine="0" w:firstLineChars="0"/>
              <w:rPr>
                <w:color w:val="000000" w:themeColor="text1"/>
                <w:szCs w:val="18"/>
              </w:rPr>
            </w:pPr>
          </w:p>
        </w:tc>
        <w:tc>
          <w:tcPr>
            <w:tcW w:w="1237" w:type="dxa"/>
            <w:vMerge w:val="restart"/>
            <w:vAlign w:val="center"/>
          </w:tcPr>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党组织规范化建设   （70分）</w:t>
            </w: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党组织规范化建设   （70分）</w:t>
            </w: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党组织规范化建设   （70分）</w:t>
            </w: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color w:val="000000" w:themeColor="text1"/>
                <w:sz w:val="18"/>
              </w:rPr>
            </w:pPr>
            <w:r>
              <w:rPr>
                <w:rFonts w:hint="eastAsia" w:ascii="宋体" w:hAnsi="宋体" w:cs="宋体"/>
                <w:color w:val="000000" w:themeColor="text1"/>
                <w:kern w:val="0"/>
                <w:sz w:val="24"/>
              </w:rPr>
              <w:t>党组织规范化建设   （70分）</w:t>
            </w:r>
          </w:p>
        </w:tc>
        <w:tc>
          <w:tcPr>
            <w:tcW w:w="1297" w:type="dxa"/>
            <w:vMerge w:val="restart"/>
            <w:vAlign w:val="center"/>
          </w:tcPr>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color w:val="000000" w:themeColor="text1"/>
                <w:sz w:val="18"/>
              </w:rPr>
            </w:pPr>
            <w:r>
              <w:rPr>
                <w:rFonts w:hint="eastAsia" w:ascii="宋体" w:hAnsi="宋体" w:cs="宋体"/>
                <w:color w:val="000000" w:themeColor="text1"/>
                <w:kern w:val="0"/>
                <w:sz w:val="24"/>
              </w:rPr>
              <w:t>基本组织</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建设</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（10分）</w:t>
            </w: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23</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参与决策               (5分)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□党组织书记参与理事会决策，并对本组织重要事项决策、重要业务活动、大额经费开支、接收大额捐赠、开展涉外活动等提出意见（5分）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□党组织书记参与理事会决策，但无具体意见建议（3分）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□党组织书记未参与理事会决策，对本组织重大事项不参与、不建议（0分）</w:t>
            </w:r>
          </w:p>
        </w:tc>
        <w:tc>
          <w:tcPr>
            <w:tcW w:w="994" w:type="dxa"/>
          </w:tcPr>
          <w:p>
            <w:pPr>
              <w:pStyle w:val="6"/>
              <w:ind w:firstLine="480"/>
              <w:rPr>
                <w:rFonts w:hAnsi="宋体" w:cs="宋体"/>
                <w:color w:val="000000" w:themeColor="text1"/>
                <w:sz w:val="24"/>
                <w:szCs w:val="24"/>
              </w:rPr>
            </w:pPr>
          </w:p>
          <w:p>
            <w:pPr>
              <w:pStyle w:val="6"/>
              <w:ind w:firstLine="480"/>
              <w:rPr>
                <w:rFonts w:hAnsi="宋体" w:cs="宋体"/>
                <w:color w:val="000000" w:themeColor="text1"/>
                <w:sz w:val="24"/>
                <w:szCs w:val="24"/>
              </w:rPr>
            </w:pPr>
          </w:p>
          <w:p>
            <w:pPr>
              <w:pStyle w:val="6"/>
              <w:ind w:firstLine="0" w:firstLineChars="0"/>
              <w:rPr>
                <w:rFonts w:hAnsi="宋体" w:cs="宋体"/>
                <w:color w:val="000000" w:themeColor="text1"/>
                <w:sz w:val="24"/>
                <w:szCs w:val="24"/>
              </w:rPr>
            </w:pPr>
          </w:p>
          <w:p>
            <w:pPr>
              <w:pStyle w:val="6"/>
              <w:ind w:firstLine="0" w:firstLineChars="0"/>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pPr>
              <w:pStyle w:val="6"/>
              <w:ind w:firstLine="0" w:firstLineChars="0"/>
              <w:rPr>
                <w:color w:val="000000" w:themeColor="text1"/>
                <w:szCs w:val="18"/>
              </w:rPr>
            </w:pPr>
          </w:p>
        </w:tc>
        <w:tc>
          <w:tcPr>
            <w:tcW w:w="1237" w:type="dxa"/>
            <w:vMerge w:val="continue"/>
          </w:tcPr>
          <w:p>
            <w:pPr>
              <w:pStyle w:val="6"/>
              <w:ind w:firstLine="0" w:firstLineChars="0"/>
              <w:rPr>
                <w:color w:val="000000" w:themeColor="text1"/>
                <w:szCs w:val="18"/>
              </w:rPr>
            </w:pPr>
          </w:p>
        </w:tc>
        <w:tc>
          <w:tcPr>
            <w:tcW w:w="1297" w:type="dxa"/>
            <w:vMerge w:val="continue"/>
          </w:tcPr>
          <w:p>
            <w:pPr>
              <w:pStyle w:val="6"/>
              <w:rPr>
                <w:color w:val="000000" w:themeColor="text1"/>
                <w:szCs w:val="18"/>
              </w:rPr>
            </w:pP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24</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按期换届        （5分）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□党组织按期、按规范程序进行换届、选举（5分）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□党组织未按期、按规范程序进行换届、选举（0分）                                                                        </w:t>
            </w:r>
            <w:r>
              <w:rPr>
                <w:rStyle w:val="7"/>
                <w:rFonts w:hint="default"/>
                <w:color w:val="000000" w:themeColor="text1"/>
              </w:rPr>
              <w:t>注：必须在规定时间内进行换届，但未到换届期限的不扣分。</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pPr>
              <w:pStyle w:val="6"/>
              <w:ind w:firstLine="0" w:firstLineChars="0"/>
              <w:rPr>
                <w:color w:val="000000" w:themeColor="text1"/>
                <w:szCs w:val="18"/>
              </w:rPr>
            </w:pPr>
          </w:p>
        </w:tc>
        <w:tc>
          <w:tcPr>
            <w:tcW w:w="1237" w:type="dxa"/>
            <w:vMerge w:val="continue"/>
            <w:vAlign w:val="center"/>
          </w:tcPr>
          <w:p>
            <w:pPr>
              <w:jc w:val="center"/>
              <w:rPr>
                <w:rFonts w:ascii="宋体"/>
                <w:color w:val="000000" w:themeColor="text1"/>
                <w:sz w:val="18"/>
              </w:rPr>
            </w:pPr>
          </w:p>
        </w:tc>
        <w:tc>
          <w:tcPr>
            <w:tcW w:w="1297" w:type="dxa"/>
            <w:vMerge w:val="restart"/>
            <w:vAlign w:val="center"/>
          </w:tcPr>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队伍建设    （25分）</w:t>
            </w: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color w:val="000000" w:themeColor="text1"/>
                <w:sz w:val="18"/>
              </w:rPr>
            </w:pP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25</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书记选配              (4分)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□社会组织负责人担任党组织书记（4分）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□党组织书记未按规定进行选配（0分）                                                                      </w:t>
            </w:r>
            <w:r>
              <w:rPr>
                <w:rStyle w:val="7"/>
                <w:rFonts w:hint="default"/>
                <w:color w:val="000000" w:themeColor="text1"/>
              </w:rPr>
              <w:t>注：负责人为秘书长及以上。</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jc w:val="center"/>
        </w:trPr>
        <w:tc>
          <w:tcPr>
            <w:tcW w:w="1241" w:type="dxa"/>
            <w:vMerge w:val="continue"/>
          </w:tcPr>
          <w:p>
            <w:pPr>
              <w:pStyle w:val="6"/>
              <w:ind w:firstLine="0" w:firstLineChars="0"/>
              <w:rPr>
                <w:color w:val="000000" w:themeColor="text1"/>
                <w:szCs w:val="18"/>
              </w:rPr>
            </w:pPr>
          </w:p>
        </w:tc>
        <w:tc>
          <w:tcPr>
            <w:tcW w:w="1237" w:type="dxa"/>
            <w:vMerge w:val="continue"/>
          </w:tcPr>
          <w:p>
            <w:pPr>
              <w:pStyle w:val="6"/>
              <w:ind w:firstLine="0" w:firstLineChars="0"/>
              <w:rPr>
                <w:color w:val="000000" w:themeColor="text1"/>
                <w:szCs w:val="18"/>
              </w:rPr>
            </w:pPr>
          </w:p>
        </w:tc>
        <w:tc>
          <w:tcPr>
            <w:tcW w:w="1297" w:type="dxa"/>
            <w:vMerge w:val="continue"/>
          </w:tcPr>
          <w:p>
            <w:pPr>
              <w:pStyle w:val="6"/>
              <w:rPr>
                <w:color w:val="000000" w:themeColor="text1"/>
                <w:szCs w:val="18"/>
              </w:rPr>
            </w:pPr>
          </w:p>
        </w:tc>
        <w:tc>
          <w:tcPr>
            <w:tcW w:w="790" w:type="dxa"/>
            <w:vMerge w:val="restart"/>
            <w:vAlign w:val="center"/>
          </w:tcPr>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26</w:t>
            </w:r>
          </w:p>
        </w:tc>
        <w:tc>
          <w:tcPr>
            <w:tcW w:w="1338" w:type="dxa"/>
            <w:vMerge w:val="restart"/>
            <w:vAlign w:val="center"/>
          </w:tcPr>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党员管理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□按党章要求开展所属党员组织关系转隶正常，支部现有党员3人以上（4分）</w:t>
            </w:r>
          </w:p>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□按党章要求开展所属党员组织关系转隶，支部转隶组织关系仅1人或2人（2分）</w:t>
            </w:r>
          </w:p>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□未按党章要求开展所属党员组织关系转隶，自成立以来，无党员组织关系转隶（0分）</w:t>
            </w:r>
          </w:p>
        </w:tc>
        <w:tc>
          <w:tcPr>
            <w:tcW w:w="994" w:type="dxa"/>
          </w:tcPr>
          <w:p>
            <w:pPr>
              <w:pStyle w:val="6"/>
              <w:ind w:firstLine="480"/>
              <w:rPr>
                <w:rFonts w:hAnsi="宋体" w:cs="宋体"/>
                <w:color w:val="000000" w:themeColor="text1"/>
                <w:sz w:val="24"/>
                <w:szCs w:val="24"/>
              </w:rPr>
            </w:pPr>
          </w:p>
          <w:p>
            <w:pPr>
              <w:pStyle w:val="6"/>
              <w:ind w:firstLine="0" w:firstLineChars="0"/>
              <w:rPr>
                <w:rFonts w:hAnsi="宋体" w:cs="宋体"/>
                <w:color w:val="000000" w:themeColor="text1"/>
                <w:sz w:val="24"/>
                <w:szCs w:val="24"/>
              </w:rPr>
            </w:pPr>
          </w:p>
          <w:p>
            <w:pPr>
              <w:pStyle w:val="6"/>
              <w:ind w:firstLine="0" w:firstLineChars="0"/>
              <w:rPr>
                <w:rFonts w:hAnsi="宋体" w:cs="宋体"/>
                <w:color w:val="000000" w:themeColor="text1"/>
                <w:sz w:val="24"/>
                <w:szCs w:val="24"/>
              </w:rPr>
            </w:pPr>
          </w:p>
          <w:p>
            <w:pPr>
              <w:pStyle w:val="6"/>
              <w:ind w:firstLine="0" w:firstLineChars="0"/>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241" w:type="dxa"/>
            <w:vMerge w:val="continue"/>
          </w:tcPr>
          <w:p>
            <w:pPr>
              <w:pStyle w:val="6"/>
              <w:ind w:firstLine="0" w:firstLineChars="0"/>
              <w:rPr>
                <w:color w:val="000000" w:themeColor="text1"/>
                <w:szCs w:val="18"/>
              </w:rPr>
            </w:pPr>
          </w:p>
        </w:tc>
        <w:tc>
          <w:tcPr>
            <w:tcW w:w="1237" w:type="dxa"/>
            <w:vMerge w:val="continue"/>
          </w:tcPr>
          <w:p>
            <w:pPr>
              <w:pStyle w:val="6"/>
              <w:ind w:firstLine="0" w:firstLineChars="0"/>
              <w:rPr>
                <w:color w:val="000000" w:themeColor="text1"/>
                <w:szCs w:val="18"/>
              </w:rPr>
            </w:pPr>
          </w:p>
        </w:tc>
        <w:tc>
          <w:tcPr>
            <w:tcW w:w="1297" w:type="dxa"/>
            <w:vMerge w:val="continue"/>
          </w:tcPr>
          <w:p>
            <w:pPr>
              <w:pStyle w:val="6"/>
              <w:rPr>
                <w:color w:val="000000" w:themeColor="text1"/>
                <w:szCs w:val="18"/>
              </w:rPr>
            </w:pPr>
          </w:p>
        </w:tc>
        <w:tc>
          <w:tcPr>
            <w:tcW w:w="790" w:type="dxa"/>
            <w:vMerge w:val="continue"/>
            <w:vAlign w:val="center"/>
          </w:tcPr>
          <w:p>
            <w:pPr>
              <w:widowControl/>
              <w:jc w:val="center"/>
              <w:textAlignment w:val="center"/>
              <w:rPr>
                <w:rFonts w:ascii="宋体" w:hAnsi="宋体" w:cs="宋体"/>
                <w:color w:val="000000" w:themeColor="text1"/>
                <w:kern w:val="0"/>
                <w:sz w:val="24"/>
              </w:rPr>
            </w:pPr>
          </w:p>
        </w:tc>
        <w:tc>
          <w:tcPr>
            <w:tcW w:w="1338" w:type="dxa"/>
            <w:vMerge w:val="continue"/>
            <w:vAlign w:val="center"/>
          </w:tcPr>
          <w:p>
            <w:pPr>
              <w:widowControl/>
              <w:jc w:val="center"/>
              <w:textAlignment w:val="center"/>
              <w:rPr>
                <w:rFonts w:ascii="宋体" w:hAnsi="宋体" w:cs="宋体"/>
                <w:color w:val="000000" w:themeColor="text1"/>
                <w:kern w:val="0"/>
                <w:sz w:val="24"/>
              </w:rPr>
            </w:pP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□按基本党章要求，每月开展党员党费收缴（3分）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□未按党章要求开展党员党费收缴（0分）</w:t>
            </w:r>
          </w:p>
        </w:tc>
        <w:tc>
          <w:tcPr>
            <w:tcW w:w="994" w:type="dxa"/>
          </w:tcPr>
          <w:p>
            <w:pPr>
              <w:pStyle w:val="6"/>
              <w:ind w:firstLine="0" w:firstLineChars="0"/>
              <w:rPr>
                <w:rFonts w:hAnsi="宋体" w:cs="宋体"/>
                <w:color w:val="000000" w:themeColor="text1"/>
                <w:sz w:val="24"/>
                <w:szCs w:val="24"/>
              </w:rPr>
            </w:pPr>
          </w:p>
          <w:p>
            <w:pPr>
              <w:pStyle w:val="6"/>
              <w:ind w:firstLine="0" w:firstLineChars="0"/>
              <w:rPr>
                <w:rFonts w:hAnsi="宋体" w:cs="宋体"/>
                <w:color w:val="000000" w:themeColor="text1"/>
                <w:sz w:val="24"/>
                <w:szCs w:val="24"/>
              </w:rPr>
            </w:pPr>
          </w:p>
          <w:p>
            <w:pPr>
              <w:pStyle w:val="6"/>
              <w:ind w:firstLine="0" w:firstLineChars="0"/>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1241" w:type="dxa"/>
            <w:vMerge w:val="continue"/>
          </w:tcPr>
          <w:p>
            <w:pPr>
              <w:pStyle w:val="6"/>
              <w:ind w:firstLine="0" w:firstLineChars="0"/>
              <w:rPr>
                <w:color w:val="000000" w:themeColor="text1"/>
                <w:szCs w:val="18"/>
              </w:rPr>
            </w:pPr>
          </w:p>
        </w:tc>
        <w:tc>
          <w:tcPr>
            <w:tcW w:w="1237" w:type="dxa"/>
            <w:vMerge w:val="continue"/>
          </w:tcPr>
          <w:p>
            <w:pPr>
              <w:pStyle w:val="6"/>
              <w:ind w:firstLine="0" w:firstLineChars="0"/>
              <w:rPr>
                <w:color w:val="000000" w:themeColor="text1"/>
                <w:szCs w:val="18"/>
              </w:rPr>
            </w:pPr>
          </w:p>
        </w:tc>
        <w:tc>
          <w:tcPr>
            <w:tcW w:w="1297" w:type="dxa"/>
            <w:vMerge w:val="continue"/>
          </w:tcPr>
          <w:p>
            <w:pPr>
              <w:pStyle w:val="6"/>
              <w:rPr>
                <w:color w:val="000000" w:themeColor="text1"/>
                <w:szCs w:val="18"/>
              </w:rPr>
            </w:pPr>
          </w:p>
        </w:tc>
        <w:tc>
          <w:tcPr>
            <w:tcW w:w="790" w:type="dxa"/>
            <w:vMerge w:val="continue"/>
            <w:vAlign w:val="center"/>
          </w:tcPr>
          <w:p>
            <w:pPr>
              <w:widowControl/>
              <w:jc w:val="center"/>
              <w:textAlignment w:val="center"/>
              <w:rPr>
                <w:rFonts w:ascii="宋体" w:hAnsi="宋体" w:cs="宋体"/>
                <w:color w:val="000000" w:themeColor="text1"/>
                <w:kern w:val="0"/>
                <w:sz w:val="24"/>
              </w:rPr>
            </w:pPr>
          </w:p>
        </w:tc>
        <w:tc>
          <w:tcPr>
            <w:tcW w:w="1338" w:type="dxa"/>
            <w:vMerge w:val="continue"/>
            <w:vAlign w:val="center"/>
          </w:tcPr>
          <w:p>
            <w:pPr>
              <w:widowControl/>
              <w:jc w:val="center"/>
              <w:textAlignment w:val="center"/>
              <w:rPr>
                <w:rFonts w:ascii="宋体" w:hAnsi="宋体" w:cs="宋体"/>
                <w:color w:val="000000" w:themeColor="text1"/>
                <w:kern w:val="0"/>
                <w:sz w:val="24"/>
              </w:rPr>
            </w:pP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□将在本组织工作的流动党员，纳入党组织党员学习教育管理（3分）</w:t>
            </w:r>
          </w:p>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□未将在本组织工作的流动党员，纳入党组织党员学习教育管理（0分）</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2" w:hRule="atLeast"/>
          <w:jc w:val="center"/>
        </w:trPr>
        <w:tc>
          <w:tcPr>
            <w:tcW w:w="1241" w:type="dxa"/>
            <w:vMerge w:val="continue"/>
          </w:tcPr>
          <w:p>
            <w:pPr>
              <w:pStyle w:val="6"/>
              <w:ind w:firstLine="0" w:firstLineChars="0"/>
              <w:rPr>
                <w:color w:val="000000" w:themeColor="text1"/>
                <w:szCs w:val="18"/>
              </w:rPr>
            </w:pPr>
          </w:p>
        </w:tc>
        <w:tc>
          <w:tcPr>
            <w:tcW w:w="1237" w:type="dxa"/>
            <w:vMerge w:val="continue"/>
          </w:tcPr>
          <w:p>
            <w:pPr>
              <w:pStyle w:val="6"/>
              <w:ind w:firstLine="0" w:firstLineChars="0"/>
              <w:rPr>
                <w:color w:val="000000" w:themeColor="text1"/>
                <w:szCs w:val="18"/>
              </w:rPr>
            </w:pPr>
          </w:p>
        </w:tc>
        <w:tc>
          <w:tcPr>
            <w:tcW w:w="1297" w:type="dxa"/>
            <w:vMerge w:val="continue"/>
          </w:tcPr>
          <w:p>
            <w:pPr>
              <w:pStyle w:val="6"/>
              <w:rPr>
                <w:color w:val="000000" w:themeColor="text1"/>
                <w:szCs w:val="18"/>
              </w:rPr>
            </w:pP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27</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评议机制        （4分）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□按规定进行年度党组织书记述职、评议、考核，并且党员按期进行民主评议和党员党性定期分析（4分）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□基本按规定进行年度党组织书记述职、评议、考核和党员按期进行民主评议和党员党性定期分析，但程序不规范，效果一般（2分）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□未按规定进行年度党组织书记述职、评议、考核，且党员未按期进行民主评议和党员党性定期分析（0分）</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1" w:type="dxa"/>
            <w:vMerge w:val="continue"/>
          </w:tcPr>
          <w:p>
            <w:pPr>
              <w:pStyle w:val="6"/>
              <w:ind w:firstLine="0" w:firstLineChars="0"/>
              <w:rPr>
                <w:color w:val="000000" w:themeColor="text1"/>
                <w:szCs w:val="18"/>
              </w:rPr>
            </w:pPr>
          </w:p>
        </w:tc>
        <w:tc>
          <w:tcPr>
            <w:tcW w:w="1237" w:type="dxa"/>
            <w:vMerge w:val="continue"/>
          </w:tcPr>
          <w:p>
            <w:pPr>
              <w:pStyle w:val="6"/>
              <w:ind w:firstLine="0" w:firstLineChars="0"/>
              <w:rPr>
                <w:color w:val="000000" w:themeColor="text1"/>
                <w:szCs w:val="18"/>
              </w:rPr>
            </w:pPr>
          </w:p>
        </w:tc>
        <w:tc>
          <w:tcPr>
            <w:tcW w:w="1297" w:type="dxa"/>
            <w:vMerge w:val="continue"/>
          </w:tcPr>
          <w:p>
            <w:pPr>
              <w:pStyle w:val="6"/>
              <w:rPr>
                <w:color w:val="000000" w:themeColor="text1"/>
                <w:szCs w:val="18"/>
              </w:rPr>
            </w:pP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28</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发展党员        （4分）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□制定发展党员计划，党组织每年在社会组织负责人、管理层和业务骨干中培养入党积极分子1名以上（4分）（无发展党员计划扣1分）</w:t>
            </w:r>
          </w:p>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□党组织每年在社会组织秘书处人员中培养入党积极分子1名以上（3分）（无发展党员计划扣1分）</w:t>
            </w:r>
          </w:p>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□党组织无发展党员计划，未培养入党积极分子（0分）</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pPr>
              <w:pStyle w:val="6"/>
              <w:ind w:firstLine="0" w:firstLineChars="0"/>
              <w:rPr>
                <w:color w:val="000000" w:themeColor="text1"/>
                <w:szCs w:val="18"/>
              </w:rPr>
            </w:pPr>
          </w:p>
        </w:tc>
        <w:tc>
          <w:tcPr>
            <w:tcW w:w="1237" w:type="dxa"/>
            <w:vMerge w:val="continue"/>
          </w:tcPr>
          <w:p>
            <w:pPr>
              <w:pStyle w:val="6"/>
              <w:ind w:firstLine="0" w:firstLineChars="0"/>
              <w:rPr>
                <w:color w:val="000000" w:themeColor="text1"/>
                <w:szCs w:val="18"/>
              </w:rPr>
            </w:pPr>
          </w:p>
        </w:tc>
        <w:tc>
          <w:tcPr>
            <w:tcW w:w="1297" w:type="dxa"/>
            <w:vAlign w:val="center"/>
          </w:tcPr>
          <w:p>
            <w:pPr>
              <w:widowControl/>
              <w:jc w:val="center"/>
              <w:textAlignment w:val="center"/>
              <w:rPr>
                <w:rFonts w:ascii="宋体"/>
                <w:color w:val="000000" w:themeColor="text1"/>
                <w:sz w:val="18"/>
              </w:rPr>
            </w:pP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29</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纪检监察</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（3分）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□委员会设置纪检委员，未设立委员会的指定专人负责纪检工作，开展党风廉政学习（3分）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□未设纪检委员或未制定专人负责纪检工作，未开展党风廉政学习（0分）</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241" w:type="dxa"/>
            <w:vMerge w:val="continue"/>
          </w:tcPr>
          <w:p>
            <w:pPr>
              <w:pStyle w:val="6"/>
              <w:ind w:firstLine="0" w:firstLineChars="0"/>
              <w:rPr>
                <w:color w:val="000000" w:themeColor="text1"/>
                <w:szCs w:val="18"/>
              </w:rPr>
            </w:pPr>
          </w:p>
        </w:tc>
        <w:tc>
          <w:tcPr>
            <w:tcW w:w="1237" w:type="dxa"/>
            <w:vMerge w:val="continue"/>
          </w:tcPr>
          <w:p>
            <w:pPr>
              <w:pStyle w:val="6"/>
              <w:ind w:firstLine="0" w:firstLineChars="0"/>
              <w:rPr>
                <w:color w:val="000000" w:themeColor="text1"/>
                <w:szCs w:val="18"/>
              </w:rPr>
            </w:pPr>
          </w:p>
        </w:tc>
        <w:tc>
          <w:tcPr>
            <w:tcW w:w="1297" w:type="dxa"/>
            <w:vAlign w:val="center"/>
          </w:tcPr>
          <w:p>
            <w:pPr>
              <w:widowControl/>
              <w:jc w:val="center"/>
              <w:textAlignment w:val="center"/>
              <w:rPr>
                <w:rFonts w:ascii="宋体"/>
                <w:color w:val="000000" w:themeColor="text1"/>
                <w:sz w:val="18"/>
              </w:rPr>
            </w:pPr>
            <w:r>
              <w:rPr>
                <w:rFonts w:hint="eastAsia" w:ascii="宋体" w:hAnsi="宋体" w:cs="宋体"/>
                <w:color w:val="000000" w:themeColor="text1"/>
                <w:kern w:val="0"/>
                <w:sz w:val="24"/>
              </w:rPr>
              <w:t>制度建设  （11分）</w:t>
            </w: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30</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落实基本制度           （11分）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严格按《安徽省社会组织党组织建设标准》落实党内组织生活</w:t>
            </w:r>
          </w:p>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□“三会一课”制度：支部党员大会（每季度）、支部委员会（每月）、党小组会（每月）坚持正常（5分）；未设委员会、党小组的不扣分</w:t>
            </w:r>
          </w:p>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□组织生活会制度：每半年召开1次党员组织生活会（4分）</w:t>
            </w:r>
          </w:p>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□民主评议制度：每年开展1次民主评议党员工作（2分）</w:t>
            </w:r>
          </w:p>
          <w:p>
            <w:pPr>
              <w:widowControl/>
              <w:jc w:val="left"/>
              <w:textAlignment w:val="center"/>
              <w:rPr>
                <w:rFonts w:ascii="宋体" w:hAnsi="宋体" w:cs="宋体"/>
                <w:color w:val="000000" w:themeColor="text1"/>
                <w:kern w:val="0"/>
                <w:sz w:val="24"/>
              </w:rPr>
            </w:pPr>
            <w:r>
              <w:rPr>
                <w:rFonts w:hint="eastAsia" w:ascii="宋体" w:hAnsi="宋体" w:cs="宋体"/>
                <w:b/>
                <w:bCs/>
                <w:color w:val="000000" w:themeColor="text1"/>
                <w:kern w:val="0"/>
                <w:sz w:val="24"/>
              </w:rPr>
              <w:t>注：根据制度落实的规范程度、执行效果、记录情况，每项可分级扣分</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pPr>
              <w:pStyle w:val="6"/>
              <w:ind w:firstLine="0" w:firstLineChars="0"/>
              <w:rPr>
                <w:color w:val="000000" w:themeColor="text1"/>
                <w:szCs w:val="18"/>
              </w:rPr>
            </w:pPr>
          </w:p>
        </w:tc>
        <w:tc>
          <w:tcPr>
            <w:tcW w:w="1237" w:type="dxa"/>
            <w:vMerge w:val="continue"/>
          </w:tcPr>
          <w:p>
            <w:pPr>
              <w:pStyle w:val="6"/>
              <w:ind w:firstLine="0" w:firstLineChars="0"/>
              <w:rPr>
                <w:color w:val="000000" w:themeColor="text1"/>
                <w:szCs w:val="18"/>
              </w:rPr>
            </w:pPr>
          </w:p>
        </w:tc>
        <w:tc>
          <w:tcPr>
            <w:tcW w:w="1297" w:type="dxa"/>
            <w:vAlign w:val="center"/>
          </w:tcPr>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基本活动   （8分）</w:t>
            </w:r>
          </w:p>
          <w:p>
            <w:pPr>
              <w:widowControl/>
              <w:textAlignment w:val="center"/>
              <w:rPr>
                <w:rFonts w:ascii="宋体" w:hAnsi="宋体" w:cs="宋体"/>
                <w:color w:val="000000" w:themeColor="text1"/>
                <w:kern w:val="0"/>
                <w:sz w:val="24"/>
              </w:rPr>
            </w:pPr>
          </w:p>
          <w:p>
            <w:pPr>
              <w:widowControl/>
              <w:jc w:val="center"/>
              <w:textAlignment w:val="center"/>
              <w:rPr>
                <w:rFonts w:ascii="宋体"/>
                <w:color w:val="000000" w:themeColor="text1"/>
                <w:sz w:val="18"/>
              </w:rPr>
            </w:pP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31</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党的活动       （8分）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党组织按相关规定，开展各项党的活动。按上级党委部署积极开展主题教育、党支部达标创优、主题党日、联系服务群众等活动。</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□一年开展10次及以上（8分）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□一年开展6次及以上（5分）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□一年开展3次及以上（2分）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□一年开展3次以下（0分）</w:t>
            </w:r>
          </w:p>
          <w:p>
            <w:pPr>
              <w:widowControl/>
              <w:jc w:val="left"/>
              <w:textAlignment w:val="center"/>
              <w:rPr>
                <w:rFonts w:ascii="宋体" w:hAnsi="宋体" w:cs="宋体"/>
                <w:b/>
                <w:color w:val="000000" w:themeColor="text1"/>
                <w:kern w:val="0"/>
                <w:sz w:val="24"/>
              </w:rPr>
            </w:pPr>
            <w:r>
              <w:rPr>
                <w:rFonts w:hint="eastAsia" w:ascii="宋体" w:hAnsi="宋体" w:cs="宋体"/>
                <w:b/>
                <w:color w:val="000000" w:themeColor="text1"/>
                <w:kern w:val="0"/>
                <w:sz w:val="24"/>
              </w:rPr>
              <w:t>注：次数以社会组织组建党组织日期按月计算</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241" w:type="dxa"/>
            <w:vMerge w:val="continue"/>
          </w:tcPr>
          <w:p>
            <w:pPr>
              <w:pStyle w:val="6"/>
              <w:ind w:firstLine="0" w:firstLineChars="0"/>
              <w:rPr>
                <w:color w:val="000000" w:themeColor="text1"/>
                <w:szCs w:val="18"/>
              </w:rPr>
            </w:pPr>
          </w:p>
        </w:tc>
        <w:tc>
          <w:tcPr>
            <w:tcW w:w="1237" w:type="dxa"/>
            <w:vMerge w:val="continue"/>
          </w:tcPr>
          <w:p>
            <w:pPr>
              <w:pStyle w:val="6"/>
              <w:ind w:firstLine="0" w:firstLineChars="0"/>
              <w:rPr>
                <w:color w:val="000000" w:themeColor="text1"/>
                <w:szCs w:val="18"/>
              </w:rPr>
            </w:pPr>
          </w:p>
        </w:tc>
        <w:tc>
          <w:tcPr>
            <w:tcW w:w="1297" w:type="dxa"/>
            <w:vMerge w:val="restart"/>
          </w:tcPr>
          <w:p>
            <w:pPr>
              <w:pStyle w:val="6"/>
              <w:ind w:firstLine="0" w:firstLineChars="0"/>
              <w:jc w:val="center"/>
              <w:rPr>
                <w:rFonts w:hAnsi="宋体" w:cs="宋体"/>
                <w:color w:val="000000" w:themeColor="text1"/>
                <w:sz w:val="24"/>
              </w:rPr>
            </w:pPr>
          </w:p>
          <w:p>
            <w:pPr>
              <w:pStyle w:val="6"/>
              <w:ind w:firstLine="0" w:firstLineChars="0"/>
              <w:jc w:val="center"/>
              <w:rPr>
                <w:rFonts w:hAnsi="宋体" w:cs="宋体"/>
                <w:color w:val="000000" w:themeColor="text1"/>
                <w:sz w:val="24"/>
              </w:rPr>
            </w:pPr>
          </w:p>
          <w:p>
            <w:pPr>
              <w:pStyle w:val="6"/>
              <w:ind w:firstLine="0" w:firstLineChars="0"/>
              <w:jc w:val="center"/>
              <w:rPr>
                <w:rFonts w:hAnsi="宋体" w:cs="宋体"/>
                <w:color w:val="000000" w:themeColor="text1"/>
                <w:sz w:val="24"/>
              </w:rPr>
            </w:pPr>
          </w:p>
          <w:p>
            <w:pPr>
              <w:pStyle w:val="6"/>
              <w:ind w:firstLine="0" w:firstLineChars="0"/>
              <w:jc w:val="center"/>
              <w:rPr>
                <w:rFonts w:hAnsi="宋体" w:cs="宋体"/>
                <w:color w:val="000000" w:themeColor="text1"/>
                <w:sz w:val="24"/>
              </w:rPr>
            </w:pPr>
          </w:p>
          <w:p>
            <w:pPr>
              <w:pStyle w:val="6"/>
              <w:ind w:firstLine="0" w:firstLineChars="0"/>
              <w:jc w:val="center"/>
              <w:rPr>
                <w:rFonts w:hAnsi="宋体" w:cs="宋体"/>
                <w:color w:val="000000" w:themeColor="text1"/>
                <w:sz w:val="24"/>
              </w:rPr>
            </w:pPr>
          </w:p>
          <w:p>
            <w:pPr>
              <w:pStyle w:val="6"/>
              <w:ind w:firstLine="0" w:firstLineChars="0"/>
              <w:jc w:val="center"/>
              <w:rPr>
                <w:rFonts w:hAnsi="宋体" w:cs="宋体"/>
                <w:color w:val="000000" w:themeColor="text1"/>
                <w:sz w:val="24"/>
              </w:rPr>
            </w:pPr>
          </w:p>
          <w:p>
            <w:pPr>
              <w:pStyle w:val="6"/>
              <w:ind w:firstLine="0" w:firstLineChars="0"/>
              <w:jc w:val="center"/>
              <w:rPr>
                <w:rFonts w:hAnsi="宋体" w:cs="宋体"/>
                <w:color w:val="000000" w:themeColor="text1"/>
                <w:sz w:val="24"/>
              </w:rPr>
            </w:pPr>
          </w:p>
          <w:p>
            <w:pPr>
              <w:pStyle w:val="6"/>
              <w:ind w:firstLine="0" w:firstLineChars="0"/>
              <w:jc w:val="center"/>
              <w:rPr>
                <w:rFonts w:hAnsi="宋体" w:cs="宋体"/>
                <w:color w:val="000000" w:themeColor="text1"/>
                <w:sz w:val="24"/>
              </w:rPr>
            </w:pPr>
          </w:p>
          <w:p>
            <w:pPr>
              <w:pStyle w:val="6"/>
              <w:ind w:firstLine="0" w:firstLineChars="0"/>
              <w:jc w:val="center"/>
              <w:rPr>
                <w:rFonts w:hAnsi="宋体" w:cs="宋体"/>
                <w:color w:val="000000" w:themeColor="text1"/>
                <w:sz w:val="24"/>
              </w:rPr>
            </w:pPr>
          </w:p>
          <w:p>
            <w:pPr>
              <w:pStyle w:val="6"/>
              <w:ind w:firstLine="0" w:firstLineChars="0"/>
              <w:rPr>
                <w:rFonts w:hAnsi="宋体" w:cs="宋体"/>
                <w:color w:val="000000" w:themeColor="text1"/>
                <w:sz w:val="24"/>
              </w:rPr>
            </w:pPr>
          </w:p>
          <w:p>
            <w:pPr>
              <w:pStyle w:val="6"/>
              <w:ind w:firstLine="0" w:firstLineChars="0"/>
              <w:jc w:val="center"/>
              <w:rPr>
                <w:rFonts w:hAnsi="宋体" w:cs="宋体"/>
                <w:color w:val="000000" w:themeColor="text1"/>
                <w:sz w:val="24"/>
              </w:rPr>
            </w:pPr>
          </w:p>
          <w:p>
            <w:pPr>
              <w:pStyle w:val="6"/>
              <w:ind w:firstLine="0" w:firstLineChars="0"/>
              <w:jc w:val="center"/>
              <w:rPr>
                <w:color w:val="000000" w:themeColor="text1"/>
                <w:szCs w:val="18"/>
              </w:rPr>
            </w:pPr>
            <w:r>
              <w:rPr>
                <w:rFonts w:hint="eastAsia" w:hAnsi="宋体" w:cs="宋体"/>
                <w:color w:val="000000" w:themeColor="text1"/>
                <w:sz w:val="24"/>
              </w:rPr>
              <w:t>基本保障           （16分）</w:t>
            </w: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32</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场所建设        （6分）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□按照有场所、有设施、有标志、有党旗、有书报、有制度的“六有”标准，加强社会组织党组织场所建设（6分）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每缺1项内容扣1分</w:t>
            </w:r>
          </w:p>
        </w:tc>
        <w:tc>
          <w:tcPr>
            <w:tcW w:w="994" w:type="dxa"/>
          </w:tcPr>
          <w:p>
            <w:pPr>
              <w:pStyle w:val="6"/>
              <w:ind w:firstLine="480"/>
              <w:rPr>
                <w:rFonts w:hAnsi="宋体" w:cs="宋体"/>
                <w:color w:val="000000" w:themeColor="text1"/>
                <w:sz w:val="24"/>
                <w:szCs w:val="24"/>
              </w:rPr>
            </w:pPr>
          </w:p>
          <w:p>
            <w:pPr>
              <w:pStyle w:val="6"/>
              <w:ind w:firstLine="0" w:firstLineChars="0"/>
              <w:rPr>
                <w:rFonts w:hAnsi="宋体" w:cs="宋体"/>
                <w:color w:val="000000" w:themeColor="text1"/>
                <w:sz w:val="24"/>
                <w:szCs w:val="24"/>
              </w:rPr>
            </w:pPr>
          </w:p>
          <w:p>
            <w:pPr>
              <w:pStyle w:val="6"/>
              <w:ind w:firstLine="0" w:firstLineChars="0"/>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6" w:hRule="atLeast"/>
          <w:jc w:val="center"/>
        </w:trPr>
        <w:tc>
          <w:tcPr>
            <w:tcW w:w="1241" w:type="dxa"/>
            <w:vMerge w:val="continue"/>
          </w:tcPr>
          <w:p>
            <w:pPr>
              <w:pStyle w:val="6"/>
              <w:ind w:firstLine="0" w:firstLineChars="0"/>
              <w:rPr>
                <w:color w:val="000000" w:themeColor="text1"/>
                <w:szCs w:val="18"/>
              </w:rPr>
            </w:pPr>
          </w:p>
        </w:tc>
        <w:tc>
          <w:tcPr>
            <w:tcW w:w="1237" w:type="dxa"/>
            <w:vMerge w:val="continue"/>
          </w:tcPr>
          <w:p>
            <w:pPr>
              <w:pStyle w:val="6"/>
              <w:ind w:firstLine="0" w:firstLineChars="0"/>
              <w:rPr>
                <w:color w:val="000000" w:themeColor="text1"/>
                <w:szCs w:val="18"/>
              </w:rPr>
            </w:pPr>
          </w:p>
        </w:tc>
        <w:tc>
          <w:tcPr>
            <w:tcW w:w="1297" w:type="dxa"/>
            <w:vMerge w:val="continue"/>
          </w:tcPr>
          <w:p>
            <w:pPr>
              <w:pStyle w:val="6"/>
              <w:rPr>
                <w:color w:val="000000" w:themeColor="text1"/>
                <w:szCs w:val="18"/>
              </w:rPr>
            </w:pP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33</w:t>
            </w:r>
          </w:p>
          <w:p>
            <w:pPr>
              <w:jc w:val="center"/>
              <w:textAlignment w:val="center"/>
              <w:rPr>
                <w:rFonts w:ascii="宋体" w:hAnsi="宋体" w:cs="宋体"/>
                <w:color w:val="000000" w:themeColor="text1"/>
                <w:kern w:val="0"/>
                <w:sz w:val="24"/>
              </w:rPr>
            </w:pPr>
          </w:p>
        </w:tc>
        <w:tc>
          <w:tcPr>
            <w:tcW w:w="1338" w:type="dxa"/>
            <w:vMerge w:val="restart"/>
            <w:vAlign w:val="center"/>
          </w:tcPr>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经费保障</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（10分）</w:t>
            </w:r>
            <w:r>
              <w:rPr>
                <w:rFonts w:hint="eastAsia" w:ascii="宋体" w:hAnsi="宋体" w:cs="宋体"/>
                <w:color w:val="000000" w:themeColor="text1"/>
                <w:kern w:val="0"/>
                <w:sz w:val="24"/>
              </w:rPr>
              <w:br w:type="textWrapping"/>
            </w: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br w:type="textWrapping"/>
            </w:r>
          </w:p>
        </w:tc>
        <w:tc>
          <w:tcPr>
            <w:tcW w:w="5189" w:type="dxa"/>
            <w:vAlign w:val="center"/>
          </w:tcPr>
          <w:p>
            <w:pPr>
              <w:rPr>
                <w:rFonts w:ascii="宋体" w:hAnsi="宋体" w:cs="宋体"/>
                <w:color w:val="000000" w:themeColor="text1"/>
                <w:kern w:val="0"/>
                <w:sz w:val="24"/>
              </w:rPr>
            </w:pPr>
            <w:r>
              <w:rPr>
                <w:rFonts w:hint="eastAsia" w:ascii="宋体" w:hAnsi="宋体" w:cs="宋体"/>
                <w:color w:val="000000" w:themeColor="text1"/>
                <w:kern w:val="0"/>
                <w:sz w:val="24"/>
              </w:rPr>
              <w:t>按照《安徽省加强非公有制企业和社会组织党组织工作经费保障的实施办法（试行）》（晥组通字[2015] 15号）落实党组织工作经费保障和管理：</w:t>
            </w:r>
          </w:p>
          <w:p>
            <w:pPr>
              <w:rPr>
                <w:rFonts w:ascii="宋体" w:hAnsi="宋体" w:cs="宋体"/>
                <w:color w:val="000000" w:themeColor="text1"/>
                <w:kern w:val="0"/>
                <w:sz w:val="24"/>
              </w:rPr>
            </w:pPr>
            <w:r>
              <w:rPr>
                <w:rFonts w:hint="eastAsia" w:ascii="宋体" w:hAnsi="宋体" w:cs="宋体"/>
                <w:color w:val="000000" w:themeColor="text1"/>
                <w:kern w:val="0"/>
                <w:sz w:val="24"/>
              </w:rPr>
              <w:sym w:font="Wingdings 2" w:char="00A3"/>
            </w:r>
            <w:r>
              <w:rPr>
                <w:rFonts w:hint="eastAsia" w:ascii="宋体" w:hAnsi="宋体" w:cs="宋体"/>
                <w:color w:val="000000" w:themeColor="text1"/>
                <w:kern w:val="0"/>
                <w:sz w:val="24"/>
              </w:rPr>
              <w:t>年初有党建工作经费保障计划，将党建工作经费纳入管理费收支并有效落实。（5分）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sym w:font="Wingdings 2" w:char="00A3"/>
            </w:r>
            <w:r>
              <w:rPr>
                <w:rFonts w:hint="eastAsia" w:ascii="宋体" w:hAnsi="宋体" w:cs="宋体"/>
                <w:color w:val="000000" w:themeColor="text1"/>
                <w:kern w:val="0"/>
                <w:sz w:val="24"/>
              </w:rPr>
              <w:t>年初有党建工作经费保障计划，但未将党建工作经费纳入管理费收支（3分）</w:t>
            </w:r>
          </w:p>
          <w:p>
            <w:pPr>
              <w:rPr>
                <w:rFonts w:ascii="宋体" w:hAnsi="宋体" w:cs="宋体"/>
                <w:color w:val="000000" w:themeColor="text1"/>
                <w:kern w:val="0"/>
                <w:sz w:val="24"/>
              </w:rPr>
            </w:pPr>
            <w:r>
              <w:rPr>
                <w:rFonts w:hint="eastAsia" w:ascii="宋体" w:hAnsi="宋体" w:cs="宋体"/>
                <w:color w:val="000000" w:themeColor="text1"/>
                <w:kern w:val="0"/>
                <w:sz w:val="24"/>
              </w:rPr>
              <w:sym w:font="Wingdings 2" w:char="00A3"/>
            </w:r>
            <w:r>
              <w:rPr>
                <w:rFonts w:hint="eastAsia" w:ascii="宋体" w:hAnsi="宋体" w:cs="宋体"/>
                <w:color w:val="000000" w:themeColor="text1"/>
                <w:kern w:val="0"/>
                <w:sz w:val="24"/>
              </w:rPr>
              <w:t>无党建工作经费保障计划，未将党建工作经费纳入管理费收支（0分）</w:t>
            </w:r>
          </w:p>
        </w:tc>
        <w:tc>
          <w:tcPr>
            <w:tcW w:w="994" w:type="dxa"/>
            <w:vMerge w:val="restart"/>
          </w:tcPr>
          <w:p>
            <w:pPr>
              <w:pStyle w:val="6"/>
              <w:ind w:firstLine="0" w:firstLineChars="0"/>
              <w:rPr>
                <w:rFonts w:hAnsi="宋体" w:cs="宋体"/>
                <w:color w:val="000000" w:themeColor="text1"/>
                <w:sz w:val="24"/>
                <w:szCs w:val="24"/>
              </w:rPr>
            </w:pPr>
          </w:p>
          <w:p>
            <w:pPr>
              <w:pStyle w:val="6"/>
              <w:ind w:firstLine="0" w:firstLineChars="0"/>
              <w:rPr>
                <w:rFonts w:hAnsi="宋体" w:cs="宋体"/>
                <w:color w:val="000000" w:themeColor="text1"/>
                <w:sz w:val="24"/>
                <w:szCs w:val="24"/>
              </w:rPr>
            </w:pPr>
          </w:p>
          <w:p>
            <w:pPr>
              <w:pStyle w:val="6"/>
              <w:ind w:firstLine="0" w:firstLineChars="0"/>
              <w:rPr>
                <w:color w:val="000000" w:themeColor="text1"/>
                <w:szCs w:val="18"/>
              </w:rPr>
            </w:pPr>
          </w:p>
        </w:tc>
        <w:tc>
          <w:tcPr>
            <w:tcW w:w="1256" w:type="dxa"/>
            <w:vMerge w:val="restart"/>
          </w:tcPr>
          <w:p>
            <w:pPr>
              <w:pStyle w:val="6"/>
              <w:rPr>
                <w:color w:val="000000" w:themeColor="text1"/>
                <w:szCs w:val="18"/>
              </w:rPr>
            </w:pPr>
          </w:p>
        </w:tc>
        <w:tc>
          <w:tcPr>
            <w:tcW w:w="1298" w:type="dxa"/>
            <w:vMerge w:val="restart"/>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41" w:type="dxa"/>
            <w:vMerge w:val="continue"/>
          </w:tcPr>
          <w:p>
            <w:pPr>
              <w:pStyle w:val="6"/>
              <w:ind w:firstLine="0" w:firstLineChars="0"/>
              <w:rPr>
                <w:color w:val="000000" w:themeColor="text1"/>
                <w:szCs w:val="18"/>
              </w:rPr>
            </w:pPr>
          </w:p>
        </w:tc>
        <w:tc>
          <w:tcPr>
            <w:tcW w:w="1237" w:type="dxa"/>
            <w:vMerge w:val="continue"/>
          </w:tcPr>
          <w:p>
            <w:pPr>
              <w:pStyle w:val="6"/>
              <w:ind w:firstLine="0" w:firstLineChars="0"/>
              <w:rPr>
                <w:color w:val="000000" w:themeColor="text1"/>
                <w:szCs w:val="18"/>
              </w:rPr>
            </w:pPr>
          </w:p>
        </w:tc>
        <w:tc>
          <w:tcPr>
            <w:tcW w:w="1297" w:type="dxa"/>
            <w:vMerge w:val="continue"/>
          </w:tcPr>
          <w:p>
            <w:pPr>
              <w:pStyle w:val="6"/>
              <w:rPr>
                <w:color w:val="000000" w:themeColor="text1"/>
                <w:szCs w:val="18"/>
              </w:rPr>
            </w:pP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34</w:t>
            </w:r>
          </w:p>
        </w:tc>
        <w:tc>
          <w:tcPr>
            <w:tcW w:w="1338" w:type="dxa"/>
            <w:vMerge w:val="continue"/>
            <w:vAlign w:val="center"/>
          </w:tcPr>
          <w:p>
            <w:pPr>
              <w:widowControl/>
              <w:jc w:val="center"/>
              <w:textAlignment w:val="center"/>
              <w:rPr>
                <w:rFonts w:ascii="宋体" w:hAnsi="宋体" w:cs="宋体"/>
                <w:color w:val="000000" w:themeColor="text1"/>
                <w:kern w:val="0"/>
                <w:sz w:val="24"/>
              </w:rPr>
            </w:pPr>
          </w:p>
        </w:tc>
        <w:tc>
          <w:tcPr>
            <w:tcW w:w="5189" w:type="dxa"/>
            <w:vAlign w:val="center"/>
          </w:tcPr>
          <w:p>
            <w:pPr>
              <w:rPr>
                <w:rFonts w:ascii="宋体" w:hAnsi="宋体" w:cs="宋体"/>
                <w:color w:val="000000" w:themeColor="text1"/>
                <w:kern w:val="0"/>
                <w:sz w:val="24"/>
              </w:rPr>
            </w:pPr>
            <w:r>
              <w:rPr>
                <w:rFonts w:hint="eastAsia" w:ascii="宋体" w:hAnsi="宋体" w:cs="宋体"/>
                <w:color w:val="000000" w:themeColor="text1"/>
                <w:kern w:val="0"/>
                <w:sz w:val="24"/>
              </w:rPr>
              <w:sym w:font="Wingdings 2" w:char="00A3"/>
            </w:r>
            <w:r>
              <w:rPr>
                <w:rFonts w:hint="eastAsia" w:ascii="宋体" w:hAnsi="宋体" w:cs="宋体"/>
                <w:color w:val="000000" w:themeColor="text1"/>
                <w:kern w:val="0"/>
                <w:sz w:val="24"/>
              </w:rPr>
              <w:t>合理使用上级党建工作奖补资金和拨还党费，专款专用，记录规范（5分）</w:t>
            </w:r>
          </w:p>
          <w:p>
            <w:pPr>
              <w:rPr>
                <w:rFonts w:ascii="宋体" w:hAnsi="宋体" w:cs="宋体"/>
                <w:color w:val="000000" w:themeColor="text1"/>
                <w:kern w:val="0"/>
                <w:sz w:val="24"/>
              </w:rPr>
            </w:pPr>
            <w:r>
              <w:rPr>
                <w:rFonts w:hint="eastAsia" w:ascii="宋体" w:hAnsi="宋体" w:cs="宋体"/>
                <w:color w:val="000000" w:themeColor="text1"/>
                <w:kern w:val="0"/>
                <w:sz w:val="24"/>
              </w:rPr>
              <w:t>□合理使用上级党建工作奖补资金和拨还党费，记录不规范、不齐全（2分）</w:t>
            </w:r>
          </w:p>
          <w:p>
            <w:pPr>
              <w:rPr>
                <w:rFonts w:ascii="宋体" w:hAnsi="宋体" w:cs="宋体"/>
                <w:color w:val="000000" w:themeColor="text1"/>
                <w:kern w:val="0"/>
                <w:sz w:val="24"/>
              </w:rPr>
            </w:pPr>
            <w:r>
              <w:rPr>
                <w:rFonts w:hint="eastAsia" w:ascii="宋体" w:hAnsi="宋体" w:cs="宋体"/>
                <w:color w:val="000000" w:themeColor="text1"/>
                <w:kern w:val="0"/>
                <w:sz w:val="24"/>
              </w:rPr>
              <w:t>□私自挪用上级党建工作奖补资金和拨还党费（0分）</w:t>
            </w:r>
          </w:p>
        </w:tc>
        <w:tc>
          <w:tcPr>
            <w:tcW w:w="994" w:type="dxa"/>
            <w:vMerge w:val="continue"/>
          </w:tcPr>
          <w:p>
            <w:pPr>
              <w:pStyle w:val="6"/>
              <w:ind w:firstLine="0" w:firstLineChars="0"/>
              <w:rPr>
                <w:color w:val="000000" w:themeColor="text1"/>
                <w:szCs w:val="18"/>
              </w:rPr>
            </w:pPr>
          </w:p>
        </w:tc>
        <w:tc>
          <w:tcPr>
            <w:tcW w:w="1256" w:type="dxa"/>
            <w:vMerge w:val="continue"/>
          </w:tcPr>
          <w:p>
            <w:pPr>
              <w:pStyle w:val="6"/>
              <w:rPr>
                <w:color w:val="000000" w:themeColor="text1"/>
                <w:szCs w:val="18"/>
              </w:rPr>
            </w:pPr>
          </w:p>
        </w:tc>
        <w:tc>
          <w:tcPr>
            <w:tcW w:w="1298" w:type="dxa"/>
            <w:vMerge w:val="continue"/>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241" w:type="dxa"/>
            <w:vMerge w:val="restart"/>
          </w:tcPr>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r>
              <w:rPr>
                <w:rFonts w:hint="eastAsia"/>
                <w:color w:val="000000" w:themeColor="text1"/>
                <w:sz w:val="24"/>
                <w:szCs w:val="24"/>
              </w:rPr>
              <w:t>内部治理（400分）</w:t>
            </w: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r>
              <w:rPr>
                <w:rFonts w:hint="eastAsia"/>
                <w:color w:val="000000" w:themeColor="text1"/>
                <w:sz w:val="24"/>
                <w:szCs w:val="24"/>
              </w:rPr>
              <w:t>内部治理（400分）</w:t>
            </w: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r>
              <w:rPr>
                <w:rFonts w:hint="eastAsia"/>
                <w:color w:val="000000" w:themeColor="text1"/>
                <w:sz w:val="24"/>
                <w:szCs w:val="24"/>
              </w:rPr>
              <w:t>内部治理（400分）</w:t>
            </w: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jc w:val="center"/>
              <w:rPr>
                <w:color w:val="000000" w:themeColor="text1"/>
                <w:sz w:val="24"/>
                <w:szCs w:val="24"/>
              </w:rPr>
            </w:pPr>
          </w:p>
          <w:p>
            <w:pPr>
              <w:pStyle w:val="6"/>
              <w:ind w:firstLine="0" w:firstLineChars="0"/>
              <w:jc w:val="center"/>
              <w:rPr>
                <w:color w:val="000000" w:themeColor="text1"/>
                <w:sz w:val="24"/>
                <w:szCs w:val="24"/>
              </w:rPr>
            </w:pPr>
          </w:p>
          <w:p>
            <w:pPr>
              <w:pStyle w:val="6"/>
              <w:ind w:firstLine="0" w:firstLineChars="0"/>
              <w:jc w:val="center"/>
              <w:rPr>
                <w:color w:val="000000" w:themeColor="text1"/>
                <w:sz w:val="24"/>
                <w:szCs w:val="24"/>
              </w:rPr>
            </w:pPr>
          </w:p>
          <w:p>
            <w:pPr>
              <w:pStyle w:val="6"/>
              <w:ind w:firstLine="0" w:firstLineChars="0"/>
              <w:jc w:val="center"/>
              <w:rPr>
                <w:color w:val="000000" w:themeColor="text1"/>
                <w:sz w:val="24"/>
                <w:szCs w:val="24"/>
              </w:rPr>
            </w:pPr>
            <w:r>
              <w:rPr>
                <w:rFonts w:hint="eastAsia"/>
                <w:color w:val="000000" w:themeColor="text1"/>
                <w:sz w:val="24"/>
                <w:szCs w:val="24"/>
              </w:rPr>
              <w:t>内部治理（400分）</w:t>
            </w: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r>
              <w:rPr>
                <w:rFonts w:hint="eastAsia"/>
                <w:color w:val="000000" w:themeColor="text1"/>
                <w:sz w:val="24"/>
                <w:szCs w:val="24"/>
              </w:rPr>
              <w:t>内部治理（400分）</w:t>
            </w: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r>
              <w:rPr>
                <w:rFonts w:hint="eastAsia"/>
                <w:color w:val="000000" w:themeColor="text1"/>
                <w:sz w:val="24"/>
                <w:szCs w:val="24"/>
              </w:rPr>
              <w:t>内部治理（400分）</w:t>
            </w: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r>
              <w:rPr>
                <w:rFonts w:hint="eastAsia"/>
                <w:color w:val="000000" w:themeColor="text1"/>
                <w:sz w:val="24"/>
                <w:szCs w:val="24"/>
              </w:rPr>
              <w:t>内部治理（400分）</w:t>
            </w: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r>
              <w:rPr>
                <w:rFonts w:hint="eastAsia"/>
                <w:color w:val="000000" w:themeColor="text1"/>
                <w:sz w:val="24"/>
                <w:szCs w:val="24"/>
              </w:rPr>
              <w:t>内部治理（400分）</w:t>
            </w: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r>
              <w:rPr>
                <w:rFonts w:hint="eastAsia"/>
                <w:color w:val="000000" w:themeColor="text1"/>
                <w:sz w:val="24"/>
                <w:szCs w:val="24"/>
              </w:rPr>
              <w:t>内部治理（400分）</w:t>
            </w: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r>
              <w:rPr>
                <w:rFonts w:hint="eastAsia"/>
                <w:color w:val="000000" w:themeColor="text1"/>
                <w:sz w:val="24"/>
                <w:szCs w:val="24"/>
              </w:rPr>
              <w:t>内部治理（400分）</w:t>
            </w: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Cs w:val="18"/>
              </w:rPr>
            </w:pPr>
          </w:p>
          <w:p>
            <w:pPr>
              <w:pStyle w:val="6"/>
              <w:ind w:firstLine="0" w:firstLineChars="0"/>
              <w:rPr>
                <w:color w:val="000000" w:themeColor="text1"/>
                <w:szCs w:val="18"/>
              </w:rPr>
            </w:pPr>
          </w:p>
        </w:tc>
        <w:tc>
          <w:tcPr>
            <w:tcW w:w="1237" w:type="dxa"/>
            <w:vMerge w:val="restart"/>
            <w:vAlign w:val="center"/>
          </w:tcPr>
          <w:p>
            <w:pPr>
              <w:widowControl/>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color w:val="000000" w:themeColor="text1"/>
                <w:sz w:val="18"/>
              </w:rPr>
            </w:pPr>
            <w:r>
              <w:rPr>
                <w:rFonts w:hint="eastAsia" w:ascii="宋体" w:hAnsi="宋体" w:cs="宋体"/>
                <w:color w:val="000000" w:themeColor="text1"/>
                <w:kern w:val="0"/>
                <w:sz w:val="24"/>
              </w:rPr>
              <w:t>章程</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（20分）</w:t>
            </w:r>
          </w:p>
        </w:tc>
        <w:tc>
          <w:tcPr>
            <w:tcW w:w="1297" w:type="dxa"/>
            <w:vAlign w:val="center"/>
          </w:tcPr>
          <w:p>
            <w:pPr>
              <w:widowControl/>
              <w:jc w:val="center"/>
              <w:textAlignment w:val="center"/>
              <w:rPr>
                <w:rFonts w:ascii="宋体"/>
                <w:color w:val="000000" w:themeColor="text1"/>
                <w:sz w:val="18"/>
              </w:rPr>
            </w:pPr>
            <w:r>
              <w:rPr>
                <w:rFonts w:hint="eastAsia" w:ascii="宋体" w:hAnsi="宋体" w:cs="宋体"/>
                <w:color w:val="000000" w:themeColor="text1"/>
                <w:kern w:val="0"/>
                <w:sz w:val="24"/>
              </w:rPr>
              <w:t>修订程序</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（10分）</w:t>
            </w: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35</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制定和修改程序  （10分）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□全体理事的2/3以上表决通过，并提供理事会会议纪要或决议（10分）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□理事会表决人数不符合规定、未经理事会通过或未组建理事会（0分）</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241" w:type="dxa"/>
            <w:vMerge w:val="continue"/>
          </w:tcPr>
          <w:p>
            <w:pPr>
              <w:pStyle w:val="6"/>
              <w:ind w:firstLine="0" w:firstLineChars="0"/>
              <w:rPr>
                <w:color w:val="000000" w:themeColor="text1"/>
                <w:szCs w:val="18"/>
              </w:rPr>
            </w:pPr>
          </w:p>
        </w:tc>
        <w:tc>
          <w:tcPr>
            <w:tcW w:w="1237" w:type="dxa"/>
            <w:vMerge w:val="continue"/>
            <w:vAlign w:val="center"/>
          </w:tcPr>
          <w:p>
            <w:pPr>
              <w:jc w:val="center"/>
              <w:rPr>
                <w:rFonts w:ascii="宋体"/>
                <w:color w:val="000000" w:themeColor="text1"/>
                <w:sz w:val="18"/>
              </w:rPr>
            </w:pPr>
          </w:p>
        </w:tc>
        <w:tc>
          <w:tcPr>
            <w:tcW w:w="1297" w:type="dxa"/>
            <w:vAlign w:val="center"/>
          </w:tcPr>
          <w:p>
            <w:pPr>
              <w:widowControl/>
              <w:jc w:val="center"/>
              <w:textAlignment w:val="center"/>
              <w:rPr>
                <w:rFonts w:ascii="宋体"/>
                <w:color w:val="000000" w:themeColor="text1"/>
                <w:sz w:val="18"/>
              </w:rPr>
            </w:pPr>
            <w:r>
              <w:rPr>
                <w:rFonts w:hint="eastAsia" w:ascii="宋体" w:hAnsi="宋体" w:cs="宋体"/>
                <w:color w:val="000000" w:themeColor="text1"/>
                <w:kern w:val="0"/>
                <w:sz w:val="24"/>
              </w:rPr>
              <w:t>章程核准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（10分）</w:t>
            </w: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36</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章程核准情况</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□章程制定或修改后经登记管理机关核准备案（10分）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□章程制定或修改后未经登记管理机关核准核准（0分）</w:t>
            </w:r>
            <w:r>
              <w:rPr>
                <w:rFonts w:hint="eastAsia" w:ascii="宋体" w:hAnsi="宋体" w:cs="宋体"/>
                <w:color w:val="000000" w:themeColor="text1"/>
                <w:kern w:val="0"/>
                <w:sz w:val="24"/>
              </w:rPr>
              <w:br w:type="textWrapping"/>
            </w:r>
            <w:r>
              <w:rPr>
                <w:rFonts w:hint="eastAsia" w:ascii="宋体" w:hAnsi="宋体" w:cs="宋体"/>
                <w:b/>
                <w:color w:val="000000" w:themeColor="text1"/>
                <w:kern w:val="0"/>
                <w:sz w:val="24"/>
              </w:rPr>
              <w:t>注：修改章程经理事会表决后15日内，报业务主管单位审查同意，自业务主管单位审查同意之日起30日内报登记管理机关核准，正在办理过程中的视为章程按规定核准或备案。超期办理扣5分。</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pPr>
              <w:pStyle w:val="6"/>
              <w:ind w:firstLine="0" w:firstLineChars="0"/>
              <w:rPr>
                <w:color w:val="000000" w:themeColor="text1"/>
                <w:szCs w:val="18"/>
              </w:rPr>
            </w:pPr>
          </w:p>
        </w:tc>
        <w:tc>
          <w:tcPr>
            <w:tcW w:w="1237" w:type="dxa"/>
            <w:vMerge w:val="restart"/>
            <w:vAlign w:val="center"/>
          </w:tcPr>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发展规划</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（20分）</w:t>
            </w: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color w:val="000000" w:themeColor="text1"/>
                <w:sz w:val="18"/>
              </w:rPr>
            </w:pPr>
          </w:p>
        </w:tc>
        <w:tc>
          <w:tcPr>
            <w:tcW w:w="1297" w:type="dxa"/>
            <w:vAlign w:val="center"/>
          </w:tcPr>
          <w:p>
            <w:pPr>
              <w:widowControl/>
              <w:jc w:val="center"/>
              <w:textAlignment w:val="center"/>
              <w:rPr>
                <w:rFonts w:ascii="宋体"/>
                <w:color w:val="000000" w:themeColor="text1"/>
                <w:sz w:val="18"/>
              </w:rPr>
            </w:pPr>
            <w:r>
              <w:rPr>
                <w:rFonts w:hint="eastAsia" w:ascii="宋体" w:hAnsi="宋体" w:cs="宋体"/>
                <w:color w:val="000000" w:themeColor="text1"/>
                <w:kern w:val="0"/>
                <w:sz w:val="24"/>
              </w:rPr>
              <w:t>届内发展  规划</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（10分）</w:t>
            </w: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37</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制定与落实情况        （10分）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b/>
                <w:color w:val="000000" w:themeColor="text1"/>
                <w:kern w:val="0"/>
                <w:sz w:val="24"/>
              </w:rPr>
              <w:t>届内发展规划制定情况</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□有详细、完整、规范的中长期发展规划（5分）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□其他材料能够体现中长期发展规划内容（3分）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□未制订中长期发展规划的（0分）</w:t>
            </w:r>
            <w:r>
              <w:rPr>
                <w:rFonts w:hint="eastAsia" w:ascii="宋体" w:hAnsi="宋体" w:cs="宋体"/>
                <w:b/>
                <w:color w:val="000000" w:themeColor="text1"/>
                <w:kern w:val="0"/>
                <w:sz w:val="24"/>
              </w:rPr>
              <w:br w:type="textWrapping"/>
            </w:r>
            <w:r>
              <w:rPr>
                <w:rFonts w:hint="eastAsia" w:ascii="宋体" w:hAnsi="宋体" w:cs="宋体"/>
                <w:b/>
                <w:color w:val="000000" w:themeColor="text1"/>
                <w:kern w:val="0"/>
                <w:sz w:val="24"/>
              </w:rPr>
              <w:t>届内发展规划落实情况</w:t>
            </w:r>
            <w:r>
              <w:rPr>
                <w:rFonts w:hint="eastAsia" w:ascii="宋体" w:hAnsi="宋体" w:cs="宋体"/>
                <w:b/>
                <w:color w:val="000000" w:themeColor="text1"/>
                <w:kern w:val="0"/>
                <w:sz w:val="24"/>
              </w:rPr>
              <w:br w:type="textWrapping"/>
            </w:r>
            <w:r>
              <w:rPr>
                <w:rFonts w:hint="eastAsia" w:ascii="宋体" w:hAnsi="宋体" w:cs="宋体"/>
                <w:color w:val="000000" w:themeColor="text1"/>
                <w:kern w:val="0"/>
                <w:sz w:val="24"/>
              </w:rPr>
              <w:t>□中长期发展规划落实情况好（5分）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□中长期发展规划落实情况一般（3分）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□中长期发展规划落实情况差（1分）</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pPr>
              <w:pStyle w:val="6"/>
              <w:ind w:firstLine="0" w:firstLineChars="0"/>
              <w:rPr>
                <w:color w:val="000000" w:themeColor="text1"/>
                <w:szCs w:val="18"/>
              </w:rPr>
            </w:pPr>
          </w:p>
        </w:tc>
        <w:tc>
          <w:tcPr>
            <w:tcW w:w="1237" w:type="dxa"/>
            <w:vMerge w:val="continue"/>
            <w:vAlign w:val="center"/>
          </w:tcPr>
          <w:p>
            <w:pPr>
              <w:jc w:val="center"/>
              <w:rPr>
                <w:rFonts w:ascii="宋体"/>
                <w:color w:val="000000" w:themeColor="text1"/>
                <w:sz w:val="18"/>
              </w:rPr>
            </w:pPr>
          </w:p>
        </w:tc>
        <w:tc>
          <w:tcPr>
            <w:tcW w:w="1297" w:type="dxa"/>
            <w:vAlign w:val="center"/>
          </w:tcPr>
          <w:p>
            <w:pPr>
              <w:widowControl/>
              <w:jc w:val="center"/>
              <w:textAlignment w:val="center"/>
              <w:rPr>
                <w:rFonts w:ascii="宋体"/>
                <w:color w:val="000000" w:themeColor="text1"/>
                <w:sz w:val="18"/>
              </w:rPr>
            </w:pPr>
            <w:r>
              <w:rPr>
                <w:rFonts w:hint="eastAsia" w:ascii="宋体" w:hAnsi="宋体" w:cs="宋体"/>
                <w:color w:val="000000" w:themeColor="text1"/>
                <w:kern w:val="0"/>
                <w:sz w:val="24"/>
              </w:rPr>
              <w:t>年度计划与总结</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（10分）</w:t>
            </w: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38</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年度工作计划和总结</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□有详细的年度工作计划和总结（10分）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□有简单的年度工作计划和总结（5分）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□未制定年度工作计划和总结（0分）</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241" w:type="dxa"/>
            <w:vMerge w:val="continue"/>
          </w:tcPr>
          <w:p>
            <w:pPr>
              <w:pStyle w:val="6"/>
              <w:ind w:firstLine="0" w:firstLineChars="0"/>
              <w:rPr>
                <w:color w:val="000000" w:themeColor="text1"/>
                <w:szCs w:val="18"/>
              </w:rPr>
            </w:pPr>
          </w:p>
        </w:tc>
        <w:tc>
          <w:tcPr>
            <w:tcW w:w="1237" w:type="dxa"/>
            <w:vMerge w:val="restart"/>
            <w:vAlign w:val="center"/>
          </w:tcPr>
          <w:p>
            <w:pPr>
              <w:widowControl/>
              <w:jc w:val="center"/>
              <w:textAlignment w:val="center"/>
              <w:rPr>
                <w:rFonts w:ascii="宋体"/>
                <w:color w:val="000000" w:themeColor="text1"/>
                <w:sz w:val="24"/>
              </w:rPr>
            </w:pPr>
          </w:p>
          <w:p>
            <w:pPr>
              <w:widowControl/>
              <w:jc w:val="center"/>
              <w:textAlignment w:val="center"/>
              <w:rPr>
                <w:rFonts w:ascii="宋体"/>
                <w:color w:val="000000" w:themeColor="text1"/>
                <w:sz w:val="24"/>
              </w:rPr>
            </w:pPr>
          </w:p>
          <w:p>
            <w:pPr>
              <w:widowControl/>
              <w:jc w:val="center"/>
              <w:textAlignment w:val="center"/>
              <w:rPr>
                <w:rFonts w:ascii="宋体"/>
                <w:color w:val="000000" w:themeColor="text1"/>
                <w:sz w:val="24"/>
              </w:rPr>
            </w:pPr>
          </w:p>
          <w:p>
            <w:pPr>
              <w:widowControl/>
              <w:textAlignment w:val="center"/>
              <w:rPr>
                <w:rFonts w:ascii="宋体"/>
                <w:color w:val="000000" w:themeColor="text1"/>
                <w:sz w:val="24"/>
              </w:rPr>
            </w:pPr>
          </w:p>
          <w:p>
            <w:pPr>
              <w:widowControl/>
              <w:textAlignment w:val="center"/>
              <w:rPr>
                <w:rFonts w:ascii="宋体"/>
                <w:color w:val="000000" w:themeColor="text1"/>
                <w:sz w:val="24"/>
              </w:rPr>
            </w:pPr>
          </w:p>
          <w:p>
            <w:pPr>
              <w:widowControl/>
              <w:textAlignment w:val="center"/>
              <w:rPr>
                <w:rFonts w:ascii="宋体"/>
                <w:color w:val="000000" w:themeColor="text1"/>
                <w:sz w:val="24"/>
              </w:rPr>
            </w:pPr>
          </w:p>
          <w:p>
            <w:pPr>
              <w:widowControl/>
              <w:jc w:val="center"/>
              <w:textAlignment w:val="center"/>
              <w:rPr>
                <w:rFonts w:ascii="宋体"/>
                <w:color w:val="000000" w:themeColor="text1"/>
                <w:sz w:val="24"/>
              </w:rPr>
            </w:pPr>
          </w:p>
          <w:p>
            <w:pPr>
              <w:widowControl/>
              <w:jc w:val="center"/>
              <w:textAlignment w:val="center"/>
              <w:rPr>
                <w:rFonts w:ascii="宋体"/>
                <w:color w:val="000000" w:themeColor="text1"/>
                <w:sz w:val="24"/>
              </w:rPr>
            </w:pPr>
            <w:r>
              <w:rPr>
                <w:rFonts w:hint="eastAsia" w:ascii="宋体"/>
                <w:color w:val="000000" w:themeColor="text1"/>
                <w:sz w:val="24"/>
              </w:rPr>
              <w:t>组织机构</w:t>
            </w:r>
          </w:p>
          <w:p>
            <w:pPr>
              <w:widowControl/>
              <w:jc w:val="center"/>
              <w:textAlignment w:val="center"/>
              <w:rPr>
                <w:rFonts w:ascii="宋体"/>
                <w:color w:val="000000" w:themeColor="text1"/>
                <w:sz w:val="24"/>
              </w:rPr>
            </w:pPr>
            <w:r>
              <w:rPr>
                <w:rFonts w:hint="eastAsia" w:ascii="宋体"/>
                <w:color w:val="000000" w:themeColor="text1"/>
                <w:sz w:val="24"/>
              </w:rPr>
              <w:t>（70分）</w:t>
            </w:r>
          </w:p>
          <w:p>
            <w:pPr>
              <w:widowControl/>
              <w:jc w:val="center"/>
              <w:textAlignment w:val="center"/>
              <w:rPr>
                <w:rFonts w:ascii="宋体"/>
                <w:color w:val="000000" w:themeColor="text1"/>
                <w:sz w:val="24"/>
              </w:rPr>
            </w:pPr>
          </w:p>
          <w:p>
            <w:pPr>
              <w:widowControl/>
              <w:jc w:val="center"/>
              <w:textAlignment w:val="center"/>
              <w:rPr>
                <w:rFonts w:ascii="宋体"/>
                <w:color w:val="000000" w:themeColor="text1"/>
                <w:sz w:val="24"/>
              </w:rPr>
            </w:pPr>
          </w:p>
          <w:p>
            <w:pPr>
              <w:widowControl/>
              <w:jc w:val="center"/>
              <w:textAlignment w:val="center"/>
              <w:rPr>
                <w:rFonts w:ascii="宋体"/>
                <w:color w:val="000000" w:themeColor="text1"/>
                <w:sz w:val="24"/>
              </w:rPr>
            </w:pPr>
          </w:p>
          <w:p>
            <w:pPr>
              <w:widowControl/>
              <w:jc w:val="center"/>
              <w:textAlignment w:val="center"/>
              <w:rPr>
                <w:rFonts w:ascii="宋体"/>
                <w:color w:val="000000" w:themeColor="text1"/>
                <w:sz w:val="24"/>
              </w:rPr>
            </w:pPr>
          </w:p>
          <w:p>
            <w:pPr>
              <w:widowControl/>
              <w:jc w:val="center"/>
              <w:textAlignment w:val="center"/>
              <w:rPr>
                <w:rFonts w:ascii="宋体"/>
                <w:color w:val="000000" w:themeColor="text1"/>
                <w:sz w:val="24"/>
              </w:rPr>
            </w:pPr>
          </w:p>
          <w:p>
            <w:pPr>
              <w:widowControl/>
              <w:jc w:val="center"/>
              <w:textAlignment w:val="center"/>
              <w:rPr>
                <w:rFonts w:ascii="宋体"/>
                <w:color w:val="000000" w:themeColor="text1"/>
                <w:sz w:val="24"/>
              </w:rPr>
            </w:pPr>
          </w:p>
          <w:p>
            <w:pPr>
              <w:widowControl/>
              <w:jc w:val="center"/>
              <w:textAlignment w:val="center"/>
              <w:rPr>
                <w:rFonts w:ascii="宋体"/>
                <w:color w:val="000000" w:themeColor="text1"/>
                <w:sz w:val="24"/>
              </w:rPr>
            </w:pPr>
          </w:p>
          <w:p>
            <w:pPr>
              <w:widowControl/>
              <w:jc w:val="center"/>
              <w:textAlignment w:val="center"/>
              <w:rPr>
                <w:rFonts w:ascii="宋体"/>
                <w:color w:val="000000" w:themeColor="text1"/>
                <w:sz w:val="24"/>
              </w:rPr>
            </w:pPr>
          </w:p>
          <w:p>
            <w:pPr>
              <w:widowControl/>
              <w:jc w:val="center"/>
              <w:textAlignment w:val="center"/>
              <w:rPr>
                <w:rFonts w:ascii="宋体"/>
                <w:color w:val="000000" w:themeColor="text1"/>
                <w:sz w:val="24"/>
              </w:rPr>
            </w:pPr>
          </w:p>
          <w:p>
            <w:pPr>
              <w:widowControl/>
              <w:jc w:val="center"/>
              <w:textAlignment w:val="center"/>
              <w:rPr>
                <w:rFonts w:ascii="宋体"/>
                <w:color w:val="000000" w:themeColor="text1"/>
                <w:sz w:val="24"/>
              </w:rPr>
            </w:pPr>
          </w:p>
          <w:p>
            <w:pPr>
              <w:widowControl/>
              <w:jc w:val="center"/>
              <w:textAlignment w:val="center"/>
              <w:rPr>
                <w:rFonts w:ascii="宋体"/>
                <w:color w:val="000000" w:themeColor="text1"/>
                <w:sz w:val="24"/>
              </w:rPr>
            </w:pPr>
          </w:p>
          <w:p>
            <w:pPr>
              <w:widowControl/>
              <w:jc w:val="center"/>
              <w:textAlignment w:val="center"/>
              <w:rPr>
                <w:rFonts w:ascii="宋体"/>
                <w:color w:val="000000" w:themeColor="text1"/>
                <w:sz w:val="24"/>
              </w:rPr>
            </w:pPr>
          </w:p>
          <w:p>
            <w:pPr>
              <w:widowControl/>
              <w:jc w:val="center"/>
              <w:textAlignment w:val="center"/>
              <w:rPr>
                <w:rFonts w:ascii="宋体"/>
                <w:color w:val="000000" w:themeColor="text1"/>
                <w:sz w:val="24"/>
              </w:rPr>
            </w:pPr>
          </w:p>
          <w:p>
            <w:pPr>
              <w:widowControl/>
              <w:jc w:val="center"/>
              <w:textAlignment w:val="center"/>
              <w:rPr>
                <w:rFonts w:ascii="宋体"/>
                <w:color w:val="000000" w:themeColor="text1"/>
                <w:sz w:val="24"/>
              </w:rPr>
            </w:pPr>
          </w:p>
          <w:p>
            <w:pPr>
              <w:widowControl/>
              <w:textAlignment w:val="center"/>
              <w:rPr>
                <w:rFonts w:ascii="宋体"/>
                <w:color w:val="000000" w:themeColor="text1"/>
                <w:sz w:val="24"/>
              </w:rPr>
            </w:pPr>
          </w:p>
          <w:p>
            <w:pPr>
              <w:widowControl/>
              <w:jc w:val="center"/>
              <w:textAlignment w:val="center"/>
              <w:rPr>
                <w:rFonts w:ascii="宋体"/>
                <w:color w:val="000000" w:themeColor="text1"/>
                <w:sz w:val="24"/>
              </w:rPr>
            </w:pPr>
          </w:p>
          <w:p>
            <w:pPr>
              <w:widowControl/>
              <w:textAlignment w:val="center"/>
              <w:rPr>
                <w:rFonts w:ascii="宋体"/>
                <w:color w:val="000000" w:themeColor="text1"/>
                <w:sz w:val="24"/>
              </w:rPr>
            </w:pPr>
          </w:p>
          <w:p>
            <w:pPr>
              <w:widowControl/>
              <w:jc w:val="center"/>
              <w:textAlignment w:val="center"/>
              <w:rPr>
                <w:rFonts w:ascii="宋体"/>
                <w:color w:val="000000" w:themeColor="text1"/>
                <w:sz w:val="24"/>
              </w:rPr>
            </w:pPr>
          </w:p>
          <w:p>
            <w:pPr>
              <w:widowControl/>
              <w:jc w:val="center"/>
              <w:textAlignment w:val="center"/>
              <w:rPr>
                <w:rFonts w:ascii="宋体"/>
                <w:color w:val="000000" w:themeColor="text1"/>
                <w:sz w:val="24"/>
              </w:rPr>
            </w:pPr>
          </w:p>
          <w:p>
            <w:pPr>
              <w:widowControl/>
              <w:jc w:val="center"/>
              <w:textAlignment w:val="center"/>
              <w:rPr>
                <w:rFonts w:ascii="宋体"/>
                <w:color w:val="000000" w:themeColor="text1"/>
                <w:sz w:val="24"/>
              </w:rPr>
            </w:pPr>
            <w:r>
              <w:rPr>
                <w:rFonts w:hint="eastAsia" w:ascii="宋体"/>
                <w:color w:val="000000" w:themeColor="text1"/>
                <w:sz w:val="24"/>
              </w:rPr>
              <w:t>组织机构</w:t>
            </w:r>
          </w:p>
          <w:p>
            <w:pPr>
              <w:widowControl/>
              <w:jc w:val="center"/>
              <w:textAlignment w:val="center"/>
              <w:rPr>
                <w:rFonts w:ascii="宋体"/>
                <w:color w:val="000000" w:themeColor="text1"/>
                <w:sz w:val="24"/>
              </w:rPr>
            </w:pPr>
            <w:r>
              <w:rPr>
                <w:rFonts w:hint="eastAsia" w:ascii="宋体"/>
                <w:color w:val="000000" w:themeColor="text1"/>
                <w:sz w:val="24"/>
              </w:rPr>
              <w:t>（70分）</w:t>
            </w:r>
          </w:p>
          <w:p>
            <w:pPr>
              <w:widowControl/>
              <w:jc w:val="center"/>
              <w:textAlignment w:val="center"/>
              <w:rPr>
                <w:rFonts w:ascii="宋体"/>
                <w:color w:val="000000" w:themeColor="text1"/>
                <w:sz w:val="24"/>
              </w:rPr>
            </w:pPr>
          </w:p>
          <w:p>
            <w:pPr>
              <w:widowControl/>
              <w:jc w:val="center"/>
              <w:textAlignment w:val="center"/>
              <w:rPr>
                <w:rFonts w:ascii="宋体"/>
                <w:color w:val="000000" w:themeColor="text1"/>
                <w:sz w:val="24"/>
              </w:rPr>
            </w:pPr>
          </w:p>
          <w:p>
            <w:pPr>
              <w:widowControl/>
              <w:jc w:val="center"/>
              <w:textAlignment w:val="center"/>
              <w:rPr>
                <w:rFonts w:ascii="宋体"/>
                <w:color w:val="000000" w:themeColor="text1"/>
                <w:sz w:val="24"/>
              </w:rPr>
            </w:pPr>
          </w:p>
          <w:p>
            <w:pPr>
              <w:widowControl/>
              <w:jc w:val="center"/>
              <w:textAlignment w:val="center"/>
              <w:rPr>
                <w:rFonts w:ascii="宋体"/>
                <w:color w:val="000000" w:themeColor="text1"/>
                <w:sz w:val="24"/>
              </w:rPr>
            </w:pPr>
          </w:p>
          <w:p>
            <w:pPr>
              <w:widowControl/>
              <w:jc w:val="center"/>
              <w:textAlignment w:val="center"/>
              <w:rPr>
                <w:rFonts w:ascii="宋体"/>
                <w:color w:val="000000" w:themeColor="text1"/>
                <w:sz w:val="24"/>
              </w:rPr>
            </w:pPr>
          </w:p>
          <w:p>
            <w:pPr>
              <w:widowControl/>
              <w:jc w:val="center"/>
              <w:textAlignment w:val="center"/>
              <w:rPr>
                <w:rFonts w:ascii="宋体"/>
                <w:color w:val="000000" w:themeColor="text1"/>
                <w:sz w:val="24"/>
              </w:rPr>
            </w:pPr>
          </w:p>
          <w:p>
            <w:pPr>
              <w:widowControl/>
              <w:jc w:val="center"/>
              <w:textAlignment w:val="center"/>
              <w:rPr>
                <w:rFonts w:ascii="宋体"/>
                <w:color w:val="000000" w:themeColor="text1"/>
                <w:sz w:val="24"/>
              </w:rPr>
            </w:pPr>
          </w:p>
          <w:p>
            <w:pPr>
              <w:widowControl/>
              <w:jc w:val="center"/>
              <w:textAlignment w:val="center"/>
              <w:rPr>
                <w:rFonts w:ascii="宋体"/>
                <w:color w:val="000000" w:themeColor="text1"/>
                <w:sz w:val="24"/>
              </w:rPr>
            </w:pPr>
          </w:p>
          <w:p>
            <w:pPr>
              <w:widowControl/>
              <w:textAlignment w:val="center"/>
              <w:rPr>
                <w:rFonts w:ascii="宋体"/>
                <w:color w:val="000000" w:themeColor="text1"/>
                <w:sz w:val="24"/>
              </w:rPr>
            </w:pPr>
          </w:p>
        </w:tc>
        <w:tc>
          <w:tcPr>
            <w:tcW w:w="1297" w:type="dxa"/>
            <w:vMerge w:val="restart"/>
            <w:vAlign w:val="center"/>
          </w:tcPr>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理事会    （50分）</w:t>
            </w: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color w:val="000000" w:themeColor="text1"/>
                <w:sz w:val="18"/>
              </w:rPr>
            </w:pPr>
            <w:r>
              <w:rPr>
                <w:rFonts w:hint="eastAsia" w:ascii="宋体" w:hAnsi="宋体" w:cs="宋体"/>
                <w:color w:val="000000" w:themeColor="text1"/>
                <w:kern w:val="0"/>
                <w:sz w:val="24"/>
              </w:rPr>
              <w:t>理事会    （50分）</w:t>
            </w: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39</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产生、罢免</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（6分）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 xml:space="preserve">□按章程规定条件和程序产生、罢免理事（6分） </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□未按章程规定条件和程序产生、罢免理事（0分）</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241" w:type="dxa"/>
            <w:vMerge w:val="continue"/>
          </w:tcPr>
          <w:p>
            <w:pPr>
              <w:pStyle w:val="6"/>
              <w:ind w:firstLine="0" w:firstLineChars="0"/>
              <w:rPr>
                <w:color w:val="000000" w:themeColor="text1"/>
                <w:szCs w:val="18"/>
              </w:rPr>
            </w:pPr>
          </w:p>
        </w:tc>
        <w:tc>
          <w:tcPr>
            <w:tcW w:w="1237" w:type="dxa"/>
            <w:vMerge w:val="continue"/>
            <w:vAlign w:val="center"/>
          </w:tcPr>
          <w:p>
            <w:pPr>
              <w:jc w:val="center"/>
              <w:rPr>
                <w:rFonts w:ascii="宋体"/>
                <w:color w:val="000000" w:themeColor="text1"/>
                <w:sz w:val="18"/>
              </w:rPr>
            </w:pPr>
          </w:p>
        </w:tc>
        <w:tc>
          <w:tcPr>
            <w:tcW w:w="1297" w:type="dxa"/>
            <w:vMerge w:val="continue"/>
            <w:vAlign w:val="center"/>
          </w:tcPr>
          <w:p>
            <w:pPr>
              <w:widowControl/>
              <w:jc w:val="center"/>
              <w:textAlignment w:val="center"/>
              <w:rPr>
                <w:rFonts w:ascii="宋体"/>
                <w:color w:val="000000" w:themeColor="text1"/>
                <w:sz w:val="18"/>
              </w:rPr>
            </w:pP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40</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人员数量</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（6分）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□3至25人且为单数，与章程相符（6分）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□不足3人或超过25人，缺一人扣一分，扣完为止或未组建理事会，与章程不相符或不能提供有效文件证明（0分）</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pPr>
              <w:pStyle w:val="6"/>
              <w:ind w:firstLine="0" w:firstLineChars="0"/>
              <w:rPr>
                <w:color w:val="000000" w:themeColor="text1"/>
                <w:szCs w:val="18"/>
              </w:rPr>
            </w:pPr>
          </w:p>
        </w:tc>
        <w:tc>
          <w:tcPr>
            <w:tcW w:w="1237" w:type="dxa"/>
            <w:vMerge w:val="continue"/>
          </w:tcPr>
          <w:p>
            <w:pPr>
              <w:pStyle w:val="6"/>
              <w:ind w:firstLine="0" w:firstLineChars="0"/>
              <w:rPr>
                <w:color w:val="000000" w:themeColor="text1"/>
                <w:szCs w:val="18"/>
              </w:rPr>
            </w:pPr>
          </w:p>
        </w:tc>
        <w:tc>
          <w:tcPr>
            <w:tcW w:w="1297" w:type="dxa"/>
            <w:vMerge w:val="continue"/>
          </w:tcPr>
          <w:p>
            <w:pPr>
              <w:pStyle w:val="6"/>
              <w:rPr>
                <w:color w:val="000000" w:themeColor="text1"/>
                <w:szCs w:val="18"/>
              </w:rPr>
            </w:pP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41</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召开会议</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□理事会召开次数、程序和人数参与比例符合章程规定（10分）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□理事会召开次数、程序或人员参与比例不符合章程规定（3分）</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241" w:type="dxa"/>
            <w:vMerge w:val="continue"/>
          </w:tcPr>
          <w:p>
            <w:pPr>
              <w:pStyle w:val="6"/>
              <w:ind w:firstLine="0" w:firstLineChars="0"/>
              <w:rPr>
                <w:color w:val="000000" w:themeColor="text1"/>
                <w:szCs w:val="18"/>
              </w:rPr>
            </w:pPr>
          </w:p>
        </w:tc>
        <w:tc>
          <w:tcPr>
            <w:tcW w:w="1237" w:type="dxa"/>
            <w:vMerge w:val="continue"/>
          </w:tcPr>
          <w:p>
            <w:pPr>
              <w:pStyle w:val="6"/>
              <w:ind w:firstLine="0" w:firstLineChars="0"/>
              <w:rPr>
                <w:color w:val="000000" w:themeColor="text1"/>
                <w:szCs w:val="18"/>
              </w:rPr>
            </w:pPr>
          </w:p>
        </w:tc>
        <w:tc>
          <w:tcPr>
            <w:tcW w:w="1297" w:type="dxa"/>
            <w:vMerge w:val="continue"/>
          </w:tcPr>
          <w:p>
            <w:pPr>
              <w:pStyle w:val="6"/>
              <w:rPr>
                <w:color w:val="000000" w:themeColor="text1"/>
                <w:szCs w:val="18"/>
              </w:rPr>
            </w:pP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42</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职能履行情况</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□（常务）理事会制度健全，按章程规定履行职能，重大事项必须有2/3理事会成员出席理事会，并且1/2/理事表决通过（10分）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□（常务）理事会违背组织使命，或未按章程规定履行职能（0分）                                         </w:t>
            </w:r>
            <w:r>
              <w:rPr>
                <w:rFonts w:hint="eastAsia" w:ascii="宋体" w:hAnsi="宋体" w:cs="宋体"/>
                <w:b/>
                <w:color w:val="000000" w:themeColor="text1"/>
                <w:kern w:val="0"/>
                <w:sz w:val="24"/>
              </w:rPr>
              <w:t>注：提供召开理事会会议通过的决议。</w:t>
            </w:r>
            <w:r>
              <w:rPr>
                <w:rFonts w:hint="eastAsia" w:ascii="宋体" w:hAnsi="宋体" w:cs="宋体"/>
                <w:color w:val="000000" w:themeColor="text1"/>
                <w:kern w:val="0"/>
                <w:sz w:val="24"/>
              </w:rPr>
              <w:br w:type="textWrapping"/>
            </w:r>
            <w:r>
              <w:rPr>
                <w:rFonts w:hint="eastAsia" w:ascii="宋体" w:hAnsi="宋体" w:cs="宋体"/>
                <w:b/>
                <w:color w:val="000000" w:themeColor="text1"/>
                <w:kern w:val="0"/>
                <w:sz w:val="24"/>
              </w:rPr>
              <w:t xml:space="preserve">重大事项包括章程修改、变更、投资等。  </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241" w:type="dxa"/>
            <w:vMerge w:val="continue"/>
          </w:tcPr>
          <w:p>
            <w:pPr>
              <w:pStyle w:val="6"/>
              <w:ind w:firstLine="0" w:firstLineChars="0"/>
              <w:rPr>
                <w:color w:val="000000" w:themeColor="text1"/>
                <w:szCs w:val="18"/>
              </w:rPr>
            </w:pPr>
          </w:p>
        </w:tc>
        <w:tc>
          <w:tcPr>
            <w:tcW w:w="1237" w:type="dxa"/>
            <w:vMerge w:val="continue"/>
          </w:tcPr>
          <w:p>
            <w:pPr>
              <w:pStyle w:val="6"/>
              <w:ind w:firstLine="0" w:firstLineChars="0"/>
              <w:rPr>
                <w:color w:val="000000" w:themeColor="text1"/>
                <w:szCs w:val="18"/>
              </w:rPr>
            </w:pPr>
          </w:p>
        </w:tc>
        <w:tc>
          <w:tcPr>
            <w:tcW w:w="1297" w:type="dxa"/>
            <w:vMerge w:val="continue"/>
          </w:tcPr>
          <w:p>
            <w:pPr>
              <w:pStyle w:val="6"/>
              <w:rPr>
                <w:color w:val="000000" w:themeColor="text1"/>
                <w:szCs w:val="18"/>
              </w:rPr>
            </w:pP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43</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理事构成</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（9分）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□理事包括举办者（包括出资者）、职工代表（由全体职工推举产生）及有关单位（业务主管单位）（9分）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□理事中无举办者（包括出资者）或职工代表（由全体职工推举产生）或有关单位（业务主管单位）（0分）</w:t>
            </w:r>
          </w:p>
        </w:tc>
        <w:tc>
          <w:tcPr>
            <w:tcW w:w="994" w:type="dxa"/>
          </w:tcPr>
          <w:p>
            <w:pPr>
              <w:pStyle w:val="6"/>
              <w:ind w:firstLine="0" w:firstLineChars="0"/>
              <w:rPr>
                <w:rFonts w:hAnsi="宋体" w:cs="宋体"/>
                <w:color w:val="000000" w:themeColor="text1"/>
                <w:sz w:val="24"/>
                <w:szCs w:val="24"/>
              </w:rPr>
            </w:pPr>
          </w:p>
          <w:p>
            <w:pPr>
              <w:pStyle w:val="6"/>
              <w:ind w:firstLine="0" w:firstLineChars="0"/>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pPr>
              <w:pStyle w:val="6"/>
              <w:ind w:firstLine="0" w:firstLineChars="0"/>
              <w:rPr>
                <w:color w:val="000000" w:themeColor="text1"/>
                <w:szCs w:val="18"/>
              </w:rPr>
            </w:pPr>
          </w:p>
        </w:tc>
        <w:tc>
          <w:tcPr>
            <w:tcW w:w="1237" w:type="dxa"/>
            <w:vMerge w:val="continue"/>
          </w:tcPr>
          <w:p>
            <w:pPr>
              <w:pStyle w:val="6"/>
              <w:ind w:firstLine="0" w:firstLineChars="0"/>
              <w:rPr>
                <w:color w:val="000000" w:themeColor="text1"/>
                <w:szCs w:val="18"/>
              </w:rPr>
            </w:pPr>
          </w:p>
        </w:tc>
        <w:tc>
          <w:tcPr>
            <w:tcW w:w="1297" w:type="dxa"/>
            <w:vMerge w:val="continue"/>
            <w:vAlign w:val="center"/>
          </w:tcPr>
          <w:p>
            <w:pPr>
              <w:widowControl/>
              <w:jc w:val="center"/>
              <w:textAlignment w:val="center"/>
              <w:rPr>
                <w:rFonts w:ascii="宋体"/>
                <w:color w:val="000000" w:themeColor="text1"/>
                <w:sz w:val="18"/>
              </w:rPr>
            </w:pP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44</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会议纪要</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（9分）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□理事会有详细的会议纪要（9分）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□理事会会议纪要不详细（3分）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□无会议纪要（0分）</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41" w:type="dxa"/>
            <w:vMerge w:val="continue"/>
          </w:tcPr>
          <w:p>
            <w:pPr>
              <w:pStyle w:val="6"/>
              <w:ind w:firstLine="0" w:firstLineChars="0"/>
              <w:rPr>
                <w:color w:val="000000" w:themeColor="text1"/>
                <w:szCs w:val="18"/>
              </w:rPr>
            </w:pPr>
          </w:p>
        </w:tc>
        <w:tc>
          <w:tcPr>
            <w:tcW w:w="1237" w:type="dxa"/>
            <w:vMerge w:val="continue"/>
          </w:tcPr>
          <w:p>
            <w:pPr>
              <w:pStyle w:val="6"/>
              <w:ind w:firstLine="0" w:firstLineChars="0"/>
              <w:rPr>
                <w:color w:val="000000" w:themeColor="text1"/>
                <w:szCs w:val="18"/>
              </w:rPr>
            </w:pPr>
          </w:p>
        </w:tc>
        <w:tc>
          <w:tcPr>
            <w:tcW w:w="1297" w:type="dxa"/>
            <w:vMerge w:val="restart"/>
          </w:tcPr>
          <w:p>
            <w:pPr>
              <w:pStyle w:val="6"/>
              <w:ind w:firstLine="0" w:firstLineChars="0"/>
              <w:jc w:val="center"/>
              <w:rPr>
                <w:rFonts w:hAnsi="宋体" w:cs="宋体"/>
                <w:color w:val="000000" w:themeColor="text1"/>
                <w:sz w:val="24"/>
                <w:szCs w:val="24"/>
              </w:rPr>
            </w:pPr>
          </w:p>
          <w:p>
            <w:pPr>
              <w:pStyle w:val="6"/>
              <w:ind w:firstLine="0" w:firstLineChars="0"/>
              <w:jc w:val="center"/>
              <w:rPr>
                <w:rFonts w:hAnsi="宋体" w:cs="宋体"/>
                <w:color w:val="000000" w:themeColor="text1"/>
                <w:sz w:val="24"/>
                <w:szCs w:val="24"/>
              </w:rPr>
            </w:pPr>
          </w:p>
          <w:p>
            <w:pPr>
              <w:pStyle w:val="6"/>
              <w:ind w:firstLine="0" w:firstLineChars="0"/>
              <w:jc w:val="center"/>
              <w:rPr>
                <w:rFonts w:hAnsi="宋体" w:cs="宋体"/>
                <w:color w:val="000000" w:themeColor="text1"/>
                <w:sz w:val="24"/>
                <w:szCs w:val="24"/>
              </w:rPr>
            </w:pPr>
          </w:p>
          <w:p>
            <w:pPr>
              <w:pStyle w:val="6"/>
              <w:ind w:firstLine="0" w:firstLineChars="0"/>
              <w:jc w:val="center"/>
              <w:rPr>
                <w:rFonts w:hAnsi="宋体" w:cs="宋体"/>
                <w:color w:val="000000" w:themeColor="text1"/>
                <w:sz w:val="24"/>
                <w:szCs w:val="24"/>
              </w:rPr>
            </w:pPr>
          </w:p>
          <w:p>
            <w:pPr>
              <w:pStyle w:val="6"/>
              <w:ind w:firstLine="0" w:firstLineChars="0"/>
              <w:jc w:val="center"/>
              <w:rPr>
                <w:rFonts w:hAnsi="宋体" w:cs="宋体"/>
                <w:color w:val="000000" w:themeColor="text1"/>
                <w:sz w:val="24"/>
                <w:szCs w:val="24"/>
              </w:rPr>
            </w:pPr>
          </w:p>
          <w:p>
            <w:pPr>
              <w:pStyle w:val="6"/>
              <w:ind w:firstLine="0" w:firstLineChars="0"/>
              <w:jc w:val="center"/>
              <w:rPr>
                <w:rFonts w:hAnsi="宋体" w:cs="宋体"/>
                <w:color w:val="000000" w:themeColor="text1"/>
                <w:sz w:val="24"/>
                <w:szCs w:val="24"/>
              </w:rPr>
            </w:pPr>
          </w:p>
          <w:p>
            <w:pPr>
              <w:pStyle w:val="6"/>
              <w:ind w:firstLine="0" w:firstLineChars="0"/>
              <w:jc w:val="center"/>
              <w:rPr>
                <w:rFonts w:hAnsi="宋体" w:cs="宋体"/>
                <w:color w:val="000000" w:themeColor="text1"/>
                <w:sz w:val="24"/>
                <w:szCs w:val="24"/>
              </w:rPr>
            </w:pPr>
            <w:r>
              <w:rPr>
                <w:rFonts w:hint="eastAsia" w:hAnsi="宋体" w:cs="宋体"/>
                <w:color w:val="000000" w:themeColor="text1"/>
                <w:sz w:val="24"/>
                <w:szCs w:val="24"/>
              </w:rPr>
              <w:t>监事会</w:t>
            </w:r>
            <w:r>
              <w:rPr>
                <w:rFonts w:hint="eastAsia" w:hAnsi="宋体" w:cs="宋体"/>
                <w:color w:val="000000" w:themeColor="text1"/>
                <w:sz w:val="24"/>
                <w:szCs w:val="24"/>
              </w:rPr>
              <w:br w:type="textWrapping"/>
            </w:r>
            <w:r>
              <w:rPr>
                <w:rFonts w:hint="eastAsia" w:hAnsi="宋体" w:cs="宋体"/>
                <w:color w:val="000000" w:themeColor="text1"/>
                <w:sz w:val="24"/>
                <w:szCs w:val="24"/>
              </w:rPr>
              <w:t>（20分）</w:t>
            </w:r>
          </w:p>
          <w:p>
            <w:pPr>
              <w:pStyle w:val="6"/>
              <w:ind w:firstLine="0" w:firstLineChars="0"/>
              <w:jc w:val="center"/>
              <w:rPr>
                <w:rFonts w:hAnsi="宋体" w:cs="宋体"/>
                <w:color w:val="000000" w:themeColor="text1"/>
                <w:sz w:val="24"/>
                <w:szCs w:val="24"/>
              </w:rPr>
            </w:pPr>
          </w:p>
          <w:p>
            <w:pPr>
              <w:pStyle w:val="6"/>
              <w:ind w:firstLine="0" w:firstLineChars="0"/>
              <w:jc w:val="center"/>
              <w:rPr>
                <w:rFonts w:hAnsi="宋体" w:cs="宋体"/>
                <w:color w:val="000000" w:themeColor="text1"/>
                <w:sz w:val="24"/>
                <w:szCs w:val="24"/>
              </w:rPr>
            </w:pPr>
          </w:p>
          <w:p>
            <w:pPr>
              <w:pStyle w:val="6"/>
              <w:ind w:firstLine="0" w:firstLineChars="0"/>
              <w:jc w:val="center"/>
              <w:rPr>
                <w:rFonts w:hAnsi="宋体" w:cs="宋体"/>
                <w:color w:val="000000" w:themeColor="text1"/>
                <w:sz w:val="24"/>
                <w:szCs w:val="24"/>
              </w:rPr>
            </w:pPr>
          </w:p>
          <w:p>
            <w:pPr>
              <w:pStyle w:val="6"/>
              <w:ind w:firstLine="0" w:firstLineChars="0"/>
              <w:rPr>
                <w:rFonts w:hAnsi="宋体" w:cs="宋体"/>
                <w:color w:val="000000" w:themeColor="text1"/>
                <w:sz w:val="24"/>
                <w:szCs w:val="24"/>
              </w:rPr>
            </w:pPr>
          </w:p>
          <w:p>
            <w:pPr>
              <w:pStyle w:val="6"/>
              <w:ind w:firstLine="0" w:firstLineChars="0"/>
              <w:rPr>
                <w:color w:val="000000" w:themeColor="text1"/>
                <w:szCs w:val="18"/>
              </w:rPr>
            </w:pP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45</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产生程序</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 （6分）</w:t>
            </w:r>
          </w:p>
        </w:tc>
        <w:tc>
          <w:tcPr>
            <w:tcW w:w="5189" w:type="dxa"/>
            <w:vAlign w:val="center"/>
          </w:tcPr>
          <w:p>
            <w:pPr>
              <w:widowControl/>
              <w:jc w:val="left"/>
              <w:textAlignment w:val="center"/>
              <w:rPr>
                <w:rFonts w:ascii="宋体" w:hAnsi="宋体" w:cs="宋体"/>
                <w:b/>
                <w:color w:val="000000" w:themeColor="text1"/>
                <w:kern w:val="0"/>
                <w:sz w:val="24"/>
              </w:rPr>
            </w:pPr>
            <w:r>
              <w:rPr>
                <w:rFonts w:hint="eastAsia" w:ascii="宋体" w:hAnsi="宋体" w:cs="宋体"/>
                <w:color w:val="000000" w:themeColor="text1"/>
                <w:kern w:val="0"/>
                <w:sz w:val="24"/>
              </w:rPr>
              <w:t>□按章程规定，监事在举办者（包括出资者）、本单位从业人员或有关单位推荐的人员中产生或更换。监事会中的从业人员代表由单位从业人员民主选举产生。本单位理事、院长（或校长、所长、主任等）及财务负责人，不兼任监事（6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□监事会未按章程规定产生（0）</w:t>
            </w:r>
          </w:p>
          <w:p>
            <w:pPr>
              <w:widowControl/>
              <w:jc w:val="left"/>
              <w:textAlignment w:val="center"/>
              <w:rPr>
                <w:rFonts w:ascii="宋体" w:hAnsi="宋体" w:cs="宋体"/>
                <w:color w:val="000000" w:themeColor="text1"/>
                <w:kern w:val="0"/>
                <w:sz w:val="24"/>
              </w:rPr>
            </w:pPr>
            <w:r>
              <w:rPr>
                <w:rFonts w:hint="eastAsia" w:ascii="宋体" w:hAnsi="宋体" w:cs="宋体"/>
                <w:b/>
                <w:color w:val="000000" w:themeColor="text1"/>
                <w:kern w:val="0"/>
                <w:sz w:val="24"/>
              </w:rPr>
              <w:t>注：按章程规定不设监事会的，不扣分</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pPr>
              <w:pStyle w:val="6"/>
              <w:ind w:firstLine="0" w:firstLineChars="0"/>
              <w:rPr>
                <w:color w:val="000000" w:themeColor="text1"/>
                <w:szCs w:val="18"/>
              </w:rPr>
            </w:pPr>
          </w:p>
        </w:tc>
        <w:tc>
          <w:tcPr>
            <w:tcW w:w="1237" w:type="dxa"/>
            <w:vMerge w:val="continue"/>
          </w:tcPr>
          <w:p>
            <w:pPr>
              <w:pStyle w:val="6"/>
              <w:ind w:firstLine="0" w:firstLineChars="0"/>
              <w:rPr>
                <w:color w:val="000000" w:themeColor="text1"/>
                <w:szCs w:val="18"/>
              </w:rPr>
            </w:pPr>
          </w:p>
        </w:tc>
        <w:tc>
          <w:tcPr>
            <w:tcW w:w="1297" w:type="dxa"/>
            <w:vMerge w:val="continue"/>
          </w:tcPr>
          <w:p>
            <w:pPr>
              <w:pStyle w:val="6"/>
              <w:rPr>
                <w:color w:val="000000" w:themeColor="text1"/>
                <w:szCs w:val="18"/>
              </w:rPr>
            </w:pP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46</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人员数量</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（6分）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□有监事会的，成员不少于3人（6分）</w:t>
            </w:r>
          </w:p>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□无监事会的，设有1</w:t>
            </w:r>
            <w:r>
              <w:rPr>
                <w:rFonts w:ascii="宋体" w:hAnsi="宋体" w:cs="宋体"/>
                <w:color w:val="000000" w:themeColor="text1"/>
                <w:kern w:val="0"/>
                <w:sz w:val="24"/>
              </w:rPr>
              <w:t>—</w:t>
            </w:r>
            <w:r>
              <w:rPr>
                <w:rFonts w:hint="eastAsia" w:ascii="宋体" w:hAnsi="宋体" w:cs="宋体"/>
                <w:color w:val="000000" w:themeColor="text1"/>
                <w:kern w:val="0"/>
                <w:sz w:val="24"/>
              </w:rPr>
              <w:t>2名监事（6分）</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241" w:type="dxa"/>
            <w:vMerge w:val="continue"/>
          </w:tcPr>
          <w:p>
            <w:pPr>
              <w:pStyle w:val="6"/>
              <w:ind w:firstLine="0" w:firstLineChars="0"/>
              <w:rPr>
                <w:color w:val="000000" w:themeColor="text1"/>
                <w:szCs w:val="18"/>
              </w:rPr>
            </w:pPr>
          </w:p>
        </w:tc>
        <w:tc>
          <w:tcPr>
            <w:tcW w:w="1237" w:type="dxa"/>
            <w:vMerge w:val="continue"/>
          </w:tcPr>
          <w:p>
            <w:pPr>
              <w:pStyle w:val="6"/>
              <w:ind w:firstLine="0" w:firstLineChars="0"/>
              <w:rPr>
                <w:color w:val="000000" w:themeColor="text1"/>
                <w:szCs w:val="18"/>
              </w:rPr>
            </w:pPr>
          </w:p>
        </w:tc>
        <w:tc>
          <w:tcPr>
            <w:tcW w:w="1297" w:type="dxa"/>
            <w:vMerge w:val="continue"/>
          </w:tcPr>
          <w:p>
            <w:pPr>
              <w:pStyle w:val="6"/>
              <w:rPr>
                <w:color w:val="000000" w:themeColor="text1"/>
                <w:szCs w:val="18"/>
              </w:rPr>
            </w:pP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47</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职能履行           （8分）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□监事制度健全，并按章程规定履行职能（8分）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□监事制度不健全，或未按章程规定履行职能（0分）</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pPr>
              <w:pStyle w:val="6"/>
              <w:ind w:firstLine="0" w:firstLineChars="0"/>
              <w:rPr>
                <w:color w:val="000000" w:themeColor="text1"/>
                <w:szCs w:val="18"/>
              </w:rPr>
            </w:pPr>
          </w:p>
        </w:tc>
        <w:tc>
          <w:tcPr>
            <w:tcW w:w="1237" w:type="dxa"/>
            <w:vMerge w:val="restart"/>
            <w:vAlign w:val="center"/>
          </w:tcPr>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人力资源管理</w:t>
            </w: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（60分）</w:t>
            </w: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人力资源</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管理   </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（60分）</w:t>
            </w:r>
          </w:p>
          <w:p>
            <w:pPr>
              <w:widowControl/>
              <w:textAlignment w:val="center"/>
              <w:rPr>
                <w:rFonts w:ascii="宋体"/>
                <w:color w:val="000000" w:themeColor="text1"/>
                <w:sz w:val="18"/>
              </w:rPr>
            </w:pPr>
          </w:p>
          <w:p>
            <w:pPr>
              <w:widowControl/>
              <w:textAlignment w:val="center"/>
              <w:rPr>
                <w:rFonts w:ascii="宋体"/>
                <w:color w:val="000000" w:themeColor="text1"/>
                <w:sz w:val="18"/>
              </w:rPr>
            </w:pPr>
          </w:p>
        </w:tc>
        <w:tc>
          <w:tcPr>
            <w:tcW w:w="1297" w:type="dxa"/>
            <w:vMerge w:val="restart"/>
            <w:vAlign w:val="center"/>
          </w:tcPr>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人才队伍 建设</w:t>
            </w: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 xml:space="preserve"> （40分）</w:t>
            </w:r>
          </w:p>
          <w:p>
            <w:pPr>
              <w:widowControl/>
              <w:jc w:val="center"/>
              <w:textAlignment w:val="center"/>
              <w:rPr>
                <w:rFonts w:ascii="宋体" w:hAnsi="宋体" w:cs="宋体"/>
                <w:color w:val="000000" w:themeColor="text1"/>
                <w:kern w:val="0"/>
                <w:sz w:val="24"/>
              </w:rPr>
            </w:pPr>
          </w:p>
          <w:p>
            <w:pPr>
              <w:widowControl/>
              <w:jc w:val="center"/>
              <w:textAlignment w:val="center"/>
              <w:rPr>
                <w:rFonts w:ascii="宋体"/>
                <w:color w:val="000000" w:themeColor="text1"/>
                <w:sz w:val="18"/>
              </w:rPr>
            </w:pP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48</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人员数量</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（10分）</w:t>
            </w:r>
          </w:p>
        </w:tc>
        <w:tc>
          <w:tcPr>
            <w:tcW w:w="5189" w:type="dxa"/>
            <w:vAlign w:val="center"/>
          </w:tcPr>
          <w:p>
            <w:pPr>
              <w:widowControl/>
              <w:jc w:val="left"/>
              <w:textAlignment w:val="center"/>
              <w:rPr>
                <w:rFonts w:ascii="宋体" w:hAnsi="宋体" w:cs="宋体"/>
                <w:b/>
                <w:color w:val="000000" w:themeColor="text1"/>
                <w:kern w:val="0"/>
                <w:sz w:val="24"/>
              </w:rPr>
            </w:pPr>
            <w:r>
              <w:rPr>
                <w:rFonts w:hint="eastAsia" w:ascii="宋体" w:hAnsi="宋体" w:cs="宋体"/>
                <w:color w:val="000000" w:themeColor="text1"/>
                <w:kern w:val="0"/>
                <w:sz w:val="24"/>
              </w:rPr>
              <w:t>十人及以上为满分，少1人扣1分，扣完为止。</w:t>
            </w:r>
            <w:r>
              <w:rPr>
                <w:rFonts w:hint="eastAsia" w:ascii="宋体" w:hAnsi="宋体" w:cs="宋体"/>
                <w:color w:val="000000" w:themeColor="text1"/>
                <w:kern w:val="0"/>
                <w:sz w:val="24"/>
              </w:rPr>
              <w:br w:type="textWrapping"/>
            </w:r>
            <w:r>
              <w:rPr>
                <w:rFonts w:hint="eastAsia" w:ascii="宋体" w:hAnsi="宋体" w:cs="宋体"/>
                <w:b/>
                <w:color w:val="000000" w:themeColor="text1"/>
                <w:kern w:val="0"/>
                <w:sz w:val="24"/>
              </w:rPr>
              <w:t>注：专职工作人员指在组织领取薪酬并建立劳动关系的工作人员。返聘、劳动关系在其他单位的工作人员，按50%赋分。</w:t>
            </w:r>
          </w:p>
          <w:p>
            <w:pPr>
              <w:widowControl/>
              <w:jc w:val="left"/>
              <w:textAlignment w:val="center"/>
              <w:rPr>
                <w:rFonts w:ascii="宋体" w:hAnsi="宋体" w:cs="宋体"/>
                <w:b/>
                <w:color w:val="000000" w:themeColor="text1"/>
                <w:kern w:val="0"/>
                <w:sz w:val="24"/>
              </w:rPr>
            </w:pPr>
            <w:r>
              <w:rPr>
                <w:rFonts w:hint="eastAsia" w:ascii="宋体" w:hAnsi="宋体" w:cs="宋体"/>
                <w:b/>
                <w:color w:val="000000" w:themeColor="text1"/>
                <w:kern w:val="0"/>
                <w:sz w:val="24"/>
              </w:rPr>
              <w:t>专业人员、志愿者和在本机构任职的兼职工作人员，劳动关系在其他单位，但有借调用文字依据的视为专职工作人员，不扣分</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pPr>
              <w:pStyle w:val="6"/>
              <w:ind w:firstLine="0" w:firstLineChars="0"/>
              <w:rPr>
                <w:color w:val="000000" w:themeColor="text1"/>
                <w:szCs w:val="18"/>
              </w:rPr>
            </w:pPr>
          </w:p>
        </w:tc>
        <w:tc>
          <w:tcPr>
            <w:tcW w:w="1237" w:type="dxa"/>
            <w:vMerge w:val="continue"/>
          </w:tcPr>
          <w:p>
            <w:pPr>
              <w:pStyle w:val="6"/>
              <w:ind w:firstLine="0" w:firstLineChars="0"/>
              <w:rPr>
                <w:color w:val="000000" w:themeColor="text1"/>
                <w:szCs w:val="18"/>
              </w:rPr>
            </w:pPr>
          </w:p>
        </w:tc>
        <w:tc>
          <w:tcPr>
            <w:tcW w:w="1297" w:type="dxa"/>
            <w:vMerge w:val="continue"/>
          </w:tcPr>
          <w:p>
            <w:pPr>
              <w:pStyle w:val="6"/>
              <w:rPr>
                <w:color w:val="000000" w:themeColor="text1"/>
                <w:szCs w:val="18"/>
              </w:rPr>
            </w:pP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49</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学历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□专职工作人员本科及以上学历比例达到70%（10分）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□专职工作人员本科及以上学历比例达到50%（7分）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□专职工作人员本科及以上学历比例达到30%（3分）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□专职工作人员本科及以上学历比例低于30%（2分）</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241" w:type="dxa"/>
            <w:vMerge w:val="continue"/>
          </w:tcPr>
          <w:p>
            <w:pPr>
              <w:pStyle w:val="6"/>
              <w:ind w:firstLine="0" w:firstLineChars="0"/>
              <w:rPr>
                <w:color w:val="000000" w:themeColor="text1"/>
                <w:szCs w:val="18"/>
              </w:rPr>
            </w:pPr>
          </w:p>
        </w:tc>
        <w:tc>
          <w:tcPr>
            <w:tcW w:w="1237" w:type="dxa"/>
            <w:vMerge w:val="continue"/>
          </w:tcPr>
          <w:p>
            <w:pPr>
              <w:pStyle w:val="6"/>
              <w:ind w:firstLine="0" w:firstLineChars="0"/>
              <w:rPr>
                <w:color w:val="000000" w:themeColor="text1"/>
                <w:szCs w:val="18"/>
              </w:rPr>
            </w:pPr>
          </w:p>
        </w:tc>
        <w:tc>
          <w:tcPr>
            <w:tcW w:w="1297" w:type="dxa"/>
            <w:vMerge w:val="continue"/>
          </w:tcPr>
          <w:p>
            <w:pPr>
              <w:pStyle w:val="6"/>
              <w:rPr>
                <w:color w:val="000000" w:themeColor="text1"/>
                <w:szCs w:val="18"/>
              </w:rPr>
            </w:pP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50</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专业水平</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□具有职称或职业资格的专职工作人员比例达到30%（10分）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□具有职称的专职工作人员比例达到20%（7分）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□具有职称的专职工作人员比例达到10%（3分）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□具有职称的专职工作人员比例低于10%（2分）</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pPr>
              <w:pStyle w:val="6"/>
              <w:ind w:firstLine="0" w:firstLineChars="0"/>
              <w:rPr>
                <w:color w:val="000000" w:themeColor="text1"/>
                <w:szCs w:val="18"/>
              </w:rPr>
            </w:pPr>
          </w:p>
        </w:tc>
        <w:tc>
          <w:tcPr>
            <w:tcW w:w="1237" w:type="dxa"/>
            <w:vMerge w:val="continue"/>
            <w:vAlign w:val="center"/>
          </w:tcPr>
          <w:p>
            <w:pPr>
              <w:widowControl/>
              <w:jc w:val="center"/>
              <w:textAlignment w:val="center"/>
              <w:rPr>
                <w:rFonts w:ascii="宋体"/>
                <w:color w:val="000000" w:themeColor="text1"/>
                <w:sz w:val="18"/>
              </w:rPr>
            </w:pPr>
          </w:p>
        </w:tc>
        <w:tc>
          <w:tcPr>
            <w:tcW w:w="1297" w:type="dxa"/>
            <w:vMerge w:val="continue"/>
            <w:vAlign w:val="center"/>
          </w:tcPr>
          <w:p>
            <w:pPr>
              <w:widowControl/>
              <w:jc w:val="center"/>
              <w:textAlignment w:val="center"/>
              <w:rPr>
                <w:rFonts w:ascii="宋体"/>
                <w:color w:val="000000" w:themeColor="text1"/>
                <w:sz w:val="18"/>
              </w:rPr>
            </w:pP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51</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参与培训</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□组织专职工作人员参加相关部门组织的业务和内部培训达到人均2次/年（10分）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□组织专职工作人员参加相关部门组织的业务和内部培训达到人均1次/年（5分）                                                                               □未组织专职工作人员参加相关部门组织的业务和内部培训达（0分）</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pPr>
              <w:pStyle w:val="6"/>
              <w:ind w:firstLine="0" w:firstLineChars="0"/>
              <w:rPr>
                <w:color w:val="000000" w:themeColor="text1"/>
                <w:szCs w:val="18"/>
              </w:rPr>
            </w:pPr>
          </w:p>
        </w:tc>
        <w:tc>
          <w:tcPr>
            <w:tcW w:w="1237" w:type="dxa"/>
            <w:vMerge w:val="continue"/>
          </w:tcPr>
          <w:p>
            <w:pPr>
              <w:pStyle w:val="6"/>
              <w:ind w:firstLine="0" w:firstLineChars="0"/>
              <w:rPr>
                <w:color w:val="000000" w:themeColor="text1"/>
                <w:szCs w:val="18"/>
              </w:rPr>
            </w:pPr>
          </w:p>
        </w:tc>
        <w:tc>
          <w:tcPr>
            <w:tcW w:w="1297" w:type="dxa"/>
            <w:vMerge w:val="restart"/>
          </w:tcPr>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人事管理  制度   （20分）</w:t>
            </w: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color w:val="000000" w:themeColor="text1"/>
                <w:sz w:val="18"/>
              </w:rPr>
            </w:pPr>
            <w:r>
              <w:rPr>
                <w:rFonts w:hint="eastAsia" w:ascii="宋体" w:hAnsi="宋体" w:cs="宋体"/>
                <w:color w:val="000000" w:themeColor="text1"/>
                <w:kern w:val="0"/>
                <w:sz w:val="24"/>
              </w:rPr>
              <w:t>人事管理  制度   （20分）</w:t>
            </w: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52</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工作职责                        （5分）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□有明确详细的职责分工表，且安排合理（5分）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□有较为详细的职责分工表（3分） </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□未制定职责分工表（0分）     </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241" w:type="dxa"/>
            <w:vMerge w:val="continue"/>
          </w:tcPr>
          <w:p>
            <w:pPr>
              <w:pStyle w:val="6"/>
              <w:ind w:firstLine="0" w:firstLineChars="0"/>
              <w:rPr>
                <w:color w:val="000000" w:themeColor="text1"/>
                <w:szCs w:val="18"/>
              </w:rPr>
            </w:pPr>
          </w:p>
        </w:tc>
        <w:tc>
          <w:tcPr>
            <w:tcW w:w="1237" w:type="dxa"/>
            <w:vMerge w:val="continue"/>
          </w:tcPr>
          <w:p>
            <w:pPr>
              <w:pStyle w:val="6"/>
              <w:ind w:firstLine="0" w:firstLineChars="0"/>
              <w:rPr>
                <w:color w:val="000000" w:themeColor="text1"/>
                <w:szCs w:val="18"/>
              </w:rPr>
            </w:pPr>
          </w:p>
        </w:tc>
        <w:tc>
          <w:tcPr>
            <w:tcW w:w="1297" w:type="dxa"/>
            <w:vMerge w:val="continue"/>
          </w:tcPr>
          <w:p>
            <w:pPr>
              <w:pStyle w:val="6"/>
              <w:rPr>
                <w:color w:val="000000" w:themeColor="text1"/>
                <w:szCs w:val="18"/>
              </w:rPr>
            </w:pP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53</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管理制度                   （5分）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□工作人员日常管理制度详细（5分）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□工作人员日常管理制度较为详细（3分）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□未制定工作人员日常管理制度（0分）                                                                      </w:t>
            </w:r>
            <w:r>
              <w:rPr>
                <w:rFonts w:hint="eastAsia" w:ascii="宋体" w:hAnsi="宋体" w:cs="宋体"/>
                <w:b/>
                <w:color w:val="000000" w:themeColor="text1"/>
                <w:kern w:val="0"/>
                <w:sz w:val="24"/>
              </w:rPr>
              <w:t>注：管理制度包括薪酬、奖惩、考勤休假、聘用、绩效考核制度，每项1分。</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241" w:type="dxa"/>
            <w:vMerge w:val="continue"/>
          </w:tcPr>
          <w:p>
            <w:pPr>
              <w:pStyle w:val="6"/>
              <w:ind w:firstLine="0" w:firstLineChars="0"/>
              <w:rPr>
                <w:color w:val="000000" w:themeColor="text1"/>
                <w:szCs w:val="18"/>
              </w:rPr>
            </w:pPr>
          </w:p>
        </w:tc>
        <w:tc>
          <w:tcPr>
            <w:tcW w:w="1237" w:type="dxa"/>
            <w:vMerge w:val="continue"/>
          </w:tcPr>
          <w:p>
            <w:pPr>
              <w:pStyle w:val="6"/>
              <w:ind w:firstLine="0" w:firstLineChars="0"/>
              <w:rPr>
                <w:color w:val="000000" w:themeColor="text1"/>
                <w:szCs w:val="18"/>
              </w:rPr>
            </w:pPr>
          </w:p>
        </w:tc>
        <w:tc>
          <w:tcPr>
            <w:tcW w:w="1297" w:type="dxa"/>
            <w:vMerge w:val="continue"/>
          </w:tcPr>
          <w:p>
            <w:pPr>
              <w:pStyle w:val="6"/>
              <w:rPr>
                <w:color w:val="000000" w:themeColor="text1"/>
                <w:szCs w:val="18"/>
              </w:rPr>
            </w:pP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54</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劳动合同               （5分）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□与全部专职工作人员签订劳动合同（5分）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□未与专职工作人员签订劳动合同（0分）</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pPr>
              <w:pStyle w:val="6"/>
              <w:ind w:firstLine="0" w:firstLineChars="0"/>
              <w:rPr>
                <w:color w:val="000000" w:themeColor="text1"/>
                <w:szCs w:val="18"/>
              </w:rPr>
            </w:pPr>
          </w:p>
        </w:tc>
        <w:tc>
          <w:tcPr>
            <w:tcW w:w="1237" w:type="dxa"/>
            <w:vMerge w:val="continue"/>
            <w:vAlign w:val="center"/>
          </w:tcPr>
          <w:p>
            <w:pPr>
              <w:jc w:val="center"/>
              <w:rPr>
                <w:rFonts w:ascii="宋体"/>
                <w:color w:val="000000" w:themeColor="text1"/>
                <w:sz w:val="18"/>
              </w:rPr>
            </w:pPr>
          </w:p>
        </w:tc>
        <w:tc>
          <w:tcPr>
            <w:tcW w:w="1297" w:type="dxa"/>
            <w:vMerge w:val="continue"/>
            <w:vAlign w:val="center"/>
          </w:tcPr>
          <w:p>
            <w:pPr>
              <w:widowControl/>
              <w:jc w:val="center"/>
              <w:textAlignment w:val="center"/>
              <w:rPr>
                <w:rFonts w:ascii="宋体"/>
                <w:color w:val="000000" w:themeColor="text1"/>
                <w:sz w:val="18"/>
              </w:rPr>
            </w:pP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55</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社会保险和住房公积金</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（5分）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□为全部专职工作人员缴纳五险一金（5分）                                             □为全部专职工作人员缴纳五险，但未购买住房公积金（3分）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□为部分或未为专职员工缴纳五险一金（0分）                                                        </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241" w:type="dxa"/>
            <w:vMerge w:val="continue"/>
          </w:tcPr>
          <w:p>
            <w:pPr>
              <w:pStyle w:val="6"/>
              <w:ind w:firstLine="0" w:firstLineChars="0"/>
              <w:rPr>
                <w:color w:val="000000" w:themeColor="text1"/>
                <w:szCs w:val="18"/>
              </w:rPr>
            </w:pPr>
          </w:p>
        </w:tc>
        <w:tc>
          <w:tcPr>
            <w:tcW w:w="1237" w:type="dxa"/>
            <w:vMerge w:val="restart"/>
            <w:vAlign w:val="center"/>
          </w:tcPr>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财务管理（200分）</w:t>
            </w: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财务管理（200分）</w:t>
            </w: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财务管理（200分）</w:t>
            </w: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财务管理（200分）</w:t>
            </w: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财务管理（200分）</w:t>
            </w: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color w:val="000000" w:themeColor="text1"/>
                <w:sz w:val="18"/>
              </w:rPr>
            </w:pPr>
          </w:p>
        </w:tc>
        <w:tc>
          <w:tcPr>
            <w:tcW w:w="1297" w:type="dxa"/>
            <w:vMerge w:val="restart"/>
            <w:vAlign w:val="center"/>
          </w:tcPr>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合法运营</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（35分）</w:t>
            </w: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color w:val="000000" w:themeColor="text1"/>
                <w:sz w:val="18"/>
              </w:rPr>
            </w:pP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56</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经费来源和资金使用</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（20分）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□未发现违反国家政策法规、章程规定的事项发生（20分）                                                                                  □存在以下事项的，不得分：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（1）存在侵占、私分、挪用资产、发生有失公允的关联交易、违规支付佣金或回扣、违规进行资金拆借</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（2）存在账外资金或小金库</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（3）存在违规收费行为，包括违反规定接受和使用捐赠、资助，捐赠专用收据</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（4）存在使用不合规凭证或票据列支费用                                                                  </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pPr>
              <w:pStyle w:val="6"/>
              <w:ind w:firstLine="0" w:firstLineChars="0"/>
              <w:rPr>
                <w:color w:val="000000" w:themeColor="text1"/>
                <w:szCs w:val="18"/>
              </w:rPr>
            </w:pPr>
          </w:p>
        </w:tc>
        <w:tc>
          <w:tcPr>
            <w:tcW w:w="1237" w:type="dxa"/>
            <w:vMerge w:val="continue"/>
          </w:tcPr>
          <w:p>
            <w:pPr>
              <w:pStyle w:val="6"/>
              <w:ind w:firstLine="0" w:firstLineChars="0"/>
              <w:rPr>
                <w:color w:val="000000" w:themeColor="text1"/>
                <w:szCs w:val="18"/>
              </w:rPr>
            </w:pPr>
          </w:p>
        </w:tc>
        <w:tc>
          <w:tcPr>
            <w:tcW w:w="1297" w:type="dxa"/>
            <w:vMerge w:val="continue"/>
          </w:tcPr>
          <w:p>
            <w:pPr>
              <w:pStyle w:val="6"/>
              <w:rPr>
                <w:color w:val="000000" w:themeColor="text1"/>
                <w:szCs w:val="18"/>
              </w:rPr>
            </w:pP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57</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资金列入规定的单位账簿</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（5分）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□全部资金列入符合规定的单位账簿（5分）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□存在资金未列入符合规定的单位账簿（0分）</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241" w:type="dxa"/>
            <w:vMerge w:val="continue"/>
          </w:tcPr>
          <w:p>
            <w:pPr>
              <w:pStyle w:val="6"/>
              <w:ind w:firstLine="0" w:firstLineChars="0"/>
              <w:rPr>
                <w:color w:val="000000" w:themeColor="text1"/>
                <w:szCs w:val="18"/>
              </w:rPr>
            </w:pPr>
          </w:p>
        </w:tc>
        <w:tc>
          <w:tcPr>
            <w:tcW w:w="1237" w:type="dxa"/>
            <w:vMerge w:val="continue"/>
            <w:vAlign w:val="center"/>
          </w:tcPr>
          <w:p>
            <w:pPr>
              <w:jc w:val="center"/>
              <w:rPr>
                <w:rFonts w:ascii="宋体"/>
                <w:color w:val="000000" w:themeColor="text1"/>
                <w:sz w:val="18"/>
              </w:rPr>
            </w:pPr>
          </w:p>
        </w:tc>
        <w:tc>
          <w:tcPr>
            <w:tcW w:w="1297" w:type="dxa"/>
            <w:vMerge w:val="continue"/>
            <w:vAlign w:val="center"/>
          </w:tcPr>
          <w:p>
            <w:pPr>
              <w:widowControl/>
              <w:jc w:val="center"/>
              <w:textAlignment w:val="center"/>
              <w:rPr>
                <w:rFonts w:ascii="宋体"/>
                <w:color w:val="000000" w:themeColor="text1"/>
                <w:sz w:val="18"/>
              </w:rPr>
            </w:pP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58</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税务登记</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（5分）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□按规定办理税务登记及备案、变更手续（5分）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□未按规定办理税务登记及备案、变更手续（0分）        </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1241" w:type="dxa"/>
            <w:vMerge w:val="continue"/>
          </w:tcPr>
          <w:p>
            <w:pPr>
              <w:pStyle w:val="6"/>
              <w:ind w:firstLine="0" w:firstLineChars="0"/>
              <w:rPr>
                <w:color w:val="000000" w:themeColor="text1"/>
                <w:szCs w:val="18"/>
              </w:rPr>
            </w:pPr>
          </w:p>
        </w:tc>
        <w:tc>
          <w:tcPr>
            <w:tcW w:w="1237" w:type="dxa"/>
            <w:vMerge w:val="continue"/>
            <w:vAlign w:val="center"/>
          </w:tcPr>
          <w:p>
            <w:pPr>
              <w:widowControl/>
              <w:jc w:val="center"/>
              <w:textAlignment w:val="center"/>
              <w:rPr>
                <w:rFonts w:ascii="宋体"/>
                <w:color w:val="000000" w:themeColor="text1"/>
                <w:sz w:val="18"/>
              </w:rPr>
            </w:pPr>
          </w:p>
        </w:tc>
        <w:tc>
          <w:tcPr>
            <w:tcW w:w="1297" w:type="dxa"/>
            <w:vMerge w:val="continue"/>
            <w:vAlign w:val="center"/>
          </w:tcPr>
          <w:p>
            <w:pPr>
              <w:widowControl/>
              <w:jc w:val="center"/>
              <w:textAlignment w:val="center"/>
              <w:rPr>
                <w:rFonts w:ascii="宋体"/>
                <w:color w:val="000000" w:themeColor="text1"/>
                <w:sz w:val="18"/>
              </w:rPr>
            </w:pP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59</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纳税申报缴纳</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（5分）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□按规定申报、缴纳增值税、企业所得税、房产税、印花税等（5分）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□存在未按规定申报、缴纳的情况（0分）</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pPr>
              <w:pStyle w:val="6"/>
              <w:ind w:firstLine="0" w:firstLineChars="0"/>
              <w:rPr>
                <w:color w:val="000000" w:themeColor="text1"/>
                <w:szCs w:val="18"/>
              </w:rPr>
            </w:pPr>
          </w:p>
        </w:tc>
        <w:tc>
          <w:tcPr>
            <w:tcW w:w="1237" w:type="dxa"/>
            <w:vMerge w:val="continue"/>
            <w:vAlign w:val="center"/>
          </w:tcPr>
          <w:p>
            <w:pPr>
              <w:jc w:val="center"/>
              <w:rPr>
                <w:rFonts w:ascii="宋体"/>
                <w:color w:val="000000" w:themeColor="text1"/>
                <w:sz w:val="18"/>
              </w:rPr>
            </w:pPr>
          </w:p>
        </w:tc>
        <w:tc>
          <w:tcPr>
            <w:tcW w:w="1297" w:type="dxa"/>
            <w:vMerge w:val="restart"/>
            <w:vAlign w:val="center"/>
          </w:tcPr>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color w:val="000000" w:themeColor="text1"/>
                <w:sz w:val="18"/>
              </w:rPr>
            </w:pPr>
            <w:r>
              <w:rPr>
                <w:rFonts w:hint="eastAsia" w:ascii="宋体" w:hAnsi="宋体" w:cs="宋体"/>
                <w:color w:val="000000" w:themeColor="text1"/>
                <w:kern w:val="0"/>
                <w:sz w:val="24"/>
              </w:rPr>
              <w:t>会计人员</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（10分）</w:t>
            </w: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60</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会计人员配备情况</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（6分）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□配备2名及以上具有有有会计证或会计职称的专职工作人员负责财务工作（6分）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□由主管（挂靠）、代理记账公司等代理记账、或外单位人员兼任会计（3分）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□没有会计人员负责财务工作（0分）</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241" w:type="dxa"/>
            <w:vMerge w:val="continue"/>
          </w:tcPr>
          <w:p>
            <w:pPr>
              <w:pStyle w:val="6"/>
              <w:ind w:firstLine="0" w:firstLineChars="0"/>
              <w:rPr>
                <w:color w:val="000000" w:themeColor="text1"/>
                <w:szCs w:val="18"/>
              </w:rPr>
            </w:pPr>
          </w:p>
        </w:tc>
        <w:tc>
          <w:tcPr>
            <w:tcW w:w="1237" w:type="dxa"/>
            <w:vMerge w:val="continue"/>
          </w:tcPr>
          <w:p>
            <w:pPr>
              <w:pStyle w:val="6"/>
              <w:ind w:firstLine="0" w:firstLineChars="0"/>
              <w:rPr>
                <w:color w:val="000000" w:themeColor="text1"/>
                <w:szCs w:val="18"/>
              </w:rPr>
            </w:pPr>
          </w:p>
        </w:tc>
        <w:tc>
          <w:tcPr>
            <w:tcW w:w="1297" w:type="dxa"/>
            <w:vMerge w:val="continue"/>
          </w:tcPr>
          <w:p>
            <w:pPr>
              <w:pStyle w:val="6"/>
              <w:rPr>
                <w:color w:val="000000" w:themeColor="text1"/>
                <w:szCs w:val="18"/>
              </w:rPr>
            </w:pP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61</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会计人员岗位职责</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（4分）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□会计岗位设置合理且各个岗位会计人员的职责明确（4分）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□会计岗位设置不合理或岗位职责不明确（2分）</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pPr>
              <w:pStyle w:val="6"/>
              <w:ind w:firstLine="0" w:firstLineChars="0"/>
              <w:rPr>
                <w:color w:val="000000" w:themeColor="text1"/>
                <w:szCs w:val="18"/>
              </w:rPr>
            </w:pPr>
          </w:p>
        </w:tc>
        <w:tc>
          <w:tcPr>
            <w:tcW w:w="1237" w:type="dxa"/>
            <w:vMerge w:val="continue"/>
          </w:tcPr>
          <w:p>
            <w:pPr>
              <w:pStyle w:val="6"/>
              <w:ind w:firstLine="0" w:firstLineChars="0"/>
              <w:rPr>
                <w:color w:val="000000" w:themeColor="text1"/>
                <w:szCs w:val="18"/>
              </w:rPr>
            </w:pPr>
          </w:p>
        </w:tc>
        <w:tc>
          <w:tcPr>
            <w:tcW w:w="1297" w:type="dxa"/>
            <w:vMerge w:val="restart"/>
            <w:vAlign w:val="center"/>
          </w:tcPr>
          <w:p>
            <w:pPr>
              <w:widowControl/>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法定活动 资金</w:t>
            </w:r>
          </w:p>
          <w:p>
            <w:pPr>
              <w:widowControl/>
              <w:jc w:val="center"/>
              <w:textAlignment w:val="center"/>
              <w:rPr>
                <w:rFonts w:ascii="宋体"/>
                <w:color w:val="000000" w:themeColor="text1"/>
                <w:sz w:val="18"/>
              </w:rPr>
            </w:pPr>
            <w:r>
              <w:rPr>
                <w:rFonts w:hint="eastAsia" w:ascii="宋体" w:hAnsi="宋体" w:cs="宋体"/>
                <w:color w:val="000000" w:themeColor="text1"/>
                <w:kern w:val="0"/>
                <w:sz w:val="24"/>
              </w:rPr>
              <w:t xml:space="preserve"> （10分）</w:t>
            </w: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62</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银行账户</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（5分）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□开立独立银行账户且账户状态正常（5分）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□开立独立银行账户但账户状态受限（3分）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□未开立独立银行账户（0分）</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241" w:type="dxa"/>
            <w:vMerge w:val="continue"/>
          </w:tcPr>
          <w:p>
            <w:pPr>
              <w:pStyle w:val="6"/>
              <w:ind w:firstLine="0" w:firstLineChars="0"/>
              <w:rPr>
                <w:color w:val="000000" w:themeColor="text1"/>
                <w:szCs w:val="18"/>
              </w:rPr>
            </w:pPr>
          </w:p>
        </w:tc>
        <w:tc>
          <w:tcPr>
            <w:tcW w:w="1237" w:type="dxa"/>
            <w:vMerge w:val="continue"/>
            <w:vAlign w:val="center"/>
          </w:tcPr>
          <w:p>
            <w:pPr>
              <w:widowControl/>
              <w:jc w:val="center"/>
              <w:textAlignment w:val="center"/>
              <w:rPr>
                <w:rFonts w:ascii="宋体"/>
                <w:color w:val="000000" w:themeColor="text1"/>
                <w:sz w:val="18"/>
              </w:rPr>
            </w:pPr>
          </w:p>
        </w:tc>
        <w:tc>
          <w:tcPr>
            <w:tcW w:w="1297" w:type="dxa"/>
            <w:vMerge w:val="continue"/>
            <w:vAlign w:val="center"/>
          </w:tcPr>
          <w:p>
            <w:pPr>
              <w:widowControl/>
              <w:jc w:val="center"/>
              <w:textAlignment w:val="center"/>
              <w:rPr>
                <w:rFonts w:ascii="宋体"/>
                <w:color w:val="000000" w:themeColor="text1"/>
                <w:sz w:val="18"/>
              </w:rPr>
            </w:pP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63</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年末净资产      （5分）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□上年末净资产不低于登记的注册资金，且未发现存在抽逃注册资金的行为（5分）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□上年末净资产低于登记的注册资金，但未发现存在抽逃注册资金的行为（2分）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□上年末净资产低于登记注册资金，且发现存在抽逃注册资金的行为（0分）</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pPr>
              <w:pStyle w:val="6"/>
              <w:ind w:firstLine="0" w:firstLineChars="0"/>
              <w:rPr>
                <w:color w:val="000000" w:themeColor="text1"/>
                <w:szCs w:val="18"/>
              </w:rPr>
            </w:pPr>
          </w:p>
        </w:tc>
        <w:tc>
          <w:tcPr>
            <w:tcW w:w="1237" w:type="dxa"/>
            <w:vMerge w:val="continue"/>
          </w:tcPr>
          <w:p>
            <w:pPr>
              <w:pStyle w:val="6"/>
              <w:ind w:firstLine="0" w:firstLineChars="0"/>
              <w:rPr>
                <w:color w:val="000000" w:themeColor="text1"/>
                <w:szCs w:val="18"/>
              </w:rPr>
            </w:pPr>
          </w:p>
        </w:tc>
        <w:tc>
          <w:tcPr>
            <w:tcW w:w="1297" w:type="dxa"/>
            <w:vMerge w:val="restart"/>
            <w:vAlign w:val="center"/>
          </w:tcPr>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会计核算   （30分）</w:t>
            </w:r>
          </w:p>
          <w:p>
            <w:pPr>
              <w:widowControl/>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会计核算   （30分）</w:t>
            </w: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color w:val="000000" w:themeColor="text1"/>
                <w:sz w:val="18"/>
              </w:rPr>
            </w:pPr>
          </w:p>
        </w:tc>
        <w:tc>
          <w:tcPr>
            <w:tcW w:w="790" w:type="dxa"/>
            <w:vAlign w:val="center"/>
          </w:tcPr>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64</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执行《民间非营利组织会计制度》情况</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（25分）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 xml:space="preserve">□完全执行《民间非营利组织会计制度》，且会计核算方面无明显问题或不足 （25分） </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□未执行《民间非营利组织会计制度》（0分）                                                                                                               □执行《民间非营利组织会计制度》，但出现以下会计核算问题，每项扣2分，扣完25分为止</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（1）过分依赖挂靠单位，会计核算独立性较差</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（2）收支在往来科目中核算，余额结转净资产，或收入长期挂账</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（3）虚列费用或预提费用计提依据不足（或附件不齐备）</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（4）账账、账表不符</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（5）未严格按《民间非营利组织会计制度》设置会计科目</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（6）未严格按《民间非营利组织会计制度》要求编制记账凭证和财务报表</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（7）固定资产未按规定计提折旧或计提不准确</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（8）未按规定提取各项减值准备</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（9）已形成的资产损失未及时清理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（10）库存现金余额大或经常使用大额现金</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（11）未按月编制银行存款余额调节表；</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（12）原始凭证不齐全或内容不完整</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（13）账簿登记不及时或未及时打印电脑账页</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（14）其他不符合《民间非营利组织会计制度》或核算不规范的情况</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241" w:type="dxa"/>
            <w:vMerge w:val="continue"/>
          </w:tcPr>
          <w:p>
            <w:pPr>
              <w:pStyle w:val="6"/>
              <w:ind w:firstLine="0" w:firstLineChars="0"/>
              <w:rPr>
                <w:color w:val="000000" w:themeColor="text1"/>
                <w:szCs w:val="18"/>
              </w:rPr>
            </w:pPr>
          </w:p>
        </w:tc>
        <w:tc>
          <w:tcPr>
            <w:tcW w:w="1237" w:type="dxa"/>
            <w:vMerge w:val="continue"/>
          </w:tcPr>
          <w:p>
            <w:pPr>
              <w:pStyle w:val="6"/>
              <w:ind w:firstLine="0" w:firstLineChars="0"/>
              <w:rPr>
                <w:color w:val="000000" w:themeColor="text1"/>
                <w:szCs w:val="18"/>
              </w:rPr>
            </w:pPr>
          </w:p>
        </w:tc>
        <w:tc>
          <w:tcPr>
            <w:tcW w:w="1297" w:type="dxa"/>
            <w:vMerge w:val="continue"/>
          </w:tcPr>
          <w:p>
            <w:pPr>
              <w:pStyle w:val="6"/>
              <w:rPr>
                <w:color w:val="000000" w:themeColor="text1"/>
                <w:szCs w:val="18"/>
              </w:rPr>
            </w:pP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65</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会计电算化</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（5分）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□会计核算实行电算化（5分）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□会计核算未实行电算化（0分）</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pPr>
              <w:pStyle w:val="6"/>
              <w:ind w:firstLine="0" w:firstLineChars="0"/>
              <w:rPr>
                <w:color w:val="000000" w:themeColor="text1"/>
                <w:szCs w:val="18"/>
              </w:rPr>
            </w:pPr>
          </w:p>
        </w:tc>
        <w:tc>
          <w:tcPr>
            <w:tcW w:w="1237" w:type="dxa"/>
            <w:vMerge w:val="continue"/>
            <w:vAlign w:val="center"/>
          </w:tcPr>
          <w:p>
            <w:pPr>
              <w:widowControl/>
              <w:jc w:val="center"/>
              <w:textAlignment w:val="center"/>
              <w:rPr>
                <w:rFonts w:ascii="宋体"/>
                <w:color w:val="000000" w:themeColor="text1"/>
                <w:sz w:val="18"/>
              </w:rPr>
            </w:pPr>
          </w:p>
        </w:tc>
        <w:tc>
          <w:tcPr>
            <w:tcW w:w="1297" w:type="dxa"/>
            <w:vMerge w:val="restart"/>
            <w:vAlign w:val="center"/>
          </w:tcPr>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财务管理 执行</w:t>
            </w: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（25分）</w:t>
            </w: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财务管理 执行</w:t>
            </w:r>
          </w:p>
          <w:p>
            <w:pPr>
              <w:widowControl/>
              <w:jc w:val="center"/>
              <w:textAlignment w:val="center"/>
              <w:rPr>
                <w:rFonts w:ascii="宋体"/>
                <w:color w:val="000000" w:themeColor="text1"/>
                <w:sz w:val="18"/>
              </w:rPr>
            </w:pPr>
            <w:r>
              <w:rPr>
                <w:rFonts w:hint="eastAsia" w:ascii="宋体" w:hAnsi="宋体" w:cs="宋体"/>
                <w:color w:val="000000" w:themeColor="text1"/>
                <w:kern w:val="0"/>
                <w:sz w:val="24"/>
              </w:rPr>
              <w:t>（25分）</w:t>
            </w: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66</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财务管理制度</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□制定了完善的内部财务管理制度（10分）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□制定了较为完善内部财务管理制度（5分）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□制定了简单的内部财务管理制度（2分）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□未制定内部财务管理制度（0分）                                                                                             </w:t>
            </w:r>
            <w:r>
              <w:rPr>
                <w:rFonts w:hint="eastAsia" w:ascii="宋体" w:hAnsi="宋体" w:cs="宋体"/>
                <w:b/>
                <w:color w:val="000000" w:themeColor="text1"/>
                <w:kern w:val="0"/>
                <w:sz w:val="24"/>
              </w:rPr>
              <w:t>注：内部财务制度的规范性由财务专家根据《民间非营利组织会计制度》的条款确定</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1241" w:type="dxa"/>
            <w:vMerge w:val="continue"/>
          </w:tcPr>
          <w:p>
            <w:pPr>
              <w:pStyle w:val="6"/>
              <w:ind w:firstLine="0" w:firstLineChars="0"/>
              <w:rPr>
                <w:color w:val="000000" w:themeColor="text1"/>
                <w:szCs w:val="18"/>
              </w:rPr>
            </w:pPr>
          </w:p>
        </w:tc>
        <w:tc>
          <w:tcPr>
            <w:tcW w:w="1237" w:type="dxa"/>
            <w:vMerge w:val="continue"/>
          </w:tcPr>
          <w:p>
            <w:pPr>
              <w:pStyle w:val="6"/>
              <w:ind w:firstLine="0" w:firstLineChars="0"/>
              <w:rPr>
                <w:color w:val="000000" w:themeColor="text1"/>
                <w:szCs w:val="18"/>
              </w:rPr>
            </w:pPr>
          </w:p>
        </w:tc>
        <w:tc>
          <w:tcPr>
            <w:tcW w:w="1297" w:type="dxa"/>
            <w:vMerge w:val="continue"/>
          </w:tcPr>
          <w:p>
            <w:pPr>
              <w:pStyle w:val="6"/>
              <w:rPr>
                <w:color w:val="000000" w:themeColor="text1"/>
                <w:szCs w:val="18"/>
              </w:rPr>
            </w:pP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67</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执行情况</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（5分）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□严格执行各项内部财务管理制度（5分）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□较好执行各项内部财务管理制度（3分）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□各项内部财务管理制度执行较差（1分）</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241" w:type="dxa"/>
            <w:vMerge w:val="continue"/>
          </w:tcPr>
          <w:p>
            <w:pPr>
              <w:pStyle w:val="6"/>
              <w:ind w:firstLine="0" w:firstLineChars="0"/>
              <w:rPr>
                <w:color w:val="000000" w:themeColor="text1"/>
                <w:szCs w:val="18"/>
              </w:rPr>
            </w:pPr>
          </w:p>
        </w:tc>
        <w:tc>
          <w:tcPr>
            <w:tcW w:w="1237" w:type="dxa"/>
            <w:vMerge w:val="continue"/>
          </w:tcPr>
          <w:p>
            <w:pPr>
              <w:pStyle w:val="6"/>
              <w:ind w:firstLine="0" w:firstLineChars="0"/>
              <w:rPr>
                <w:color w:val="000000" w:themeColor="text1"/>
                <w:szCs w:val="18"/>
              </w:rPr>
            </w:pPr>
          </w:p>
        </w:tc>
        <w:tc>
          <w:tcPr>
            <w:tcW w:w="1297" w:type="dxa"/>
            <w:vMerge w:val="continue"/>
          </w:tcPr>
          <w:p>
            <w:pPr>
              <w:pStyle w:val="6"/>
              <w:rPr>
                <w:color w:val="000000" w:themeColor="text1"/>
                <w:szCs w:val="18"/>
              </w:rPr>
            </w:pP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68</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支出、审批权限</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（5分）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□财务制度中有明确规定的支出、审批权限，并且支出、审批手续齐全（5分）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□财务制度中没有明确规定的支出、审批权限，或支出、审批手续不齐全（0分）</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pPr>
              <w:pStyle w:val="6"/>
              <w:ind w:firstLine="0" w:firstLineChars="0"/>
              <w:rPr>
                <w:color w:val="000000" w:themeColor="text1"/>
                <w:szCs w:val="18"/>
              </w:rPr>
            </w:pPr>
          </w:p>
        </w:tc>
        <w:tc>
          <w:tcPr>
            <w:tcW w:w="1237" w:type="dxa"/>
            <w:vMerge w:val="continue"/>
          </w:tcPr>
          <w:p>
            <w:pPr>
              <w:pStyle w:val="6"/>
              <w:ind w:firstLine="0" w:firstLineChars="0"/>
              <w:rPr>
                <w:color w:val="000000" w:themeColor="text1"/>
                <w:szCs w:val="18"/>
              </w:rPr>
            </w:pPr>
          </w:p>
        </w:tc>
        <w:tc>
          <w:tcPr>
            <w:tcW w:w="1297" w:type="dxa"/>
            <w:vMerge w:val="continue"/>
          </w:tcPr>
          <w:p>
            <w:pPr>
              <w:pStyle w:val="6"/>
              <w:rPr>
                <w:color w:val="000000" w:themeColor="text1"/>
                <w:szCs w:val="18"/>
              </w:rPr>
            </w:pP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69</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负责人经手开支的监督情况</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（5分）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□单位负责人经手的开支，经其他领导签章，且未发现单位领导人的支出由其他人做经手人单位负责人自行审批的情况（5）</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□单位负责人经手的开支，发现存在未经其他领导签章，或由其他人做经手人单位负责人自行审批的情况（0）</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pPr>
              <w:pStyle w:val="6"/>
              <w:ind w:firstLine="0" w:firstLineChars="0"/>
              <w:rPr>
                <w:color w:val="000000" w:themeColor="text1"/>
                <w:szCs w:val="18"/>
              </w:rPr>
            </w:pPr>
          </w:p>
        </w:tc>
        <w:tc>
          <w:tcPr>
            <w:tcW w:w="1237" w:type="dxa"/>
            <w:vMerge w:val="continue"/>
          </w:tcPr>
          <w:p>
            <w:pPr>
              <w:pStyle w:val="6"/>
              <w:ind w:firstLine="0" w:firstLineChars="0"/>
              <w:rPr>
                <w:color w:val="000000" w:themeColor="text1"/>
                <w:szCs w:val="18"/>
              </w:rPr>
            </w:pPr>
          </w:p>
        </w:tc>
        <w:tc>
          <w:tcPr>
            <w:tcW w:w="1297" w:type="dxa"/>
            <w:vMerge w:val="restart"/>
            <w:vAlign w:val="center"/>
          </w:tcPr>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资产管理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（60分）</w:t>
            </w: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资产管理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（60分）</w:t>
            </w:r>
          </w:p>
          <w:p>
            <w:pPr>
              <w:widowControl/>
              <w:jc w:val="center"/>
              <w:textAlignment w:val="center"/>
              <w:rPr>
                <w:rFonts w:ascii="宋体" w:hAnsi="宋体" w:cs="宋体"/>
                <w:color w:val="000000" w:themeColor="text1"/>
                <w:kern w:val="0"/>
                <w:sz w:val="24"/>
              </w:rPr>
            </w:pPr>
          </w:p>
          <w:p>
            <w:pPr>
              <w:widowControl/>
              <w:textAlignment w:val="center"/>
              <w:rPr>
                <w:rFonts w:ascii="宋体"/>
                <w:color w:val="000000" w:themeColor="text1"/>
                <w:sz w:val="18"/>
              </w:rPr>
            </w:pP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70</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资产增加情况              （12分）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□近两年，资产增幅高于20%（12）</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□近两年，资产增幅高于10%（8）</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□近两年，资产增幅高于5%（5）</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□近两年，资产增幅低于5%（1）</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241" w:type="dxa"/>
            <w:vMerge w:val="continue"/>
          </w:tcPr>
          <w:p>
            <w:pPr>
              <w:pStyle w:val="6"/>
              <w:ind w:firstLine="0" w:firstLineChars="0"/>
              <w:rPr>
                <w:color w:val="000000" w:themeColor="text1"/>
                <w:szCs w:val="18"/>
              </w:rPr>
            </w:pPr>
          </w:p>
        </w:tc>
        <w:tc>
          <w:tcPr>
            <w:tcW w:w="1237" w:type="dxa"/>
            <w:vMerge w:val="continue"/>
          </w:tcPr>
          <w:p>
            <w:pPr>
              <w:pStyle w:val="6"/>
              <w:ind w:firstLine="0" w:firstLineChars="0"/>
              <w:rPr>
                <w:color w:val="000000" w:themeColor="text1"/>
                <w:szCs w:val="18"/>
              </w:rPr>
            </w:pPr>
          </w:p>
        </w:tc>
        <w:tc>
          <w:tcPr>
            <w:tcW w:w="1297" w:type="dxa"/>
            <w:vMerge w:val="continue"/>
          </w:tcPr>
          <w:p>
            <w:pPr>
              <w:pStyle w:val="6"/>
              <w:rPr>
                <w:color w:val="000000" w:themeColor="text1"/>
                <w:szCs w:val="18"/>
              </w:rPr>
            </w:pP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71</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投资管理充分论证，跟踪监管，程序严格、防范风险、保障收益</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（12分）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查看相关会议决议、纪要等相关材料</w:t>
            </w:r>
          </w:p>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□投资管理事前论证，事后跟踪监督，严格程序、防范风险、保障收益或无投资项目（12分）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□投资管理未论证监督、未按程序、为保障收益或有投资不能提供相关材料（0分）</w:t>
            </w:r>
            <w:r>
              <w:rPr>
                <w:rFonts w:hint="eastAsia" w:ascii="宋体" w:hAnsi="宋体" w:cs="宋体"/>
                <w:color w:val="000000" w:themeColor="text1"/>
                <w:kern w:val="0"/>
                <w:sz w:val="24"/>
              </w:rPr>
              <w:br w:type="textWrapping"/>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241" w:type="dxa"/>
            <w:vMerge w:val="continue"/>
          </w:tcPr>
          <w:p>
            <w:pPr>
              <w:pStyle w:val="6"/>
              <w:ind w:firstLine="0" w:firstLineChars="0"/>
              <w:rPr>
                <w:color w:val="000000" w:themeColor="text1"/>
                <w:szCs w:val="18"/>
              </w:rPr>
            </w:pPr>
          </w:p>
        </w:tc>
        <w:tc>
          <w:tcPr>
            <w:tcW w:w="1237" w:type="dxa"/>
            <w:vMerge w:val="continue"/>
          </w:tcPr>
          <w:p>
            <w:pPr>
              <w:pStyle w:val="6"/>
              <w:ind w:firstLine="0" w:firstLineChars="0"/>
              <w:rPr>
                <w:color w:val="000000" w:themeColor="text1"/>
                <w:szCs w:val="18"/>
              </w:rPr>
            </w:pPr>
          </w:p>
        </w:tc>
        <w:tc>
          <w:tcPr>
            <w:tcW w:w="1297" w:type="dxa"/>
            <w:vMerge w:val="continue"/>
            <w:vAlign w:val="center"/>
          </w:tcPr>
          <w:p>
            <w:pPr>
              <w:widowControl/>
              <w:jc w:val="center"/>
              <w:textAlignment w:val="center"/>
              <w:rPr>
                <w:rFonts w:ascii="宋体"/>
                <w:color w:val="000000" w:themeColor="text1"/>
                <w:sz w:val="18"/>
              </w:rPr>
            </w:pP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72</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实物资产管理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（12分）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□实物资产购进、领用、保管、处置审批手续完善，定期盘点且对出现的盘亏、盘盈、毁损、减值情况及时进行处理（12分）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□实物资产购进、领用、保管、处置审批手续不完善，或未定期盘点及未对出现的盘亏、盘盈、毁损、减值情况及时进行处理（6分）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□实物资产购进、领用、保管、处置审批手续不完善，且未定期盘点及未对出现的盘亏、盘盈、毁损、减值情况及时进行处理（2分）    </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241" w:type="dxa"/>
            <w:vMerge w:val="continue"/>
          </w:tcPr>
          <w:p>
            <w:pPr>
              <w:pStyle w:val="6"/>
              <w:ind w:firstLine="0" w:firstLineChars="0"/>
              <w:rPr>
                <w:color w:val="000000" w:themeColor="text1"/>
                <w:szCs w:val="18"/>
              </w:rPr>
            </w:pPr>
          </w:p>
        </w:tc>
        <w:tc>
          <w:tcPr>
            <w:tcW w:w="1237" w:type="dxa"/>
            <w:vMerge w:val="continue"/>
          </w:tcPr>
          <w:p>
            <w:pPr>
              <w:pStyle w:val="6"/>
              <w:ind w:firstLine="0" w:firstLineChars="0"/>
              <w:rPr>
                <w:color w:val="000000" w:themeColor="text1"/>
                <w:szCs w:val="18"/>
              </w:rPr>
            </w:pPr>
          </w:p>
        </w:tc>
        <w:tc>
          <w:tcPr>
            <w:tcW w:w="1297" w:type="dxa"/>
            <w:vMerge w:val="continue"/>
          </w:tcPr>
          <w:p>
            <w:pPr>
              <w:pStyle w:val="6"/>
              <w:rPr>
                <w:color w:val="000000" w:themeColor="text1"/>
                <w:szCs w:val="18"/>
              </w:rPr>
            </w:pP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73</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固定资产管理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（12分）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□固定资产折旧年限确定合理且折旧计提准确（12分）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□固定资产折旧年限确定不合理或折旧计提不准确（3分）</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pPr>
              <w:pStyle w:val="6"/>
              <w:ind w:firstLine="0" w:firstLineChars="0"/>
              <w:rPr>
                <w:color w:val="000000" w:themeColor="text1"/>
                <w:szCs w:val="18"/>
              </w:rPr>
            </w:pPr>
          </w:p>
        </w:tc>
        <w:tc>
          <w:tcPr>
            <w:tcW w:w="1237" w:type="dxa"/>
            <w:vMerge w:val="continue"/>
          </w:tcPr>
          <w:p>
            <w:pPr>
              <w:pStyle w:val="6"/>
              <w:ind w:firstLine="0" w:firstLineChars="0"/>
              <w:rPr>
                <w:color w:val="000000" w:themeColor="text1"/>
                <w:szCs w:val="18"/>
              </w:rPr>
            </w:pPr>
          </w:p>
        </w:tc>
        <w:tc>
          <w:tcPr>
            <w:tcW w:w="1297" w:type="dxa"/>
            <w:vMerge w:val="continue"/>
            <w:vAlign w:val="center"/>
          </w:tcPr>
          <w:p>
            <w:pPr>
              <w:widowControl/>
              <w:jc w:val="center"/>
              <w:textAlignment w:val="center"/>
              <w:rPr>
                <w:rFonts w:ascii="宋体"/>
                <w:color w:val="000000" w:themeColor="text1"/>
                <w:sz w:val="18"/>
              </w:rPr>
            </w:pP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74</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捐赠资产管理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（12分）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□无接受捐赠及捐出的实物资产或对接受捐赠及捐出的资产按规定及时进行会计核算，手续齐全，未形成账外资产（12分）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□对接受捐赠及捐出的资产未按规定进行会计核算或形成账外资产（0分）</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241" w:type="dxa"/>
            <w:vMerge w:val="continue"/>
          </w:tcPr>
          <w:p>
            <w:pPr>
              <w:pStyle w:val="6"/>
              <w:ind w:firstLine="0" w:firstLineChars="0"/>
              <w:rPr>
                <w:color w:val="000000" w:themeColor="text1"/>
                <w:szCs w:val="18"/>
              </w:rPr>
            </w:pPr>
          </w:p>
        </w:tc>
        <w:tc>
          <w:tcPr>
            <w:tcW w:w="1237" w:type="dxa"/>
            <w:vMerge w:val="continue"/>
          </w:tcPr>
          <w:p>
            <w:pPr>
              <w:pStyle w:val="6"/>
              <w:ind w:firstLine="0" w:firstLineChars="0"/>
              <w:rPr>
                <w:color w:val="000000" w:themeColor="text1"/>
                <w:szCs w:val="18"/>
              </w:rPr>
            </w:pPr>
          </w:p>
        </w:tc>
        <w:tc>
          <w:tcPr>
            <w:tcW w:w="1297" w:type="dxa"/>
            <w:vMerge w:val="restart"/>
            <w:vAlign w:val="center"/>
          </w:tcPr>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票据管理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（10分）</w:t>
            </w:r>
          </w:p>
          <w:p>
            <w:pPr>
              <w:widowControl/>
              <w:jc w:val="center"/>
              <w:textAlignment w:val="center"/>
              <w:rPr>
                <w:rFonts w:ascii="宋体" w:hAnsi="宋体" w:cs="宋体"/>
                <w:color w:val="000000" w:themeColor="text1"/>
                <w:kern w:val="0"/>
                <w:sz w:val="24"/>
              </w:rPr>
            </w:pPr>
          </w:p>
          <w:p>
            <w:pPr>
              <w:widowControl/>
              <w:jc w:val="center"/>
              <w:textAlignment w:val="center"/>
              <w:rPr>
                <w:rFonts w:ascii="宋体"/>
                <w:color w:val="000000" w:themeColor="text1"/>
                <w:sz w:val="18"/>
              </w:rPr>
            </w:pP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75</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票据使用</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（5分）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□有票据的购入、领用、开具、交回等保管和使用登记记录（5分）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□无票据的购入、领用、开具、交回等保管和使用登记记录（0分）</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1" w:type="dxa"/>
            <w:vMerge w:val="continue"/>
          </w:tcPr>
          <w:p>
            <w:pPr>
              <w:pStyle w:val="6"/>
              <w:ind w:firstLine="0" w:firstLineChars="0"/>
              <w:rPr>
                <w:color w:val="000000" w:themeColor="text1"/>
                <w:szCs w:val="18"/>
              </w:rPr>
            </w:pPr>
          </w:p>
        </w:tc>
        <w:tc>
          <w:tcPr>
            <w:tcW w:w="1237" w:type="dxa"/>
            <w:vMerge w:val="continue"/>
          </w:tcPr>
          <w:p>
            <w:pPr>
              <w:pStyle w:val="6"/>
              <w:ind w:firstLine="0" w:firstLineChars="0"/>
              <w:rPr>
                <w:color w:val="000000" w:themeColor="text1"/>
                <w:szCs w:val="18"/>
              </w:rPr>
            </w:pPr>
          </w:p>
        </w:tc>
        <w:tc>
          <w:tcPr>
            <w:tcW w:w="1297" w:type="dxa"/>
            <w:vMerge w:val="continue"/>
            <w:vAlign w:val="center"/>
          </w:tcPr>
          <w:p>
            <w:pPr>
              <w:widowControl/>
              <w:jc w:val="center"/>
              <w:textAlignment w:val="center"/>
              <w:rPr>
                <w:rFonts w:ascii="宋体"/>
                <w:color w:val="000000" w:themeColor="text1"/>
                <w:sz w:val="18"/>
              </w:rPr>
            </w:pP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76</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票据管理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（5分）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□未发现使用不合规票据作为报销凭证（5分）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□发现使用不合规票据作为报销凭证（0分）</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241" w:type="dxa"/>
            <w:vMerge w:val="continue"/>
          </w:tcPr>
          <w:p>
            <w:pPr>
              <w:pStyle w:val="6"/>
              <w:ind w:firstLine="0" w:firstLineChars="0"/>
              <w:rPr>
                <w:color w:val="000000" w:themeColor="text1"/>
                <w:szCs w:val="18"/>
              </w:rPr>
            </w:pPr>
          </w:p>
        </w:tc>
        <w:tc>
          <w:tcPr>
            <w:tcW w:w="1237" w:type="dxa"/>
            <w:vMerge w:val="continue"/>
          </w:tcPr>
          <w:p>
            <w:pPr>
              <w:pStyle w:val="6"/>
              <w:ind w:firstLine="0" w:firstLineChars="0"/>
              <w:rPr>
                <w:color w:val="000000" w:themeColor="text1"/>
                <w:szCs w:val="18"/>
              </w:rPr>
            </w:pPr>
          </w:p>
        </w:tc>
        <w:tc>
          <w:tcPr>
            <w:tcW w:w="1297" w:type="dxa"/>
            <w:vMerge w:val="restart"/>
          </w:tcPr>
          <w:p>
            <w:pPr>
              <w:pStyle w:val="6"/>
              <w:ind w:firstLine="0" w:firstLineChars="0"/>
              <w:jc w:val="center"/>
              <w:rPr>
                <w:color w:val="000000" w:themeColor="text1"/>
                <w:sz w:val="24"/>
                <w:szCs w:val="24"/>
              </w:rPr>
            </w:pPr>
          </w:p>
          <w:p>
            <w:pPr>
              <w:pStyle w:val="6"/>
              <w:ind w:firstLine="0" w:firstLineChars="0"/>
              <w:jc w:val="center"/>
              <w:rPr>
                <w:color w:val="000000" w:themeColor="text1"/>
                <w:sz w:val="24"/>
                <w:szCs w:val="24"/>
              </w:rPr>
            </w:pPr>
          </w:p>
          <w:p>
            <w:pPr>
              <w:pStyle w:val="6"/>
              <w:ind w:firstLine="0" w:firstLineChars="0"/>
              <w:jc w:val="center"/>
              <w:rPr>
                <w:color w:val="000000" w:themeColor="text1"/>
                <w:sz w:val="24"/>
                <w:szCs w:val="24"/>
              </w:rPr>
            </w:pPr>
          </w:p>
          <w:p>
            <w:pPr>
              <w:pStyle w:val="6"/>
              <w:ind w:firstLine="0" w:firstLineChars="0"/>
              <w:rPr>
                <w:color w:val="000000" w:themeColor="text1"/>
                <w:sz w:val="24"/>
                <w:szCs w:val="24"/>
              </w:rPr>
            </w:pPr>
          </w:p>
          <w:p>
            <w:pPr>
              <w:pStyle w:val="6"/>
              <w:ind w:firstLine="0" w:firstLineChars="0"/>
              <w:jc w:val="center"/>
              <w:rPr>
                <w:color w:val="000000" w:themeColor="text1"/>
                <w:sz w:val="24"/>
                <w:szCs w:val="24"/>
              </w:rPr>
            </w:pPr>
          </w:p>
          <w:p>
            <w:pPr>
              <w:pStyle w:val="6"/>
              <w:ind w:firstLine="0" w:firstLineChars="0"/>
              <w:jc w:val="center"/>
              <w:rPr>
                <w:color w:val="000000" w:themeColor="text1"/>
                <w:sz w:val="24"/>
                <w:szCs w:val="24"/>
              </w:rPr>
            </w:pPr>
            <w:r>
              <w:rPr>
                <w:rFonts w:hint="eastAsia"/>
                <w:color w:val="000000" w:themeColor="text1"/>
                <w:sz w:val="24"/>
                <w:szCs w:val="24"/>
              </w:rPr>
              <w:t>财务报告和监督</w:t>
            </w:r>
          </w:p>
          <w:p>
            <w:pPr>
              <w:pStyle w:val="6"/>
              <w:ind w:firstLine="0" w:firstLineChars="0"/>
              <w:jc w:val="center"/>
              <w:rPr>
                <w:color w:val="000000" w:themeColor="text1"/>
                <w:sz w:val="24"/>
                <w:szCs w:val="24"/>
              </w:rPr>
            </w:pPr>
            <w:r>
              <w:rPr>
                <w:rFonts w:hint="eastAsia"/>
                <w:color w:val="000000" w:themeColor="text1"/>
                <w:sz w:val="24"/>
                <w:szCs w:val="24"/>
              </w:rPr>
              <w:t>（20分）</w:t>
            </w:r>
          </w:p>
          <w:p>
            <w:pPr>
              <w:pStyle w:val="6"/>
              <w:ind w:firstLine="0" w:firstLineChars="0"/>
              <w:jc w:val="center"/>
              <w:rPr>
                <w:color w:val="000000" w:themeColor="text1"/>
                <w:sz w:val="24"/>
                <w:szCs w:val="24"/>
              </w:rPr>
            </w:pPr>
          </w:p>
          <w:p>
            <w:pPr>
              <w:pStyle w:val="6"/>
              <w:ind w:firstLine="0" w:firstLineChars="0"/>
              <w:jc w:val="center"/>
              <w:rPr>
                <w:color w:val="000000" w:themeColor="text1"/>
                <w:sz w:val="24"/>
                <w:szCs w:val="24"/>
              </w:rPr>
            </w:pPr>
          </w:p>
          <w:p>
            <w:pPr>
              <w:pStyle w:val="6"/>
              <w:ind w:firstLine="0" w:firstLineChars="0"/>
              <w:jc w:val="center"/>
              <w:rPr>
                <w:color w:val="000000" w:themeColor="text1"/>
                <w:sz w:val="24"/>
                <w:szCs w:val="24"/>
              </w:rPr>
            </w:pPr>
          </w:p>
          <w:p>
            <w:pPr>
              <w:pStyle w:val="6"/>
              <w:ind w:firstLine="0" w:firstLineChars="0"/>
              <w:jc w:val="center"/>
              <w:rPr>
                <w:color w:val="000000" w:themeColor="text1"/>
                <w:sz w:val="24"/>
                <w:szCs w:val="24"/>
              </w:rPr>
            </w:pPr>
          </w:p>
          <w:p>
            <w:pPr>
              <w:pStyle w:val="6"/>
              <w:ind w:firstLine="0" w:firstLineChars="0"/>
              <w:jc w:val="center"/>
              <w:rPr>
                <w:color w:val="000000" w:themeColor="text1"/>
                <w:sz w:val="24"/>
                <w:szCs w:val="24"/>
              </w:rPr>
            </w:pPr>
          </w:p>
          <w:p>
            <w:pPr>
              <w:pStyle w:val="6"/>
              <w:ind w:firstLine="0" w:firstLineChars="0"/>
              <w:jc w:val="center"/>
              <w:rPr>
                <w:color w:val="000000" w:themeColor="text1"/>
                <w:sz w:val="24"/>
                <w:szCs w:val="24"/>
              </w:rPr>
            </w:pPr>
          </w:p>
          <w:p>
            <w:pPr>
              <w:pStyle w:val="6"/>
              <w:ind w:firstLine="0" w:firstLineChars="0"/>
              <w:rPr>
                <w:color w:val="000000" w:themeColor="text1"/>
                <w:sz w:val="24"/>
                <w:szCs w:val="24"/>
              </w:rPr>
            </w:pPr>
          </w:p>
          <w:p>
            <w:pPr>
              <w:pStyle w:val="6"/>
              <w:ind w:firstLine="0" w:firstLineChars="0"/>
              <w:jc w:val="center"/>
              <w:rPr>
                <w:color w:val="000000" w:themeColor="text1"/>
                <w:sz w:val="24"/>
                <w:szCs w:val="24"/>
              </w:rPr>
            </w:pPr>
          </w:p>
          <w:p>
            <w:pPr>
              <w:pStyle w:val="6"/>
              <w:ind w:firstLine="0" w:firstLineChars="0"/>
              <w:jc w:val="center"/>
              <w:rPr>
                <w:color w:val="000000" w:themeColor="text1"/>
                <w:sz w:val="24"/>
                <w:szCs w:val="24"/>
              </w:rPr>
            </w:pPr>
          </w:p>
          <w:p>
            <w:pPr>
              <w:pStyle w:val="6"/>
              <w:ind w:firstLine="0" w:firstLineChars="0"/>
              <w:jc w:val="center"/>
              <w:rPr>
                <w:color w:val="000000" w:themeColor="text1"/>
                <w:sz w:val="24"/>
                <w:szCs w:val="24"/>
              </w:rPr>
            </w:pPr>
          </w:p>
          <w:p>
            <w:pPr>
              <w:pStyle w:val="6"/>
              <w:ind w:firstLine="0" w:firstLineChars="0"/>
              <w:jc w:val="center"/>
              <w:rPr>
                <w:color w:val="000000" w:themeColor="text1"/>
                <w:sz w:val="24"/>
                <w:szCs w:val="24"/>
              </w:rPr>
            </w:pPr>
            <w:r>
              <w:rPr>
                <w:rFonts w:hint="eastAsia"/>
                <w:color w:val="000000" w:themeColor="text1"/>
                <w:sz w:val="24"/>
                <w:szCs w:val="24"/>
              </w:rPr>
              <w:t>财务报告和监督</w:t>
            </w:r>
          </w:p>
          <w:p>
            <w:pPr>
              <w:pStyle w:val="6"/>
              <w:ind w:firstLine="0" w:firstLineChars="0"/>
              <w:jc w:val="center"/>
              <w:rPr>
                <w:color w:val="000000" w:themeColor="text1"/>
                <w:sz w:val="24"/>
                <w:szCs w:val="24"/>
              </w:rPr>
            </w:pPr>
            <w:r>
              <w:rPr>
                <w:rFonts w:hint="eastAsia"/>
                <w:color w:val="000000" w:themeColor="text1"/>
                <w:sz w:val="24"/>
                <w:szCs w:val="24"/>
              </w:rPr>
              <w:t>（20分）</w:t>
            </w: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77</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财务报告</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b/>
                <w:color w:val="000000" w:themeColor="text1"/>
                <w:kern w:val="0"/>
                <w:sz w:val="24"/>
              </w:rPr>
              <w:t>在理事会上报告财务情况：</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□按章程规定每年报告单位整体财务状况（5分）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□未按章程规定报告单位财务状况（0分）                                                                                                                                                              </w:t>
            </w:r>
            <w:r>
              <w:rPr>
                <w:rFonts w:hint="eastAsia" w:ascii="宋体" w:hAnsi="宋体" w:cs="宋体"/>
                <w:b/>
                <w:color w:val="000000" w:themeColor="text1"/>
                <w:kern w:val="0"/>
                <w:sz w:val="24"/>
              </w:rPr>
              <w:t>主动接受理事会财务监督：</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□理事会或理事会授权的机构或个人对年度财务状况、预算及执行情况，重大业务活动的资金募集、管理和使用情况等进行审查并留有轨迹（5分）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□无理事会或理事会授权的机构或个人对年度财务状况、预算及执行情况，重大业务活动的资金募集、管理和使用情况等进行审查的轨迹（0分）  </w:t>
            </w:r>
            <w:r>
              <w:rPr>
                <w:rFonts w:hint="eastAsia" w:ascii="宋体" w:hAnsi="宋体" w:cs="宋体"/>
                <w:color w:val="000000" w:themeColor="text1"/>
                <w:kern w:val="0"/>
                <w:sz w:val="24"/>
              </w:rPr>
              <w:br w:type="textWrapping"/>
            </w:r>
            <w:r>
              <w:rPr>
                <w:rFonts w:hint="eastAsia" w:ascii="宋体" w:hAnsi="宋体" w:cs="宋体"/>
                <w:b/>
                <w:color w:val="000000" w:themeColor="text1"/>
                <w:kern w:val="0"/>
                <w:sz w:val="24"/>
              </w:rPr>
              <w:t>注：年度财务报告包括会计报表及附表、财务报表附注、财务情况说明书等内容；财务情况说明书应包括业务及财务活动基本情况。</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atLeast"/>
          <w:jc w:val="center"/>
        </w:trPr>
        <w:tc>
          <w:tcPr>
            <w:tcW w:w="1241" w:type="dxa"/>
            <w:vMerge w:val="continue"/>
          </w:tcPr>
          <w:p>
            <w:pPr>
              <w:pStyle w:val="6"/>
              <w:ind w:firstLine="0" w:firstLineChars="0"/>
              <w:rPr>
                <w:color w:val="000000" w:themeColor="text1"/>
                <w:szCs w:val="18"/>
              </w:rPr>
            </w:pPr>
          </w:p>
        </w:tc>
        <w:tc>
          <w:tcPr>
            <w:tcW w:w="1237" w:type="dxa"/>
            <w:vMerge w:val="continue"/>
          </w:tcPr>
          <w:p>
            <w:pPr>
              <w:pStyle w:val="6"/>
              <w:ind w:firstLine="0" w:firstLineChars="0"/>
              <w:rPr>
                <w:color w:val="000000" w:themeColor="text1"/>
                <w:szCs w:val="18"/>
              </w:rPr>
            </w:pPr>
          </w:p>
        </w:tc>
        <w:tc>
          <w:tcPr>
            <w:tcW w:w="1297" w:type="dxa"/>
            <w:vMerge w:val="continue"/>
          </w:tcPr>
          <w:p>
            <w:pPr>
              <w:pStyle w:val="6"/>
              <w:rPr>
                <w:color w:val="000000" w:themeColor="text1"/>
                <w:szCs w:val="18"/>
              </w:rPr>
            </w:pP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78</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审计报告</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b/>
                <w:color w:val="000000" w:themeColor="text1"/>
                <w:kern w:val="0"/>
                <w:sz w:val="24"/>
              </w:rPr>
              <w:t>年度审计</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□能提供近两年2个年度审计报告（5分）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□能提供近两年1个年度审计报告（3分）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□不能提供上两个年度会计报表及审计报告（0分）                                               </w:t>
            </w:r>
            <w:r>
              <w:rPr>
                <w:rFonts w:hint="eastAsia" w:ascii="宋体" w:hAnsi="宋体" w:cs="宋体"/>
                <w:b/>
                <w:color w:val="000000" w:themeColor="text1"/>
                <w:kern w:val="0"/>
                <w:sz w:val="24"/>
              </w:rPr>
              <w:t xml:space="preserve">离任审计 </w:t>
            </w:r>
            <w:r>
              <w:rPr>
                <w:rFonts w:hint="eastAsia" w:ascii="宋体" w:hAnsi="宋体" w:cs="宋体"/>
                <w:color w:val="000000" w:themeColor="text1"/>
                <w:kern w:val="0"/>
                <w:sz w:val="24"/>
              </w:rPr>
              <w:t xml:space="preserve">                                                                              □无离任或能提供离任审计报告（5分）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□出现离任但不能提供离任审计报告（0分）</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1" w:type="dxa"/>
            <w:vMerge w:val="continue"/>
          </w:tcPr>
          <w:p>
            <w:pPr>
              <w:pStyle w:val="6"/>
              <w:ind w:firstLine="0" w:firstLineChars="0"/>
              <w:rPr>
                <w:color w:val="000000" w:themeColor="text1"/>
                <w:szCs w:val="18"/>
              </w:rPr>
            </w:pPr>
          </w:p>
        </w:tc>
        <w:tc>
          <w:tcPr>
            <w:tcW w:w="1237" w:type="dxa"/>
            <w:vMerge w:val="restart"/>
            <w:vAlign w:val="center"/>
          </w:tcPr>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档案印章  管理  （30分）</w:t>
            </w: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color w:val="000000" w:themeColor="text1"/>
                <w:sz w:val="18"/>
              </w:rPr>
            </w:pPr>
          </w:p>
        </w:tc>
        <w:tc>
          <w:tcPr>
            <w:tcW w:w="1297" w:type="dxa"/>
            <w:vMerge w:val="restart"/>
            <w:vAlign w:val="center"/>
          </w:tcPr>
          <w:p>
            <w:pPr>
              <w:widowControl/>
              <w:textAlignment w:val="center"/>
              <w:rPr>
                <w:rFonts w:ascii="宋体" w:hAnsi="宋体" w:cs="宋体"/>
                <w:color w:val="000000" w:themeColor="text1"/>
                <w:kern w:val="0"/>
                <w:sz w:val="24"/>
              </w:rPr>
            </w:pPr>
          </w:p>
          <w:p>
            <w:pPr>
              <w:widowControl/>
              <w:jc w:val="center"/>
              <w:textAlignment w:val="center"/>
              <w:rPr>
                <w:rFonts w:ascii="宋体"/>
                <w:color w:val="000000" w:themeColor="text1"/>
                <w:sz w:val="18"/>
              </w:rPr>
            </w:pPr>
            <w:r>
              <w:rPr>
                <w:rFonts w:hint="eastAsia" w:ascii="宋体" w:hAnsi="宋体" w:cs="宋体"/>
                <w:color w:val="000000" w:themeColor="text1"/>
                <w:kern w:val="0"/>
                <w:sz w:val="24"/>
              </w:rPr>
              <w:t>档案管理     (15分)</w:t>
            </w: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79</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档案管理制度</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（5分）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□档案管理制度详细、规范（5分）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□档案管理制度不够详细、规范（3分）             　 　 　   </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□未制定档案管理制度（0分）</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241" w:type="dxa"/>
            <w:vMerge w:val="continue"/>
          </w:tcPr>
          <w:p>
            <w:pPr>
              <w:pStyle w:val="6"/>
              <w:ind w:firstLine="0" w:firstLineChars="0"/>
              <w:rPr>
                <w:color w:val="000000" w:themeColor="text1"/>
                <w:szCs w:val="18"/>
              </w:rPr>
            </w:pPr>
          </w:p>
        </w:tc>
        <w:tc>
          <w:tcPr>
            <w:tcW w:w="1237" w:type="dxa"/>
            <w:vMerge w:val="continue"/>
          </w:tcPr>
          <w:p>
            <w:pPr>
              <w:pStyle w:val="6"/>
              <w:ind w:firstLine="0" w:firstLineChars="0"/>
              <w:rPr>
                <w:color w:val="000000" w:themeColor="text1"/>
                <w:szCs w:val="18"/>
              </w:rPr>
            </w:pPr>
          </w:p>
        </w:tc>
        <w:tc>
          <w:tcPr>
            <w:tcW w:w="1297" w:type="dxa"/>
            <w:vMerge w:val="continue"/>
            <w:vAlign w:val="center"/>
          </w:tcPr>
          <w:p>
            <w:pPr>
              <w:widowControl/>
              <w:jc w:val="center"/>
              <w:textAlignment w:val="center"/>
              <w:rPr>
                <w:rFonts w:ascii="宋体"/>
                <w:color w:val="000000" w:themeColor="text1"/>
                <w:sz w:val="18"/>
              </w:rPr>
            </w:pP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80</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档案保管情况</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（5分）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□档案资料完整，存放有序（5分）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□档案资料不完整，存放无序（2分）</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pPr>
              <w:pStyle w:val="6"/>
              <w:ind w:firstLine="0" w:firstLineChars="0"/>
              <w:rPr>
                <w:color w:val="000000" w:themeColor="text1"/>
                <w:szCs w:val="18"/>
              </w:rPr>
            </w:pPr>
          </w:p>
        </w:tc>
        <w:tc>
          <w:tcPr>
            <w:tcW w:w="1237" w:type="dxa"/>
            <w:vMerge w:val="continue"/>
          </w:tcPr>
          <w:p>
            <w:pPr>
              <w:pStyle w:val="6"/>
              <w:ind w:firstLine="0" w:firstLineChars="0"/>
              <w:rPr>
                <w:color w:val="000000" w:themeColor="text1"/>
                <w:szCs w:val="18"/>
              </w:rPr>
            </w:pPr>
          </w:p>
        </w:tc>
        <w:tc>
          <w:tcPr>
            <w:tcW w:w="1297" w:type="dxa"/>
            <w:vMerge w:val="continue"/>
            <w:vAlign w:val="center"/>
          </w:tcPr>
          <w:p>
            <w:pPr>
              <w:widowControl/>
              <w:jc w:val="center"/>
              <w:textAlignment w:val="center"/>
              <w:rPr>
                <w:rFonts w:ascii="宋体"/>
                <w:color w:val="000000" w:themeColor="text1"/>
                <w:sz w:val="18"/>
              </w:rPr>
            </w:pP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81</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会计档案管理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（5分）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□会计凭证、账本、报表及其他会计资料装订整齐，顺序编号，签章齐全（5分）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□未做到会计凭证、账本、报表及其他会计资料装订整齐，顺序编号，签章齐全（2分）</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pPr>
              <w:pStyle w:val="6"/>
              <w:ind w:firstLine="0" w:firstLineChars="0"/>
              <w:rPr>
                <w:color w:val="000000" w:themeColor="text1"/>
                <w:szCs w:val="18"/>
              </w:rPr>
            </w:pPr>
          </w:p>
        </w:tc>
        <w:tc>
          <w:tcPr>
            <w:tcW w:w="1237" w:type="dxa"/>
            <w:vMerge w:val="continue"/>
            <w:vAlign w:val="center"/>
          </w:tcPr>
          <w:p>
            <w:pPr>
              <w:widowControl/>
              <w:jc w:val="center"/>
              <w:textAlignment w:val="center"/>
              <w:rPr>
                <w:rFonts w:ascii="宋体"/>
                <w:color w:val="000000" w:themeColor="text1"/>
                <w:sz w:val="18"/>
              </w:rPr>
            </w:pPr>
          </w:p>
        </w:tc>
        <w:tc>
          <w:tcPr>
            <w:tcW w:w="1297" w:type="dxa"/>
            <w:vMerge w:val="restart"/>
            <w:vAlign w:val="center"/>
          </w:tcPr>
          <w:p>
            <w:pPr>
              <w:widowControl/>
              <w:jc w:val="center"/>
              <w:textAlignment w:val="center"/>
              <w:rPr>
                <w:rFonts w:ascii="宋体"/>
                <w:color w:val="000000" w:themeColor="text1"/>
                <w:sz w:val="18"/>
              </w:rPr>
            </w:pPr>
            <w:r>
              <w:rPr>
                <w:rFonts w:hint="eastAsia" w:ascii="宋体" w:hAnsi="宋体" w:cs="宋体"/>
                <w:color w:val="000000" w:themeColor="text1"/>
                <w:kern w:val="0"/>
                <w:sz w:val="24"/>
              </w:rPr>
              <w:t>印章管理      （15分）</w:t>
            </w: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82</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印章管理规定</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（5分）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□有印章保管和使用制度（5分）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□无印章保管和使用制度（0分）                                                                                                                                                                             </w:t>
            </w:r>
            <w:r>
              <w:rPr>
                <w:rFonts w:hint="eastAsia" w:ascii="宋体" w:hAnsi="宋体" w:cs="宋体"/>
                <w:b/>
                <w:color w:val="000000" w:themeColor="text1"/>
                <w:kern w:val="0"/>
                <w:sz w:val="24"/>
              </w:rPr>
              <w:t>注:印章包含公章及财务章。</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1" w:type="dxa"/>
            <w:vMerge w:val="continue"/>
          </w:tcPr>
          <w:p>
            <w:pPr>
              <w:pStyle w:val="6"/>
              <w:ind w:firstLine="0" w:firstLineChars="0"/>
              <w:rPr>
                <w:color w:val="000000" w:themeColor="text1"/>
                <w:szCs w:val="18"/>
              </w:rPr>
            </w:pPr>
          </w:p>
        </w:tc>
        <w:tc>
          <w:tcPr>
            <w:tcW w:w="1237" w:type="dxa"/>
            <w:vMerge w:val="continue"/>
          </w:tcPr>
          <w:p>
            <w:pPr>
              <w:pStyle w:val="6"/>
              <w:ind w:firstLine="0" w:firstLineChars="0"/>
              <w:rPr>
                <w:color w:val="000000" w:themeColor="text1"/>
                <w:szCs w:val="18"/>
              </w:rPr>
            </w:pPr>
          </w:p>
        </w:tc>
        <w:tc>
          <w:tcPr>
            <w:tcW w:w="1297" w:type="dxa"/>
            <w:vMerge w:val="continue"/>
          </w:tcPr>
          <w:p>
            <w:pPr>
              <w:pStyle w:val="6"/>
              <w:rPr>
                <w:color w:val="000000" w:themeColor="text1"/>
                <w:szCs w:val="18"/>
              </w:rPr>
            </w:pP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83</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印章保管</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（5分）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□印章有专人管理（5分）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□印章无专人管理（0分）                                                                                                                                                                            </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241" w:type="dxa"/>
            <w:vMerge w:val="continue"/>
          </w:tcPr>
          <w:p>
            <w:pPr>
              <w:pStyle w:val="6"/>
              <w:ind w:firstLine="0" w:firstLineChars="0"/>
              <w:rPr>
                <w:color w:val="000000" w:themeColor="text1"/>
                <w:szCs w:val="18"/>
              </w:rPr>
            </w:pPr>
          </w:p>
        </w:tc>
        <w:tc>
          <w:tcPr>
            <w:tcW w:w="1237" w:type="dxa"/>
            <w:vMerge w:val="continue"/>
          </w:tcPr>
          <w:p>
            <w:pPr>
              <w:pStyle w:val="6"/>
              <w:ind w:firstLine="0" w:firstLineChars="0"/>
              <w:rPr>
                <w:color w:val="000000" w:themeColor="text1"/>
                <w:szCs w:val="18"/>
              </w:rPr>
            </w:pPr>
          </w:p>
        </w:tc>
        <w:tc>
          <w:tcPr>
            <w:tcW w:w="1297" w:type="dxa"/>
            <w:vMerge w:val="continue"/>
          </w:tcPr>
          <w:p>
            <w:pPr>
              <w:pStyle w:val="6"/>
              <w:rPr>
                <w:color w:val="000000" w:themeColor="text1"/>
                <w:szCs w:val="18"/>
              </w:rPr>
            </w:pP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84</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印章使用</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（5分）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□印章使用登记详细（5分）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□印章使用登记不详细（2分）</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restart"/>
            <w:vAlign w:val="center"/>
          </w:tcPr>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工作绩效</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（320分）</w:t>
            </w: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工作绩效</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（320分）</w:t>
            </w: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工作绩效</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（320分）</w:t>
            </w: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color w:val="000000" w:themeColor="text1"/>
                <w:sz w:val="24"/>
              </w:rPr>
            </w:pPr>
            <w:r>
              <w:rPr>
                <w:rFonts w:hint="eastAsia" w:ascii="宋体" w:hAnsi="宋体" w:cs="宋体"/>
                <w:color w:val="000000" w:themeColor="text1"/>
                <w:kern w:val="0"/>
                <w:sz w:val="24"/>
              </w:rPr>
              <w:t>工作绩效</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（320分）</w:t>
            </w:r>
          </w:p>
        </w:tc>
        <w:tc>
          <w:tcPr>
            <w:tcW w:w="1237" w:type="dxa"/>
            <w:vMerge w:val="restart"/>
            <w:vAlign w:val="center"/>
          </w:tcPr>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color w:val="000000" w:themeColor="text1"/>
                <w:sz w:val="18"/>
              </w:rPr>
            </w:pPr>
            <w:r>
              <w:rPr>
                <w:rFonts w:hint="eastAsia" w:ascii="宋体" w:hAnsi="宋体" w:cs="宋体"/>
                <w:color w:val="000000" w:themeColor="text1"/>
                <w:kern w:val="0"/>
                <w:sz w:val="24"/>
              </w:rPr>
              <w:t>业务活动</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（80分）</w:t>
            </w:r>
          </w:p>
        </w:tc>
        <w:tc>
          <w:tcPr>
            <w:tcW w:w="1297" w:type="dxa"/>
            <w:vMerge w:val="restart"/>
            <w:vAlign w:val="center"/>
          </w:tcPr>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color w:val="000000" w:themeColor="text1"/>
                <w:sz w:val="18"/>
              </w:rPr>
            </w:pPr>
            <w:r>
              <w:rPr>
                <w:rFonts w:hint="eastAsia" w:ascii="宋体" w:hAnsi="宋体" w:cs="宋体"/>
                <w:color w:val="000000" w:themeColor="text1"/>
                <w:kern w:val="0"/>
                <w:sz w:val="24"/>
              </w:rPr>
              <w:t>项目开展与执行</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（30分）</w:t>
            </w: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85</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业务（项目）管理制度</w:t>
            </w: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（10分）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□制定详细完整的业务（管理）制度，执行效果较好（10分）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□制定详细完整的业务（管理）制度，执行效果一般（5分）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□未制定业务（管理）制度，或执行效果较差（0分）</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241" w:type="dxa"/>
            <w:vMerge w:val="continue"/>
          </w:tcPr>
          <w:p>
            <w:pPr>
              <w:pStyle w:val="6"/>
              <w:ind w:firstLine="0" w:firstLineChars="0"/>
              <w:rPr>
                <w:color w:val="000000" w:themeColor="text1"/>
                <w:szCs w:val="18"/>
              </w:rPr>
            </w:pPr>
          </w:p>
        </w:tc>
        <w:tc>
          <w:tcPr>
            <w:tcW w:w="1237" w:type="dxa"/>
            <w:vMerge w:val="continue"/>
          </w:tcPr>
          <w:p>
            <w:pPr>
              <w:pStyle w:val="6"/>
              <w:ind w:firstLine="0" w:firstLineChars="0"/>
              <w:rPr>
                <w:color w:val="000000" w:themeColor="text1"/>
                <w:szCs w:val="18"/>
              </w:rPr>
            </w:pPr>
          </w:p>
        </w:tc>
        <w:tc>
          <w:tcPr>
            <w:tcW w:w="1297" w:type="dxa"/>
            <w:vMerge w:val="continue"/>
          </w:tcPr>
          <w:p>
            <w:pPr>
              <w:pStyle w:val="6"/>
              <w:rPr>
                <w:color w:val="000000" w:themeColor="text1"/>
                <w:szCs w:val="18"/>
              </w:rPr>
            </w:pP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86</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业务（项目）流程化管理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□业务（项目）实施流程化管理（10分）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□业务（项目）未实施流程化管理（0分）</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pPr>
              <w:pStyle w:val="6"/>
              <w:ind w:firstLine="0" w:firstLineChars="0"/>
              <w:rPr>
                <w:color w:val="000000" w:themeColor="text1"/>
                <w:szCs w:val="18"/>
              </w:rPr>
            </w:pPr>
          </w:p>
        </w:tc>
        <w:tc>
          <w:tcPr>
            <w:tcW w:w="1237" w:type="dxa"/>
            <w:vMerge w:val="continue"/>
          </w:tcPr>
          <w:p>
            <w:pPr>
              <w:pStyle w:val="6"/>
              <w:ind w:firstLine="0" w:firstLineChars="0"/>
              <w:rPr>
                <w:color w:val="000000" w:themeColor="text1"/>
                <w:szCs w:val="18"/>
              </w:rPr>
            </w:pPr>
          </w:p>
        </w:tc>
        <w:tc>
          <w:tcPr>
            <w:tcW w:w="1297" w:type="dxa"/>
            <w:vMerge w:val="continue"/>
            <w:vAlign w:val="center"/>
          </w:tcPr>
          <w:p>
            <w:pPr>
              <w:widowControl/>
              <w:jc w:val="center"/>
              <w:textAlignment w:val="center"/>
              <w:rPr>
                <w:rFonts w:ascii="宋体"/>
                <w:color w:val="000000" w:themeColor="text1"/>
                <w:sz w:val="18"/>
              </w:rPr>
            </w:pP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87</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业务（项目）工作计划完成情况</w:t>
            </w: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（10分）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□年度业务项目超额完成年初计划（10分）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□年度业务项目按年初计划完成（5分）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□年度业务项目未完成年初计划（0分）</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pPr>
              <w:pStyle w:val="6"/>
              <w:ind w:firstLine="0" w:firstLineChars="0"/>
              <w:rPr>
                <w:color w:val="000000" w:themeColor="text1"/>
                <w:szCs w:val="18"/>
              </w:rPr>
            </w:pPr>
          </w:p>
        </w:tc>
        <w:tc>
          <w:tcPr>
            <w:tcW w:w="1237" w:type="dxa"/>
            <w:vMerge w:val="continue"/>
            <w:vAlign w:val="center"/>
          </w:tcPr>
          <w:p>
            <w:pPr>
              <w:jc w:val="center"/>
              <w:rPr>
                <w:rFonts w:ascii="宋体"/>
                <w:color w:val="000000" w:themeColor="text1"/>
                <w:sz w:val="18"/>
              </w:rPr>
            </w:pPr>
          </w:p>
        </w:tc>
        <w:tc>
          <w:tcPr>
            <w:tcW w:w="1297" w:type="dxa"/>
            <w:vMerge w:val="restart"/>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业务（项目）监督、总结与评估</w:t>
            </w:r>
          </w:p>
          <w:p>
            <w:pPr>
              <w:widowControl/>
              <w:jc w:val="center"/>
              <w:textAlignment w:val="center"/>
              <w:rPr>
                <w:rFonts w:ascii="宋体"/>
                <w:color w:val="000000" w:themeColor="text1"/>
                <w:sz w:val="18"/>
              </w:rPr>
            </w:pPr>
            <w:r>
              <w:rPr>
                <w:rFonts w:hint="eastAsia" w:ascii="宋体" w:hAnsi="宋体" w:cs="宋体"/>
                <w:color w:val="000000" w:themeColor="text1"/>
                <w:kern w:val="0"/>
                <w:sz w:val="24"/>
              </w:rPr>
              <w:t>（50分）</w:t>
            </w: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88</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业务（项目）监督检查</w:t>
            </w: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（15分）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□实施严格的业务（项目）监督检查，检查结果良好（15分）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□实施严格的业务（项目）监督检查，检查结果一般（10分）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□实施简单的业务（项目）监督检查，检查结果一般（5分）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□未实施业务（项目）监督检查（0分）</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241" w:type="dxa"/>
            <w:vMerge w:val="continue"/>
          </w:tcPr>
          <w:p>
            <w:pPr>
              <w:pStyle w:val="6"/>
              <w:ind w:firstLine="0" w:firstLineChars="0"/>
              <w:rPr>
                <w:color w:val="000000" w:themeColor="text1"/>
                <w:szCs w:val="18"/>
              </w:rPr>
            </w:pPr>
          </w:p>
        </w:tc>
        <w:tc>
          <w:tcPr>
            <w:tcW w:w="1237" w:type="dxa"/>
            <w:vMerge w:val="continue"/>
            <w:vAlign w:val="center"/>
          </w:tcPr>
          <w:p>
            <w:pPr>
              <w:widowControl/>
              <w:jc w:val="center"/>
              <w:textAlignment w:val="center"/>
              <w:rPr>
                <w:rFonts w:ascii="宋体"/>
                <w:color w:val="000000" w:themeColor="text1"/>
                <w:sz w:val="18"/>
              </w:rPr>
            </w:pPr>
          </w:p>
        </w:tc>
        <w:tc>
          <w:tcPr>
            <w:tcW w:w="1297" w:type="dxa"/>
            <w:vMerge w:val="continue"/>
            <w:vAlign w:val="center"/>
          </w:tcPr>
          <w:p>
            <w:pPr>
              <w:widowControl/>
              <w:jc w:val="center"/>
              <w:textAlignment w:val="center"/>
              <w:rPr>
                <w:rFonts w:ascii="宋体"/>
                <w:color w:val="000000" w:themeColor="text1"/>
                <w:sz w:val="18"/>
              </w:rPr>
            </w:pP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89</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业务（项目）总结（15分）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□有详尽规范的项目执行总结记录（15分）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□有简单的项目执行总结记录（8分）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□无项目执行总结记录（0分）</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1" w:type="dxa"/>
            <w:vMerge w:val="continue"/>
          </w:tcPr>
          <w:p>
            <w:pPr>
              <w:pStyle w:val="6"/>
              <w:ind w:firstLine="0" w:firstLineChars="0"/>
              <w:rPr>
                <w:color w:val="000000" w:themeColor="text1"/>
                <w:szCs w:val="18"/>
              </w:rPr>
            </w:pPr>
          </w:p>
        </w:tc>
        <w:tc>
          <w:tcPr>
            <w:tcW w:w="1237" w:type="dxa"/>
            <w:vMerge w:val="continue"/>
          </w:tcPr>
          <w:p>
            <w:pPr>
              <w:pStyle w:val="6"/>
              <w:ind w:firstLine="0" w:firstLineChars="0"/>
              <w:rPr>
                <w:color w:val="000000" w:themeColor="text1"/>
                <w:szCs w:val="18"/>
              </w:rPr>
            </w:pPr>
          </w:p>
        </w:tc>
        <w:tc>
          <w:tcPr>
            <w:tcW w:w="1297" w:type="dxa"/>
            <w:vMerge w:val="continue"/>
          </w:tcPr>
          <w:p>
            <w:pPr>
              <w:pStyle w:val="6"/>
              <w:rPr>
                <w:color w:val="000000" w:themeColor="text1"/>
                <w:szCs w:val="18"/>
              </w:rPr>
            </w:pP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90</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业务（项目）评估（20分）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□开展严格规范的业务（项目）评估，评估结果较好（20分）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□开展严格规范的业务（项目）评估，评估结果一般（10分）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□开展严格规范的业务（项目）评估，评估结果一般（5分）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□未开展业务（项目）评估或评估结果差（0分）</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vAlign w:val="center"/>
          </w:tcPr>
          <w:p>
            <w:pPr>
              <w:widowControl/>
              <w:jc w:val="center"/>
              <w:textAlignment w:val="center"/>
              <w:rPr>
                <w:rFonts w:ascii="宋体"/>
                <w:color w:val="000000" w:themeColor="text1"/>
                <w:sz w:val="18"/>
              </w:rPr>
            </w:pPr>
          </w:p>
        </w:tc>
        <w:tc>
          <w:tcPr>
            <w:tcW w:w="1237" w:type="dxa"/>
            <w:vMerge w:val="restart"/>
            <w:vAlign w:val="center"/>
          </w:tcPr>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提供服务</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（220分）</w:t>
            </w: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r>
              <w:rPr>
                <w:rFonts w:hint="eastAsia"/>
                <w:color w:val="000000" w:themeColor="text1"/>
                <w:sz w:val="24"/>
                <w:szCs w:val="24"/>
              </w:rPr>
              <w:t>提供服务</w:t>
            </w:r>
          </w:p>
          <w:p>
            <w:pPr>
              <w:pStyle w:val="6"/>
              <w:ind w:firstLine="0" w:firstLineChars="0"/>
              <w:rPr>
                <w:color w:val="000000" w:themeColor="text1"/>
                <w:sz w:val="24"/>
                <w:szCs w:val="24"/>
              </w:rPr>
            </w:pPr>
            <w:r>
              <w:rPr>
                <w:rFonts w:hint="eastAsia"/>
                <w:color w:val="000000" w:themeColor="text1"/>
                <w:sz w:val="24"/>
                <w:szCs w:val="24"/>
              </w:rPr>
              <w:t>（220分）</w:t>
            </w: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Cs w:val="18"/>
              </w:rPr>
            </w:pPr>
          </w:p>
        </w:tc>
        <w:tc>
          <w:tcPr>
            <w:tcW w:w="1297" w:type="dxa"/>
            <w:vMerge w:val="restart"/>
            <w:vAlign w:val="center"/>
          </w:tcPr>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color w:val="000000" w:themeColor="text1"/>
                <w:sz w:val="18"/>
              </w:rPr>
            </w:pPr>
            <w:r>
              <w:rPr>
                <w:rFonts w:hint="eastAsia" w:ascii="宋体" w:hAnsi="宋体" w:cs="宋体"/>
                <w:color w:val="000000" w:themeColor="text1"/>
                <w:kern w:val="0"/>
                <w:sz w:val="24"/>
              </w:rPr>
              <w:t>服务专业性</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w:t>
            </w:r>
            <w:r>
              <w:rPr>
                <w:rFonts w:hint="eastAsia" w:ascii="宋体" w:hAnsi="宋体" w:cs="宋体"/>
                <w:color w:val="auto"/>
                <w:kern w:val="0"/>
                <w:sz w:val="24"/>
              </w:rPr>
              <w:t>50分</w:t>
            </w:r>
            <w:r>
              <w:rPr>
                <w:rFonts w:hint="eastAsia" w:ascii="宋体" w:hAnsi="宋体" w:cs="宋体"/>
                <w:color w:val="000000" w:themeColor="text1"/>
                <w:kern w:val="0"/>
                <w:sz w:val="24"/>
              </w:rPr>
              <w:t>）</w:t>
            </w: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91</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服务定位</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□业务活动（项目）服务符合单位宗旨和业务范围（10分）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□业务活动（项目）服务不符合单位宗旨和业务范围（5分）</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vAlign w:val="center"/>
          </w:tcPr>
          <w:p>
            <w:pPr>
              <w:jc w:val="center"/>
              <w:rPr>
                <w:rFonts w:ascii="宋体"/>
                <w:color w:val="000000" w:themeColor="text1"/>
                <w:sz w:val="18"/>
              </w:rPr>
            </w:pPr>
          </w:p>
        </w:tc>
        <w:tc>
          <w:tcPr>
            <w:tcW w:w="1237" w:type="dxa"/>
            <w:vMerge w:val="continue"/>
            <w:vAlign w:val="center"/>
          </w:tcPr>
          <w:p>
            <w:pPr>
              <w:jc w:val="center"/>
              <w:rPr>
                <w:rFonts w:ascii="宋体"/>
                <w:color w:val="000000" w:themeColor="text1"/>
                <w:sz w:val="18"/>
              </w:rPr>
            </w:pPr>
          </w:p>
        </w:tc>
        <w:tc>
          <w:tcPr>
            <w:tcW w:w="1297" w:type="dxa"/>
            <w:vMerge w:val="continue"/>
            <w:vAlign w:val="center"/>
          </w:tcPr>
          <w:p>
            <w:pPr>
              <w:widowControl/>
              <w:jc w:val="center"/>
              <w:textAlignment w:val="center"/>
              <w:rPr>
                <w:rFonts w:ascii="宋体"/>
                <w:color w:val="000000" w:themeColor="text1"/>
                <w:sz w:val="18"/>
              </w:rPr>
            </w:pP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92</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服务技术能力</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（15分）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服务技术能力突出，彰显行业服务特色（15分）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服务技术能力一般，符合行业服务特色（10分）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服务技术能力较差，不符合行业服务特色（0分）</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241" w:type="dxa"/>
            <w:vMerge w:val="continue"/>
          </w:tcPr>
          <w:p>
            <w:pPr>
              <w:pStyle w:val="6"/>
              <w:ind w:firstLine="0" w:firstLineChars="0"/>
              <w:rPr>
                <w:color w:val="000000" w:themeColor="text1"/>
                <w:szCs w:val="18"/>
              </w:rPr>
            </w:pPr>
          </w:p>
        </w:tc>
        <w:tc>
          <w:tcPr>
            <w:tcW w:w="1237" w:type="dxa"/>
            <w:vMerge w:val="continue"/>
          </w:tcPr>
          <w:p>
            <w:pPr>
              <w:pStyle w:val="6"/>
              <w:ind w:firstLine="0" w:firstLineChars="0"/>
              <w:rPr>
                <w:color w:val="000000" w:themeColor="text1"/>
                <w:szCs w:val="18"/>
              </w:rPr>
            </w:pPr>
          </w:p>
        </w:tc>
        <w:tc>
          <w:tcPr>
            <w:tcW w:w="1297" w:type="dxa"/>
            <w:vMerge w:val="continue"/>
            <w:vAlign w:val="center"/>
          </w:tcPr>
          <w:p>
            <w:pPr>
              <w:widowControl/>
              <w:jc w:val="center"/>
              <w:textAlignment w:val="center"/>
              <w:rPr>
                <w:rFonts w:ascii="宋体"/>
                <w:color w:val="000000" w:themeColor="text1"/>
                <w:sz w:val="18"/>
              </w:rPr>
            </w:pP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93</w:t>
            </w:r>
          </w:p>
        </w:tc>
        <w:tc>
          <w:tcPr>
            <w:tcW w:w="1338" w:type="dxa"/>
            <w:vAlign w:val="center"/>
          </w:tcPr>
          <w:p>
            <w:pPr>
              <w:widowControl/>
              <w:jc w:val="center"/>
              <w:textAlignment w:val="center"/>
              <w:rPr>
                <w:rFonts w:ascii="宋体" w:hAnsi="宋体" w:cs="宋体"/>
                <w:color w:val="auto"/>
                <w:kern w:val="0"/>
                <w:sz w:val="24"/>
              </w:rPr>
            </w:pPr>
            <w:r>
              <w:rPr>
                <w:rFonts w:hint="eastAsia" w:ascii="宋体" w:hAnsi="宋体" w:cs="宋体"/>
                <w:color w:val="auto"/>
                <w:kern w:val="0"/>
                <w:sz w:val="24"/>
              </w:rPr>
              <w:t>食品、人身安全保障            （25分）</w:t>
            </w:r>
          </w:p>
        </w:tc>
        <w:tc>
          <w:tcPr>
            <w:tcW w:w="5189" w:type="dxa"/>
            <w:vAlign w:val="center"/>
          </w:tcPr>
          <w:p>
            <w:pPr>
              <w:widowControl/>
              <w:jc w:val="left"/>
              <w:textAlignment w:val="center"/>
              <w:rPr>
                <w:rFonts w:ascii="宋体" w:hAnsi="宋体" w:cs="宋体"/>
                <w:color w:val="auto"/>
                <w:kern w:val="0"/>
                <w:sz w:val="24"/>
              </w:rPr>
            </w:pPr>
            <w:r>
              <w:rPr>
                <w:rFonts w:hint="eastAsia" w:ascii="宋体" w:hAnsi="宋体" w:cs="宋体"/>
                <w:color w:val="auto"/>
                <w:kern w:val="0"/>
                <w:sz w:val="24"/>
              </w:rPr>
              <w:t>服务过程的制度制定及按相关主管部门要求落实到位（25分）（如有重大安全事故一票否决）</w:t>
            </w:r>
            <w:r>
              <w:rPr>
                <w:rFonts w:hint="eastAsia" w:ascii="宋体" w:hAnsi="宋体" w:cs="宋体"/>
                <w:color w:val="auto"/>
                <w:kern w:val="0"/>
                <w:sz w:val="24"/>
              </w:rPr>
              <w:br w:type="textWrapping"/>
            </w:r>
            <w:r>
              <w:rPr>
                <w:rFonts w:hint="eastAsia" w:ascii="宋体" w:hAnsi="宋体" w:cs="宋体"/>
                <w:color w:val="auto"/>
                <w:kern w:val="0"/>
                <w:sz w:val="24"/>
              </w:rPr>
              <w:t>服务过程的的制度制定及按相关主管部门要求落实不到位（0分）</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241" w:type="dxa"/>
            <w:vMerge w:val="continue"/>
          </w:tcPr>
          <w:p>
            <w:pPr>
              <w:pStyle w:val="6"/>
              <w:ind w:firstLine="0" w:firstLineChars="0"/>
              <w:rPr>
                <w:color w:val="000000" w:themeColor="text1"/>
                <w:szCs w:val="18"/>
              </w:rPr>
            </w:pPr>
          </w:p>
        </w:tc>
        <w:tc>
          <w:tcPr>
            <w:tcW w:w="1237" w:type="dxa"/>
            <w:vMerge w:val="continue"/>
          </w:tcPr>
          <w:p>
            <w:pPr>
              <w:pStyle w:val="6"/>
              <w:ind w:firstLine="0" w:firstLineChars="0"/>
              <w:rPr>
                <w:color w:val="000000" w:themeColor="text1"/>
                <w:szCs w:val="18"/>
              </w:rPr>
            </w:pPr>
          </w:p>
        </w:tc>
        <w:tc>
          <w:tcPr>
            <w:tcW w:w="1297" w:type="dxa"/>
            <w:vMerge w:val="restart"/>
            <w:vAlign w:val="center"/>
          </w:tcPr>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服务效果与影响</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w:t>
            </w:r>
            <w:r>
              <w:rPr>
                <w:rFonts w:hint="eastAsia" w:ascii="宋体" w:hAnsi="宋体" w:cs="宋体"/>
                <w:color w:val="auto"/>
                <w:kern w:val="0"/>
                <w:sz w:val="24"/>
              </w:rPr>
              <w:t>50分</w:t>
            </w:r>
            <w:r>
              <w:rPr>
                <w:rFonts w:hint="eastAsia" w:ascii="宋体" w:hAnsi="宋体" w:cs="宋体"/>
                <w:color w:val="000000" w:themeColor="text1"/>
                <w:kern w:val="0"/>
                <w:sz w:val="24"/>
              </w:rPr>
              <w:t>）</w:t>
            </w: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color w:val="000000" w:themeColor="text1"/>
                <w:sz w:val="24"/>
              </w:rPr>
            </w:pP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94</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良性经营和服务行为              （10分）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□服务运营情况较好，服务行为示范意义强（10分）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□服务运营情况一般，服务行为无违规（5分）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□服务运营情况较差，或服务行为恶劣（0分）</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vAlign w:val="center"/>
          </w:tcPr>
          <w:p>
            <w:pPr>
              <w:widowControl/>
              <w:jc w:val="center"/>
              <w:textAlignment w:val="center"/>
              <w:rPr>
                <w:rFonts w:ascii="宋体"/>
                <w:color w:val="000000" w:themeColor="text1"/>
                <w:sz w:val="24"/>
              </w:rPr>
            </w:pPr>
          </w:p>
        </w:tc>
        <w:tc>
          <w:tcPr>
            <w:tcW w:w="1237" w:type="dxa"/>
            <w:vMerge w:val="continue"/>
            <w:vAlign w:val="center"/>
          </w:tcPr>
          <w:p>
            <w:pPr>
              <w:widowControl/>
              <w:jc w:val="center"/>
              <w:textAlignment w:val="center"/>
              <w:rPr>
                <w:rFonts w:ascii="宋体"/>
                <w:color w:val="000000" w:themeColor="text1"/>
                <w:sz w:val="18"/>
              </w:rPr>
            </w:pPr>
          </w:p>
        </w:tc>
        <w:tc>
          <w:tcPr>
            <w:tcW w:w="1297" w:type="dxa"/>
            <w:vMerge w:val="continue"/>
            <w:vAlign w:val="center"/>
          </w:tcPr>
          <w:p>
            <w:pPr>
              <w:widowControl/>
              <w:jc w:val="center"/>
              <w:textAlignment w:val="center"/>
              <w:rPr>
                <w:rFonts w:ascii="宋体"/>
                <w:color w:val="000000" w:themeColor="text1"/>
                <w:sz w:val="18"/>
              </w:rPr>
            </w:pP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95</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服务的独特性和创新性               （15分）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□项目品牌创意性强，形成自主品牌或业内公认品牌的（15分）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□未形成自主品牌或业内公认品牌的（0分）</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241" w:type="dxa"/>
            <w:vMerge w:val="continue"/>
          </w:tcPr>
          <w:p>
            <w:pPr>
              <w:pStyle w:val="6"/>
              <w:ind w:firstLine="0" w:firstLineChars="0"/>
              <w:rPr>
                <w:color w:val="000000" w:themeColor="text1"/>
                <w:szCs w:val="18"/>
              </w:rPr>
            </w:pPr>
          </w:p>
        </w:tc>
        <w:tc>
          <w:tcPr>
            <w:tcW w:w="1237" w:type="dxa"/>
            <w:vMerge w:val="continue"/>
          </w:tcPr>
          <w:p>
            <w:pPr>
              <w:pStyle w:val="6"/>
              <w:ind w:firstLine="0" w:firstLineChars="0"/>
              <w:rPr>
                <w:color w:val="000000" w:themeColor="text1"/>
                <w:szCs w:val="18"/>
              </w:rPr>
            </w:pPr>
          </w:p>
        </w:tc>
        <w:tc>
          <w:tcPr>
            <w:tcW w:w="1297" w:type="dxa"/>
            <w:vMerge w:val="continue"/>
          </w:tcPr>
          <w:p>
            <w:pPr>
              <w:widowControl/>
              <w:jc w:val="center"/>
              <w:textAlignment w:val="center"/>
              <w:rPr>
                <w:rFonts w:ascii="宋体"/>
                <w:color w:val="000000" w:themeColor="text1"/>
                <w:sz w:val="18"/>
              </w:rPr>
            </w:pP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96</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合作交流</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（20分）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b/>
                <w:color w:val="000000" w:themeColor="text1"/>
                <w:kern w:val="0"/>
                <w:sz w:val="24"/>
              </w:rPr>
              <w:t>交流活动</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□与本地区或本领域的社会组织开展交流活动，1次5分，满分10分</w:t>
            </w:r>
            <w:r>
              <w:rPr>
                <w:rFonts w:hint="eastAsia" w:ascii="宋体" w:hAnsi="宋体" w:cs="宋体"/>
                <w:color w:val="000000" w:themeColor="text1"/>
                <w:kern w:val="0"/>
                <w:sz w:val="24"/>
              </w:rPr>
              <w:br w:type="textWrapping"/>
            </w:r>
            <w:r>
              <w:rPr>
                <w:rFonts w:hint="eastAsia" w:ascii="宋体" w:hAnsi="宋体" w:cs="宋体"/>
                <w:b/>
                <w:color w:val="000000" w:themeColor="text1"/>
                <w:kern w:val="0"/>
                <w:sz w:val="24"/>
              </w:rPr>
              <w:t>合作项目：</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□开展过省级及以上合作项目（10分）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□开展过市级合作项目（5分）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□未开展过市级及以上合作项目（0分）</w:t>
            </w:r>
          </w:p>
          <w:p>
            <w:pPr>
              <w:widowControl/>
              <w:jc w:val="left"/>
              <w:textAlignment w:val="center"/>
              <w:rPr>
                <w:rFonts w:ascii="宋体" w:hAnsi="宋体" w:cs="宋体"/>
                <w:b/>
                <w:color w:val="000000" w:themeColor="text1"/>
                <w:kern w:val="0"/>
                <w:sz w:val="24"/>
              </w:rPr>
            </w:pPr>
            <w:r>
              <w:rPr>
                <w:rFonts w:hint="eastAsia" w:ascii="宋体" w:hAnsi="宋体" w:cs="宋体"/>
                <w:b/>
                <w:color w:val="000000" w:themeColor="text1"/>
                <w:kern w:val="0"/>
                <w:sz w:val="24"/>
              </w:rPr>
              <w:t>注：合作项目满分10分</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241" w:type="dxa"/>
            <w:vMerge w:val="continue"/>
          </w:tcPr>
          <w:p>
            <w:pPr>
              <w:pStyle w:val="6"/>
              <w:ind w:firstLine="0" w:firstLineChars="0"/>
              <w:rPr>
                <w:color w:val="000000" w:themeColor="text1"/>
                <w:szCs w:val="18"/>
              </w:rPr>
            </w:pPr>
          </w:p>
        </w:tc>
        <w:tc>
          <w:tcPr>
            <w:tcW w:w="1237" w:type="dxa"/>
            <w:vMerge w:val="continue"/>
          </w:tcPr>
          <w:p>
            <w:pPr>
              <w:pStyle w:val="6"/>
              <w:ind w:firstLine="0" w:firstLineChars="0"/>
              <w:rPr>
                <w:color w:val="000000" w:themeColor="text1"/>
                <w:szCs w:val="18"/>
              </w:rPr>
            </w:pPr>
          </w:p>
        </w:tc>
        <w:tc>
          <w:tcPr>
            <w:tcW w:w="1297" w:type="dxa"/>
            <w:vMerge w:val="continue"/>
            <w:vAlign w:val="center"/>
          </w:tcPr>
          <w:p>
            <w:pPr>
              <w:widowControl/>
              <w:jc w:val="center"/>
              <w:textAlignment w:val="center"/>
              <w:rPr>
                <w:rFonts w:ascii="宋体"/>
                <w:color w:val="000000" w:themeColor="text1"/>
                <w:sz w:val="18"/>
              </w:rPr>
            </w:pP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97</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项目影响力</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w:t>
            </w:r>
            <w:r>
              <w:rPr>
                <w:rFonts w:hint="eastAsia" w:ascii="宋体" w:hAnsi="宋体" w:cs="宋体"/>
                <w:color w:val="auto"/>
                <w:kern w:val="0"/>
                <w:sz w:val="24"/>
              </w:rPr>
              <w:t>5分</w:t>
            </w:r>
            <w:r>
              <w:rPr>
                <w:rFonts w:hint="eastAsia" w:ascii="宋体" w:hAnsi="宋体" w:cs="宋体"/>
                <w:color w:val="000000" w:themeColor="text1"/>
                <w:kern w:val="0"/>
                <w:sz w:val="24"/>
              </w:rPr>
              <w:t>）</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□能提供本领域实质性成果（</w:t>
            </w:r>
            <w:r>
              <w:rPr>
                <w:rFonts w:hint="eastAsia" w:ascii="宋体" w:hAnsi="宋体" w:cs="宋体"/>
                <w:color w:val="auto"/>
                <w:kern w:val="0"/>
                <w:sz w:val="24"/>
              </w:rPr>
              <w:t>5分</w:t>
            </w:r>
            <w:r>
              <w:rPr>
                <w:rFonts w:hint="eastAsia" w:ascii="宋体" w:hAnsi="宋体" w:cs="宋体"/>
                <w:color w:val="000000" w:themeColor="text1"/>
                <w:kern w:val="0"/>
                <w:sz w:val="24"/>
              </w:rPr>
              <w:t>）</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□未能提供本领域实质性成果（0分）</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241" w:type="dxa"/>
            <w:vMerge w:val="continue"/>
          </w:tcPr>
          <w:p>
            <w:pPr>
              <w:pStyle w:val="6"/>
              <w:ind w:firstLine="0" w:firstLineChars="0"/>
              <w:rPr>
                <w:color w:val="000000" w:themeColor="text1"/>
                <w:szCs w:val="18"/>
              </w:rPr>
            </w:pPr>
          </w:p>
        </w:tc>
        <w:tc>
          <w:tcPr>
            <w:tcW w:w="1237" w:type="dxa"/>
            <w:vMerge w:val="continue"/>
          </w:tcPr>
          <w:p>
            <w:pPr>
              <w:pStyle w:val="6"/>
              <w:ind w:firstLine="0" w:firstLineChars="0"/>
              <w:rPr>
                <w:color w:val="000000" w:themeColor="text1"/>
                <w:szCs w:val="18"/>
              </w:rPr>
            </w:pPr>
          </w:p>
        </w:tc>
        <w:tc>
          <w:tcPr>
            <w:tcW w:w="1297" w:type="dxa"/>
            <w:vMerge w:val="restart"/>
          </w:tcPr>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color w:val="000000" w:themeColor="text1"/>
                <w:sz w:val="18"/>
              </w:rPr>
            </w:pPr>
            <w:r>
              <w:rPr>
                <w:rFonts w:hint="eastAsia" w:ascii="宋体" w:hAnsi="宋体" w:cs="宋体"/>
                <w:color w:val="000000" w:themeColor="text1"/>
                <w:kern w:val="0"/>
                <w:sz w:val="24"/>
              </w:rPr>
              <w:t>服务政府  （60分）</w:t>
            </w: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98</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参与制定法规政策                （10分）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□参与过制定法规政策或者参加政府征求意见、听证会、座谈会（10分）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□未参与制定法规政策或者未参加政府征求意见、听证会、座谈会（0分）</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41" w:type="dxa"/>
            <w:vMerge w:val="continue"/>
          </w:tcPr>
          <w:p>
            <w:pPr>
              <w:pStyle w:val="6"/>
              <w:ind w:firstLine="0" w:firstLineChars="0"/>
              <w:rPr>
                <w:color w:val="000000" w:themeColor="text1"/>
                <w:szCs w:val="18"/>
              </w:rPr>
            </w:pPr>
          </w:p>
        </w:tc>
        <w:tc>
          <w:tcPr>
            <w:tcW w:w="1237" w:type="dxa"/>
            <w:vMerge w:val="continue"/>
          </w:tcPr>
          <w:p>
            <w:pPr>
              <w:widowControl/>
              <w:jc w:val="center"/>
              <w:textAlignment w:val="center"/>
              <w:rPr>
                <w:rFonts w:ascii="宋体"/>
                <w:color w:val="000000" w:themeColor="text1"/>
                <w:sz w:val="18"/>
              </w:rPr>
            </w:pPr>
          </w:p>
        </w:tc>
        <w:tc>
          <w:tcPr>
            <w:tcW w:w="1297" w:type="dxa"/>
            <w:vMerge w:val="continue"/>
            <w:vAlign w:val="center"/>
          </w:tcPr>
          <w:p>
            <w:pPr>
              <w:widowControl/>
              <w:jc w:val="center"/>
              <w:textAlignment w:val="center"/>
              <w:rPr>
                <w:rFonts w:ascii="宋体"/>
                <w:color w:val="000000" w:themeColor="text1"/>
                <w:sz w:val="18"/>
              </w:rPr>
            </w:pP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99</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建言献策</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□书面建言献策并被政府采纳的（10分）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□书面建言献策但未被政府采纳的（5分）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□未建言献策的（0分）</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pPr>
              <w:pStyle w:val="6"/>
              <w:ind w:firstLine="0" w:firstLineChars="0"/>
              <w:rPr>
                <w:color w:val="000000" w:themeColor="text1"/>
                <w:szCs w:val="18"/>
              </w:rPr>
            </w:pPr>
          </w:p>
        </w:tc>
        <w:tc>
          <w:tcPr>
            <w:tcW w:w="1237" w:type="dxa"/>
            <w:vMerge w:val="continue"/>
          </w:tcPr>
          <w:p>
            <w:pPr>
              <w:pStyle w:val="6"/>
              <w:ind w:firstLine="0" w:firstLineChars="0"/>
              <w:rPr>
                <w:color w:val="000000" w:themeColor="text1"/>
                <w:szCs w:val="18"/>
              </w:rPr>
            </w:pPr>
          </w:p>
        </w:tc>
        <w:tc>
          <w:tcPr>
            <w:tcW w:w="1297" w:type="dxa"/>
            <w:vMerge w:val="continue"/>
            <w:vAlign w:val="center"/>
          </w:tcPr>
          <w:p>
            <w:pPr>
              <w:widowControl/>
              <w:jc w:val="center"/>
              <w:textAlignment w:val="center"/>
              <w:rPr>
                <w:rFonts w:ascii="宋体"/>
                <w:color w:val="000000" w:themeColor="text1"/>
                <w:sz w:val="18"/>
              </w:rPr>
            </w:pP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100</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承接政府项目</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（20分）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□承接政府委托、购买、转移服务，每项4分，满分20分。</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241" w:type="dxa"/>
            <w:vMerge w:val="continue"/>
            <w:vAlign w:val="center"/>
          </w:tcPr>
          <w:p>
            <w:pPr>
              <w:jc w:val="center"/>
              <w:rPr>
                <w:rFonts w:ascii="宋体"/>
                <w:color w:val="000000" w:themeColor="text1"/>
                <w:sz w:val="18"/>
              </w:rPr>
            </w:pPr>
          </w:p>
        </w:tc>
        <w:tc>
          <w:tcPr>
            <w:tcW w:w="1237" w:type="dxa"/>
            <w:vMerge w:val="continue"/>
            <w:vAlign w:val="center"/>
          </w:tcPr>
          <w:p>
            <w:pPr>
              <w:jc w:val="center"/>
              <w:rPr>
                <w:rFonts w:ascii="宋体"/>
                <w:color w:val="000000" w:themeColor="text1"/>
                <w:sz w:val="18"/>
              </w:rPr>
            </w:pPr>
          </w:p>
        </w:tc>
        <w:tc>
          <w:tcPr>
            <w:tcW w:w="1297" w:type="dxa"/>
            <w:vMerge w:val="continue"/>
            <w:vAlign w:val="center"/>
          </w:tcPr>
          <w:p>
            <w:pPr>
              <w:widowControl/>
              <w:jc w:val="center"/>
              <w:textAlignment w:val="center"/>
              <w:rPr>
                <w:rFonts w:ascii="宋体"/>
                <w:color w:val="000000" w:themeColor="text1"/>
                <w:sz w:val="18"/>
              </w:rPr>
            </w:pP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101</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承接政府资金</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（20分）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□承接政府委托、购买、转移服务的资金达到30万（20分）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□承接政府委托、购买、转移服务的资金达到20万（15分）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□承接政府委托、购买、转移服务的资金达到10万（10分）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□承接政府委托、购买、转移服务的资金在10万以下（5分）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□无承接政府委托、购买、转移服务的资金（0分）</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241" w:type="dxa"/>
            <w:vMerge w:val="continue"/>
          </w:tcPr>
          <w:p>
            <w:pPr>
              <w:pStyle w:val="6"/>
              <w:ind w:firstLine="0" w:firstLineChars="0"/>
              <w:rPr>
                <w:color w:val="000000" w:themeColor="text1"/>
                <w:szCs w:val="18"/>
              </w:rPr>
            </w:pPr>
          </w:p>
        </w:tc>
        <w:tc>
          <w:tcPr>
            <w:tcW w:w="1237" w:type="dxa"/>
            <w:vMerge w:val="continue"/>
          </w:tcPr>
          <w:p>
            <w:pPr>
              <w:pStyle w:val="6"/>
              <w:ind w:firstLine="0" w:firstLineChars="0"/>
              <w:rPr>
                <w:color w:val="000000" w:themeColor="text1"/>
                <w:szCs w:val="18"/>
              </w:rPr>
            </w:pPr>
          </w:p>
        </w:tc>
        <w:tc>
          <w:tcPr>
            <w:tcW w:w="1297" w:type="dxa"/>
            <w:vMerge w:val="restart"/>
          </w:tcPr>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服务社会  （60分）</w:t>
            </w: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color w:val="000000" w:themeColor="text1"/>
                <w:sz w:val="18"/>
              </w:rPr>
            </w:pPr>
            <w:r>
              <w:rPr>
                <w:rFonts w:hint="eastAsia" w:ascii="宋体" w:hAnsi="宋体" w:cs="宋体"/>
                <w:color w:val="000000" w:themeColor="text1"/>
                <w:kern w:val="0"/>
                <w:sz w:val="24"/>
              </w:rPr>
              <w:t>服务社会  （60分）</w:t>
            </w: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102</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公益活动</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（20分）</w:t>
            </w:r>
          </w:p>
        </w:tc>
        <w:tc>
          <w:tcPr>
            <w:tcW w:w="5189" w:type="dxa"/>
            <w:vAlign w:val="center"/>
          </w:tcPr>
          <w:p>
            <w:pPr>
              <w:widowControl/>
              <w:jc w:val="left"/>
              <w:textAlignment w:val="center"/>
              <w:rPr>
                <w:rFonts w:ascii="宋体" w:hAnsi="宋体" w:cs="宋体"/>
                <w:b/>
                <w:color w:val="000000" w:themeColor="text1"/>
                <w:kern w:val="0"/>
                <w:sz w:val="24"/>
              </w:rPr>
            </w:pPr>
            <w:r>
              <w:rPr>
                <w:rFonts w:hint="eastAsia" w:ascii="宋体" w:hAnsi="宋体" w:cs="宋体"/>
                <w:color w:val="000000" w:themeColor="text1"/>
                <w:kern w:val="0"/>
                <w:sz w:val="24"/>
              </w:rPr>
              <w:t>参与公益活动每次4分，共计20分。</w:t>
            </w:r>
            <w:r>
              <w:rPr>
                <w:rFonts w:hint="eastAsia" w:ascii="宋体" w:hAnsi="宋体" w:cs="宋体"/>
                <w:color w:val="000000" w:themeColor="text1"/>
                <w:kern w:val="0"/>
                <w:sz w:val="24"/>
              </w:rPr>
              <w:br w:type="textWrapping"/>
            </w:r>
            <w:r>
              <w:rPr>
                <w:rFonts w:hint="eastAsia" w:ascii="宋体" w:hAnsi="宋体" w:cs="宋体"/>
                <w:b/>
                <w:color w:val="000000" w:themeColor="text1"/>
                <w:kern w:val="0"/>
                <w:sz w:val="24"/>
              </w:rPr>
              <w:t>注：公益活动覆盖领域包括扶贫、文化保护、社会救助、环境保护等。</w:t>
            </w:r>
          </w:p>
          <w:p>
            <w:pPr>
              <w:widowControl/>
              <w:jc w:val="left"/>
              <w:textAlignment w:val="center"/>
              <w:rPr>
                <w:rFonts w:ascii="宋体" w:hAnsi="宋体" w:cs="宋体"/>
                <w:color w:val="000000" w:themeColor="text1"/>
                <w:kern w:val="0"/>
                <w:sz w:val="24"/>
              </w:rPr>
            </w:pP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1" w:type="dxa"/>
            <w:vMerge w:val="continue"/>
          </w:tcPr>
          <w:p>
            <w:pPr>
              <w:pStyle w:val="6"/>
              <w:ind w:firstLine="0" w:firstLineChars="0"/>
              <w:rPr>
                <w:color w:val="000000" w:themeColor="text1"/>
                <w:szCs w:val="18"/>
              </w:rPr>
            </w:pPr>
          </w:p>
        </w:tc>
        <w:tc>
          <w:tcPr>
            <w:tcW w:w="1237" w:type="dxa"/>
            <w:vMerge w:val="continue"/>
          </w:tcPr>
          <w:p>
            <w:pPr>
              <w:pStyle w:val="6"/>
              <w:ind w:firstLine="0" w:firstLineChars="0"/>
              <w:rPr>
                <w:color w:val="000000" w:themeColor="text1"/>
                <w:szCs w:val="18"/>
              </w:rPr>
            </w:pPr>
          </w:p>
        </w:tc>
        <w:tc>
          <w:tcPr>
            <w:tcW w:w="1297" w:type="dxa"/>
            <w:vMerge w:val="continue"/>
          </w:tcPr>
          <w:p>
            <w:pPr>
              <w:pStyle w:val="6"/>
              <w:ind w:firstLine="0" w:firstLineChars="0"/>
              <w:jc w:val="center"/>
              <w:rPr>
                <w:color w:val="000000" w:themeColor="text1"/>
                <w:szCs w:val="18"/>
              </w:rPr>
            </w:pP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103</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服务社会公众</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（30分）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□积极服务社会公众，每次5分，满分30分</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241" w:type="dxa"/>
            <w:vMerge w:val="continue"/>
          </w:tcPr>
          <w:p>
            <w:pPr>
              <w:pStyle w:val="6"/>
              <w:ind w:firstLine="0" w:firstLineChars="0"/>
              <w:rPr>
                <w:color w:val="000000" w:themeColor="text1"/>
                <w:szCs w:val="18"/>
              </w:rPr>
            </w:pPr>
          </w:p>
        </w:tc>
        <w:tc>
          <w:tcPr>
            <w:tcW w:w="1237" w:type="dxa"/>
            <w:vMerge w:val="continue"/>
          </w:tcPr>
          <w:p>
            <w:pPr>
              <w:pStyle w:val="6"/>
              <w:ind w:firstLine="0" w:firstLineChars="0"/>
              <w:rPr>
                <w:color w:val="000000" w:themeColor="text1"/>
                <w:szCs w:val="18"/>
              </w:rPr>
            </w:pPr>
          </w:p>
        </w:tc>
        <w:tc>
          <w:tcPr>
            <w:tcW w:w="1297" w:type="dxa"/>
            <w:vMerge w:val="continue"/>
            <w:vAlign w:val="center"/>
          </w:tcPr>
          <w:p>
            <w:pPr>
              <w:widowControl/>
              <w:jc w:val="center"/>
              <w:textAlignment w:val="center"/>
              <w:rPr>
                <w:rFonts w:ascii="宋体"/>
                <w:color w:val="000000" w:themeColor="text1"/>
                <w:sz w:val="18"/>
              </w:rPr>
            </w:pP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104</w:t>
            </w:r>
          </w:p>
        </w:tc>
        <w:tc>
          <w:tcPr>
            <w:tcW w:w="1338" w:type="dxa"/>
            <w:vAlign w:val="center"/>
          </w:tcPr>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重大突发公共事件                  （10分）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□在重大突发公共事件中发挥作用显著（10分）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□在重大突发公共事件中发挥过作用（5分）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□在重大突发公共事件中未发挥作用（0分）</w:t>
            </w:r>
            <w:r>
              <w:rPr>
                <w:rFonts w:hint="eastAsia" w:ascii="宋体" w:hAnsi="宋体" w:cs="宋体"/>
                <w:color w:val="000000" w:themeColor="text1"/>
                <w:kern w:val="0"/>
                <w:sz w:val="24"/>
              </w:rPr>
              <w:br w:type="textWrapping"/>
            </w:r>
            <w:r>
              <w:rPr>
                <w:rFonts w:hint="eastAsia" w:ascii="宋体" w:hAnsi="宋体" w:cs="宋体"/>
                <w:b/>
                <w:color w:val="000000" w:themeColor="text1"/>
                <w:kern w:val="0"/>
                <w:sz w:val="24"/>
              </w:rPr>
              <w:t>注：提供相关证明材料，由专家评定。无重大突发公共事件的不扣分。</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pPr>
              <w:pStyle w:val="6"/>
              <w:ind w:firstLine="0" w:firstLineChars="0"/>
              <w:rPr>
                <w:color w:val="000000" w:themeColor="text1"/>
                <w:szCs w:val="18"/>
              </w:rPr>
            </w:pPr>
          </w:p>
        </w:tc>
        <w:tc>
          <w:tcPr>
            <w:tcW w:w="1237" w:type="dxa"/>
            <w:vAlign w:val="center"/>
          </w:tcPr>
          <w:p>
            <w:pPr>
              <w:widowControl/>
              <w:jc w:val="center"/>
              <w:textAlignment w:val="center"/>
              <w:rPr>
                <w:rFonts w:ascii="宋体"/>
                <w:color w:val="000000" w:themeColor="text1"/>
                <w:sz w:val="18"/>
              </w:rPr>
            </w:pPr>
            <w:r>
              <w:rPr>
                <w:rFonts w:hint="eastAsia" w:ascii="宋体" w:hAnsi="宋体" w:cs="宋体"/>
                <w:color w:val="000000" w:themeColor="text1"/>
                <w:kern w:val="0"/>
                <w:sz w:val="24"/>
              </w:rPr>
              <w:t>特色贡献（20分）</w:t>
            </w:r>
          </w:p>
        </w:tc>
        <w:tc>
          <w:tcPr>
            <w:tcW w:w="1297" w:type="dxa"/>
            <w:vAlign w:val="center"/>
          </w:tcPr>
          <w:p>
            <w:pPr>
              <w:widowControl/>
              <w:jc w:val="center"/>
              <w:textAlignment w:val="center"/>
              <w:rPr>
                <w:rFonts w:ascii="宋体"/>
                <w:color w:val="000000" w:themeColor="text1"/>
                <w:sz w:val="18"/>
              </w:rPr>
            </w:pPr>
            <w:r>
              <w:rPr>
                <w:rFonts w:hint="eastAsia" w:ascii="宋体" w:hAnsi="宋体" w:cs="宋体"/>
                <w:color w:val="000000" w:themeColor="text1"/>
                <w:kern w:val="0"/>
                <w:sz w:val="24"/>
              </w:rPr>
              <w:t>特色工作   （20分）</w:t>
            </w: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105</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特色项目       （20分）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□完成指标未涵盖部分，且业绩十分突出、代表某种发展方向的工作(20分)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□完成指标未涵盖部分，业绩较突出(10分)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□没有完成指标未涵盖部分(5分)                                                            </w:t>
            </w:r>
            <w:r>
              <w:rPr>
                <w:rFonts w:hint="eastAsia" w:ascii="宋体" w:hAnsi="宋体" w:cs="宋体"/>
                <w:b/>
                <w:color w:val="000000" w:themeColor="text1"/>
                <w:kern w:val="0"/>
                <w:sz w:val="24"/>
              </w:rPr>
              <w:t>注：由评估专家利用自身专业优势评定。</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241" w:type="dxa"/>
            <w:vMerge w:val="restart"/>
          </w:tcPr>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社会评价  （80分）</w:t>
            </w: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color w:val="000000" w:themeColor="text1"/>
                <w:sz w:val="18"/>
              </w:rPr>
            </w:pPr>
            <w:r>
              <w:rPr>
                <w:rFonts w:hint="eastAsia" w:ascii="宋体" w:hAnsi="宋体" w:cs="宋体"/>
                <w:color w:val="000000" w:themeColor="text1"/>
                <w:kern w:val="0"/>
                <w:sz w:val="24"/>
              </w:rPr>
              <w:t>社会评价  （80分）</w:t>
            </w:r>
          </w:p>
        </w:tc>
        <w:tc>
          <w:tcPr>
            <w:tcW w:w="1237" w:type="dxa"/>
            <w:vMerge w:val="restart"/>
            <w:vAlign w:val="center"/>
          </w:tcPr>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内外部评价</w:t>
            </w: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（80分）</w:t>
            </w: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内外部评价</w:t>
            </w:r>
          </w:p>
          <w:p>
            <w:pPr>
              <w:widowControl/>
              <w:jc w:val="center"/>
              <w:textAlignment w:val="center"/>
              <w:rPr>
                <w:rFonts w:ascii="宋体"/>
                <w:color w:val="000000" w:themeColor="text1"/>
                <w:sz w:val="18"/>
              </w:rPr>
            </w:pPr>
            <w:r>
              <w:rPr>
                <w:rFonts w:hint="eastAsia" w:ascii="宋体" w:hAnsi="宋体" w:cs="宋体"/>
                <w:color w:val="000000" w:themeColor="text1"/>
                <w:kern w:val="0"/>
                <w:sz w:val="24"/>
              </w:rPr>
              <w:t>（80分）</w:t>
            </w:r>
          </w:p>
        </w:tc>
        <w:tc>
          <w:tcPr>
            <w:tcW w:w="1297" w:type="dxa"/>
            <w:vMerge w:val="restart"/>
            <w:vAlign w:val="center"/>
          </w:tcPr>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color w:val="000000" w:themeColor="text1"/>
                <w:sz w:val="18"/>
              </w:rPr>
            </w:pPr>
            <w:r>
              <w:rPr>
                <w:rFonts w:hint="eastAsia" w:ascii="宋体" w:hAnsi="宋体" w:cs="宋体"/>
                <w:color w:val="000000" w:themeColor="text1"/>
                <w:kern w:val="0"/>
                <w:sz w:val="24"/>
              </w:rPr>
              <w:t>内部评价          （30分）</w:t>
            </w: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106</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理事评价       （15分）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□理事对组织工作总体评价为非常满意（15分）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□理事对组织工作总体评价为满意（10分）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□理事对组织工作总体评价为比较满意（5分）                                             □理事对组织工作总体评价为不满意（0分）                                                      </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241" w:type="dxa"/>
            <w:vMerge w:val="continue"/>
          </w:tcPr>
          <w:p>
            <w:pPr>
              <w:pStyle w:val="6"/>
              <w:ind w:firstLine="0" w:firstLineChars="0"/>
              <w:rPr>
                <w:color w:val="000000" w:themeColor="text1"/>
                <w:szCs w:val="18"/>
              </w:rPr>
            </w:pPr>
          </w:p>
        </w:tc>
        <w:tc>
          <w:tcPr>
            <w:tcW w:w="1237" w:type="dxa"/>
            <w:vMerge w:val="continue"/>
            <w:vAlign w:val="center"/>
          </w:tcPr>
          <w:p>
            <w:pPr>
              <w:widowControl/>
              <w:jc w:val="center"/>
              <w:textAlignment w:val="center"/>
              <w:rPr>
                <w:rFonts w:ascii="宋体"/>
                <w:color w:val="000000" w:themeColor="text1"/>
                <w:sz w:val="18"/>
              </w:rPr>
            </w:pPr>
          </w:p>
        </w:tc>
        <w:tc>
          <w:tcPr>
            <w:tcW w:w="1297" w:type="dxa"/>
            <w:vMerge w:val="continue"/>
            <w:vAlign w:val="center"/>
          </w:tcPr>
          <w:p>
            <w:pPr>
              <w:widowControl/>
              <w:jc w:val="center"/>
              <w:textAlignment w:val="center"/>
              <w:rPr>
                <w:rFonts w:ascii="宋体"/>
                <w:color w:val="000000" w:themeColor="text1"/>
                <w:sz w:val="18"/>
              </w:rPr>
            </w:pP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107</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专职工作人员评价                 （15分）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□专职工作人员对组织工作总体评价为非常满意（15分）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□专职工作人员对组织工作总体评价为满意（10）</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□专职工作人员对组织工作总体评价为比较满意（5分）                                             □专职工作人员对组织工作总体评价为不满意（0分）                                                      </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241" w:type="dxa"/>
            <w:vMerge w:val="continue"/>
          </w:tcPr>
          <w:p>
            <w:pPr>
              <w:pStyle w:val="6"/>
              <w:ind w:firstLine="0" w:firstLineChars="0"/>
              <w:rPr>
                <w:color w:val="000000" w:themeColor="text1"/>
                <w:szCs w:val="18"/>
              </w:rPr>
            </w:pPr>
          </w:p>
        </w:tc>
        <w:tc>
          <w:tcPr>
            <w:tcW w:w="1237" w:type="dxa"/>
            <w:vMerge w:val="continue"/>
            <w:vAlign w:val="center"/>
          </w:tcPr>
          <w:p>
            <w:pPr>
              <w:widowControl/>
              <w:jc w:val="center"/>
              <w:textAlignment w:val="center"/>
              <w:rPr>
                <w:rFonts w:ascii="宋体"/>
                <w:color w:val="000000" w:themeColor="text1"/>
                <w:sz w:val="18"/>
              </w:rPr>
            </w:pPr>
          </w:p>
        </w:tc>
        <w:tc>
          <w:tcPr>
            <w:tcW w:w="1297" w:type="dxa"/>
            <w:vMerge w:val="restart"/>
            <w:vAlign w:val="center"/>
          </w:tcPr>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外部评价</w:t>
            </w: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（50分）</w:t>
            </w: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外部评价</w:t>
            </w: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（50分）</w:t>
            </w:r>
          </w:p>
          <w:p>
            <w:pPr>
              <w:widowControl/>
              <w:jc w:val="center"/>
              <w:textAlignment w:val="center"/>
              <w:rPr>
                <w:rFonts w:ascii="宋体" w:hAnsi="宋体" w:cs="宋体"/>
                <w:color w:val="000000" w:themeColor="text1"/>
                <w:kern w:val="0"/>
                <w:sz w:val="24"/>
              </w:rPr>
            </w:pPr>
          </w:p>
          <w:p>
            <w:pPr>
              <w:widowControl/>
              <w:jc w:val="center"/>
              <w:textAlignment w:val="center"/>
              <w:rPr>
                <w:rFonts w:ascii="宋体"/>
                <w:color w:val="000000" w:themeColor="text1"/>
                <w:sz w:val="18"/>
              </w:rPr>
            </w:pP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108</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登记管理机关评价           （15分）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□登记管理机关对组织工作总体评价为非常满意（15分）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□登记管理机关对组织工作总体评价为满意（10分）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□登记管理机关对组织工作总体评价为比较满意（5分）                                             □登记管理机关对组织工作总体评价为不满意（0分）                                                     </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pPr>
              <w:pStyle w:val="6"/>
              <w:ind w:firstLine="0" w:firstLineChars="0"/>
              <w:rPr>
                <w:color w:val="000000" w:themeColor="text1"/>
                <w:szCs w:val="18"/>
              </w:rPr>
            </w:pPr>
          </w:p>
        </w:tc>
        <w:tc>
          <w:tcPr>
            <w:tcW w:w="1237" w:type="dxa"/>
            <w:vMerge w:val="continue"/>
            <w:vAlign w:val="center"/>
          </w:tcPr>
          <w:p>
            <w:pPr>
              <w:jc w:val="center"/>
              <w:rPr>
                <w:rFonts w:ascii="宋体"/>
                <w:color w:val="000000" w:themeColor="text1"/>
                <w:sz w:val="18"/>
              </w:rPr>
            </w:pPr>
          </w:p>
        </w:tc>
        <w:tc>
          <w:tcPr>
            <w:tcW w:w="1297" w:type="dxa"/>
            <w:vMerge w:val="continue"/>
            <w:vAlign w:val="center"/>
          </w:tcPr>
          <w:p>
            <w:pPr>
              <w:widowControl/>
              <w:jc w:val="center"/>
              <w:textAlignment w:val="center"/>
              <w:rPr>
                <w:rFonts w:ascii="宋体"/>
                <w:color w:val="000000" w:themeColor="text1"/>
                <w:sz w:val="18"/>
              </w:rPr>
            </w:pP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109</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政府部门评价</w:t>
            </w: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 xml:space="preserve">（10分） </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 xml:space="preserve">□获得政府有关部门表彰一次2分，满分10分。                                                                           </w:t>
            </w:r>
            <w:r>
              <w:rPr>
                <w:rFonts w:hint="eastAsia" w:ascii="宋体" w:hAnsi="宋体" w:cs="宋体"/>
                <w:b/>
                <w:color w:val="000000" w:themeColor="text1"/>
                <w:kern w:val="0"/>
                <w:sz w:val="24"/>
              </w:rPr>
              <w:t>注：表彰需出示正式文件或证书。</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jc w:val="center"/>
        </w:trPr>
        <w:tc>
          <w:tcPr>
            <w:tcW w:w="1241" w:type="dxa"/>
            <w:vMerge w:val="continue"/>
            <w:vAlign w:val="center"/>
          </w:tcPr>
          <w:p>
            <w:pPr>
              <w:widowControl/>
              <w:jc w:val="center"/>
              <w:textAlignment w:val="center"/>
              <w:rPr>
                <w:rFonts w:ascii="宋体"/>
                <w:color w:val="000000" w:themeColor="text1"/>
                <w:sz w:val="18"/>
              </w:rPr>
            </w:pPr>
          </w:p>
        </w:tc>
        <w:tc>
          <w:tcPr>
            <w:tcW w:w="1237" w:type="dxa"/>
            <w:vMerge w:val="continue"/>
            <w:vAlign w:val="center"/>
          </w:tcPr>
          <w:p>
            <w:pPr>
              <w:widowControl/>
              <w:jc w:val="center"/>
              <w:textAlignment w:val="center"/>
              <w:rPr>
                <w:rFonts w:ascii="宋体"/>
                <w:color w:val="000000" w:themeColor="text1"/>
                <w:sz w:val="18"/>
              </w:rPr>
            </w:pPr>
          </w:p>
        </w:tc>
        <w:tc>
          <w:tcPr>
            <w:tcW w:w="1297" w:type="dxa"/>
            <w:vMerge w:val="continue"/>
            <w:vAlign w:val="center"/>
          </w:tcPr>
          <w:p>
            <w:pPr>
              <w:widowControl/>
              <w:jc w:val="center"/>
              <w:textAlignment w:val="center"/>
              <w:rPr>
                <w:rFonts w:ascii="宋体"/>
                <w:color w:val="000000" w:themeColor="text1"/>
                <w:sz w:val="18"/>
              </w:rPr>
            </w:pP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110</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业务主管单位评价             （15分）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□业务主管单位对组织工作总体评价为非常满意（15分）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□业务主管单位对组织工作总体评价为满意（10分）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□业务主管单位对组织工作总体评价为比较满意（5分）                                             □业务主管单位对组织工作总体评价为不满意（0分）                                                                                     </w:t>
            </w:r>
            <w:r>
              <w:rPr>
                <w:rFonts w:hint="eastAsia" w:ascii="宋体" w:hAnsi="宋体" w:cs="宋体"/>
                <w:color w:val="000000" w:themeColor="text1"/>
                <w:kern w:val="0"/>
                <w:sz w:val="24"/>
              </w:rPr>
              <w:br w:type="textWrapping"/>
            </w:r>
            <w:r>
              <w:rPr>
                <w:rFonts w:hint="eastAsia" w:ascii="宋体" w:hAnsi="宋体" w:cs="宋体"/>
                <w:b/>
                <w:color w:val="000000"/>
                <w:kern w:val="0"/>
                <w:sz w:val="24"/>
              </w:rPr>
              <w:t>若章程中载明无业务主管单位的，不扣分。</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pPr>
              <w:pStyle w:val="6"/>
              <w:ind w:firstLine="0" w:firstLineChars="0"/>
              <w:rPr>
                <w:color w:val="000000" w:themeColor="text1"/>
                <w:szCs w:val="18"/>
              </w:rPr>
            </w:pPr>
          </w:p>
        </w:tc>
        <w:tc>
          <w:tcPr>
            <w:tcW w:w="1237" w:type="dxa"/>
            <w:vMerge w:val="continue"/>
            <w:vAlign w:val="center"/>
          </w:tcPr>
          <w:p>
            <w:pPr>
              <w:widowControl/>
              <w:jc w:val="center"/>
              <w:textAlignment w:val="center"/>
              <w:rPr>
                <w:rFonts w:ascii="宋体"/>
                <w:color w:val="000000" w:themeColor="text1"/>
                <w:sz w:val="18"/>
              </w:rPr>
            </w:pPr>
          </w:p>
        </w:tc>
        <w:tc>
          <w:tcPr>
            <w:tcW w:w="1297" w:type="dxa"/>
            <w:vMerge w:val="continue"/>
            <w:vAlign w:val="center"/>
          </w:tcPr>
          <w:p>
            <w:pPr>
              <w:widowControl/>
              <w:jc w:val="center"/>
              <w:textAlignment w:val="center"/>
              <w:rPr>
                <w:rFonts w:ascii="宋体"/>
                <w:color w:val="000000" w:themeColor="text1"/>
                <w:sz w:val="18"/>
              </w:rPr>
            </w:pPr>
          </w:p>
        </w:tc>
        <w:tc>
          <w:tcPr>
            <w:tcW w:w="790"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111</w:t>
            </w:r>
          </w:p>
        </w:tc>
        <w:tc>
          <w:tcPr>
            <w:tcW w:w="1338" w:type="dxa"/>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公众评价</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（10分）</w:t>
            </w:r>
          </w:p>
        </w:tc>
        <w:tc>
          <w:tcPr>
            <w:tcW w:w="5189" w:type="dxa"/>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□获得社会各界的奖励表彰，或获得省级以上媒体的正面报道（10分）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□未获得社会各界的奖励表彰，且未获得省级以上媒体的正面报道（0分）</w:t>
            </w:r>
          </w:p>
        </w:tc>
        <w:tc>
          <w:tcPr>
            <w:tcW w:w="994" w:type="dxa"/>
          </w:tcPr>
          <w:p>
            <w:pPr>
              <w:pStyle w:val="6"/>
              <w:rPr>
                <w:color w:val="000000" w:themeColor="text1"/>
                <w:szCs w:val="18"/>
              </w:rPr>
            </w:pPr>
          </w:p>
        </w:tc>
        <w:tc>
          <w:tcPr>
            <w:tcW w:w="1256" w:type="dxa"/>
          </w:tcPr>
          <w:p>
            <w:pPr>
              <w:pStyle w:val="6"/>
              <w:rPr>
                <w:color w:val="000000" w:themeColor="text1"/>
                <w:szCs w:val="18"/>
              </w:rPr>
            </w:pPr>
          </w:p>
        </w:tc>
        <w:tc>
          <w:tcPr>
            <w:tcW w:w="1298" w:type="dxa"/>
          </w:tcPr>
          <w:p>
            <w:pPr>
              <w:pStyle w:val="6"/>
              <w:rPr>
                <w:color w:val="000000" w:themeColor="text1"/>
                <w:szCs w:val="18"/>
              </w:rPr>
            </w:pPr>
          </w:p>
        </w:tc>
      </w:tr>
    </w:tbl>
    <w:p>
      <w:pPr>
        <w:pStyle w:val="6"/>
        <w:ind w:firstLine="0" w:firstLineChars="0"/>
      </w:pPr>
    </w:p>
    <w:p>
      <w:pPr>
        <w:pStyle w:val="6"/>
        <w:ind w:firstLine="0" w:firstLineChars="0"/>
      </w:pPr>
    </w:p>
    <w:p>
      <w:pPr>
        <w:pStyle w:val="6"/>
        <w:ind w:firstLine="0" w:firstLineChars="0"/>
      </w:pPr>
    </w:p>
    <w:p>
      <w:pPr>
        <w:pStyle w:val="6"/>
        <w:ind w:firstLine="0" w:firstLineChars="0"/>
      </w:pPr>
    </w:p>
    <w:sectPr>
      <w:footerReference r:id="rId3" w:type="default"/>
      <w:pgSz w:w="16838" w:h="11906" w:orient="landscape"/>
      <w:pgMar w:top="1803" w:right="1440" w:bottom="1803"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Wingdings 2">
    <w:altName w:val="方正宋体S-超大字符集(SIP)"/>
    <w:panose1 w:val="050201020105070707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9"/>
  <w:displayVerticalDrawingGridEvery w:val="2"/>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975972"/>
    <w:rsid w:val="000566C9"/>
    <w:rsid w:val="000F32C0"/>
    <w:rsid w:val="00170980"/>
    <w:rsid w:val="00177E35"/>
    <w:rsid w:val="001C21F4"/>
    <w:rsid w:val="00224EB1"/>
    <w:rsid w:val="00241520"/>
    <w:rsid w:val="00244896"/>
    <w:rsid w:val="002B7862"/>
    <w:rsid w:val="002F3FF3"/>
    <w:rsid w:val="003A181C"/>
    <w:rsid w:val="003A51A3"/>
    <w:rsid w:val="004C7DBA"/>
    <w:rsid w:val="005269C5"/>
    <w:rsid w:val="00567B2E"/>
    <w:rsid w:val="005F6C9B"/>
    <w:rsid w:val="00613FC0"/>
    <w:rsid w:val="00767469"/>
    <w:rsid w:val="007679CF"/>
    <w:rsid w:val="00797D5F"/>
    <w:rsid w:val="007E5E52"/>
    <w:rsid w:val="007F26DC"/>
    <w:rsid w:val="0086468D"/>
    <w:rsid w:val="00877447"/>
    <w:rsid w:val="009331A7"/>
    <w:rsid w:val="009645A2"/>
    <w:rsid w:val="00983D16"/>
    <w:rsid w:val="009E0A83"/>
    <w:rsid w:val="00A21287"/>
    <w:rsid w:val="00A879E9"/>
    <w:rsid w:val="00AB63E8"/>
    <w:rsid w:val="00AC7F4A"/>
    <w:rsid w:val="00B63E7E"/>
    <w:rsid w:val="00B91632"/>
    <w:rsid w:val="00BA4EF8"/>
    <w:rsid w:val="00BA5FB7"/>
    <w:rsid w:val="00BC0D18"/>
    <w:rsid w:val="00BC2008"/>
    <w:rsid w:val="00C61042"/>
    <w:rsid w:val="00E650A7"/>
    <w:rsid w:val="00F442CB"/>
    <w:rsid w:val="00FE597D"/>
    <w:rsid w:val="01C43E80"/>
    <w:rsid w:val="05716462"/>
    <w:rsid w:val="06345D26"/>
    <w:rsid w:val="09022530"/>
    <w:rsid w:val="0E1C21A5"/>
    <w:rsid w:val="0E9C383F"/>
    <w:rsid w:val="128541DD"/>
    <w:rsid w:val="1E6174DC"/>
    <w:rsid w:val="22C64C3C"/>
    <w:rsid w:val="23ED0951"/>
    <w:rsid w:val="24975972"/>
    <w:rsid w:val="315F0980"/>
    <w:rsid w:val="3271211B"/>
    <w:rsid w:val="354B57F8"/>
    <w:rsid w:val="3ABA2615"/>
    <w:rsid w:val="4609454C"/>
    <w:rsid w:val="47121F18"/>
    <w:rsid w:val="489F5EAC"/>
    <w:rsid w:val="4C0B4AA2"/>
    <w:rsid w:val="51C223E4"/>
    <w:rsid w:val="5733301B"/>
    <w:rsid w:val="585376BA"/>
    <w:rsid w:val="5C9B2429"/>
    <w:rsid w:val="6438660D"/>
    <w:rsid w:val="666961A7"/>
    <w:rsid w:val="6EFD6418"/>
    <w:rsid w:val="70882EEE"/>
    <w:rsid w:val="76DB03CE"/>
    <w:rsid w:val="77BE1767"/>
    <w:rsid w:val="780E335D"/>
    <w:rsid w:val="78D54AD7"/>
    <w:rsid w:val="7C6D5682"/>
    <w:rsid w:val="B73EA9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7">
    <w:name w:val="font71"/>
    <w:basedOn w:val="5"/>
    <w:qFormat/>
    <w:uiPriority w:val="0"/>
    <w:rPr>
      <w:rFonts w:hint="eastAsia" w:ascii="宋体" w:hAnsi="宋体" w:eastAsia="宋体" w:cs="宋体"/>
      <w:b/>
      <w:color w:val="000000"/>
      <w:sz w:val="24"/>
      <w:szCs w:val="24"/>
      <w:u w:val="none"/>
    </w:rPr>
  </w:style>
  <w:style w:type="character" w:customStyle="1" w:styleId="8">
    <w:name w:val="font21"/>
    <w:basedOn w:val="5"/>
    <w:qFormat/>
    <w:uiPriority w:val="0"/>
    <w:rPr>
      <w:rFonts w:hint="eastAsia" w:ascii="宋体" w:hAnsi="宋体" w:eastAsia="宋体" w:cs="宋体"/>
      <w:b/>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26</Pages>
  <Words>2751</Words>
  <Characters>15687</Characters>
  <Lines>130</Lines>
  <Paragraphs>36</Paragraphs>
  <TotalTime>0</TotalTime>
  <ScaleCrop>false</ScaleCrop>
  <LinksUpToDate>false</LinksUpToDate>
  <CharactersWithSpaces>18402</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2020-08-20T09:39:00Z</dcterms:created>
  <dc:creator>阿不</dc:creator>
  <cp:lastModifiedBy>administrator</cp:lastModifiedBy>
  <dcterms:modified xsi:type="dcterms:W3CDTF">2023-01-16T17:19:22Z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